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460" w:lineRule="exact"/>
        <w:jc w:val="center"/>
        <w:rPr>
          <w:rFonts w:ascii="Times New Roman" w:hAnsi="Times New Roman" w:eastAsia="黑体" w:cs="Times New Roman"/>
          <w:color w:val="auto"/>
          <w:sz w:val="28"/>
        </w:rPr>
      </w:pPr>
      <w:r>
        <w:rPr>
          <w:rFonts w:hint="eastAsia" w:ascii="Times New Roman" w:hAnsi="Times New Roman" w:eastAsia="黑体" w:cs="Times New Roman"/>
          <w:color w:val="auto"/>
          <w:sz w:val="28"/>
        </w:rPr>
        <w:t>省道董榆线（S318）寒湖岭隧道新建工程沥青混合料成品采购招标</w:t>
      </w:r>
    </w:p>
    <w:p>
      <w:pPr>
        <w:pStyle w:val="9"/>
        <w:spacing w:before="0" w:beforeAutospacing="0" w:after="0" w:afterAutospacing="0" w:line="460" w:lineRule="exact"/>
        <w:jc w:val="center"/>
        <w:rPr>
          <w:rFonts w:ascii="Times New Roman" w:hAnsi="Times New Roman" w:eastAsia="黑体" w:cs="Times New Roman"/>
          <w:color w:val="auto"/>
          <w:sz w:val="28"/>
        </w:rPr>
      </w:pPr>
      <w:r>
        <w:rPr>
          <w:rFonts w:ascii="Times New Roman" w:hAnsi="Times New Roman" w:eastAsia="黑体" w:cs="Times New Roman"/>
          <w:color w:val="auto"/>
          <w:sz w:val="28"/>
        </w:rPr>
        <w:t>关键内容公开</w:t>
      </w:r>
    </w:p>
    <w:p>
      <w:pPr>
        <w:pStyle w:val="9"/>
        <w:spacing w:before="0" w:beforeAutospacing="0" w:after="0" w:afterAutospacing="0" w:line="460" w:lineRule="exact"/>
        <w:outlineLvl w:val="0"/>
        <w:rPr>
          <w:rFonts w:ascii="Times New Roman" w:hAnsi="Times New Roman" w:eastAsia="黑体" w:cs="Times New Roman"/>
          <w:color w:val="auto"/>
          <w:sz w:val="28"/>
        </w:rPr>
      </w:pPr>
      <w:r>
        <w:rPr>
          <w:rFonts w:ascii="Times New Roman" w:hAnsi="Times New Roman" w:eastAsia="黑体" w:cs="Times New Roman"/>
          <w:color w:val="auto"/>
          <w:sz w:val="28"/>
        </w:rPr>
        <w:t>一、项目概况</w:t>
      </w:r>
    </w:p>
    <w:p>
      <w:pPr>
        <w:pStyle w:val="9"/>
        <w:adjustRightInd w:val="0"/>
        <w:snapToGrid w:val="0"/>
        <w:spacing w:before="0" w:beforeAutospacing="0" w:after="0" w:afterAutospacing="0" w:line="460" w:lineRule="exact"/>
        <w:ind w:firstLine="480" w:firstLineChars="200"/>
        <w:rPr>
          <w:rFonts w:ascii="Times New Roman" w:hAnsi="Times New Roman" w:cs="Times New Roman"/>
          <w:color w:val="000000"/>
          <w:szCs w:val="21"/>
        </w:rPr>
      </w:pPr>
      <w:bookmarkStart w:id="0" w:name="_Hlk33653425"/>
      <w:r>
        <w:rPr>
          <w:rFonts w:hint="eastAsia" w:ascii="Times New Roman" w:hAnsi="Times New Roman" w:cs="Times New Roman"/>
          <w:color w:val="000000"/>
          <w:szCs w:val="21"/>
        </w:rPr>
        <w:t>1</w:t>
      </w:r>
      <w:r>
        <w:rPr>
          <w:rFonts w:ascii="Times New Roman" w:hAnsi="Times New Roman" w:cs="Times New Roman"/>
          <w:color w:val="000000"/>
          <w:szCs w:val="21"/>
        </w:rPr>
        <w:t>.1项目规模：</w:t>
      </w:r>
    </w:p>
    <w:p>
      <w:pPr>
        <w:pStyle w:val="9"/>
        <w:adjustRightInd w:val="0"/>
        <w:snapToGrid w:val="0"/>
        <w:spacing w:before="0" w:beforeAutospacing="0" w:after="0" w:afterAutospacing="0" w:line="460" w:lineRule="exact"/>
        <w:ind w:firstLine="480" w:firstLineChars="200"/>
        <w:rPr>
          <w:rFonts w:ascii="Times New Roman" w:hAnsi="Times New Roman" w:cs="Times New Roman"/>
          <w:color w:val="000000"/>
          <w:szCs w:val="21"/>
        </w:rPr>
      </w:pPr>
      <w:r>
        <w:rPr>
          <w:rFonts w:hint="eastAsia" w:ascii="Times New Roman" w:hAnsi="Times New Roman" w:cs="Times New Roman"/>
          <w:color w:val="000000"/>
          <w:szCs w:val="21"/>
        </w:rPr>
        <w:t>省道董榆线（S318）寒湖岭隧道新建工程（以下简称“本项目”），路线全长16.061公里，设计速度采用60公里/小时。K0+000～K6+635 采用一级公路技术标准，K6+635～K16+061.033采用二级公路技术标准。桥涵设计汽车荷载等级采用公路-I级。主要工程内容或数量: 一级公路路面结构为4cm细粒式橡胶沥青混凝土（ARAC-13）+6cm中粒式高模量沥青混凝土（HMAC-20） +32cm水泥稳定碎石基层+20cm 水泥稳定碎石底基层；二级公路路面结构为4cm细粒式橡胶沥青混凝土（ARAC-13）+6cm中粒式橡胶沥青混凝土（ARAC-20）+32cm 水泥稳定碎石基层+20cm 水泥稳定碎石底基层。本次招标为沥青混合料成品采购。</w:t>
      </w:r>
    </w:p>
    <w:p>
      <w:pPr>
        <w:pStyle w:val="9"/>
        <w:adjustRightInd w:val="0"/>
        <w:snapToGrid w:val="0"/>
        <w:spacing w:before="0" w:beforeAutospacing="0" w:after="0" w:afterAutospacing="0" w:line="460" w:lineRule="exact"/>
        <w:ind w:firstLine="480" w:firstLineChars="200"/>
        <w:rPr>
          <w:rFonts w:ascii="Times New Roman" w:hAnsi="Times New Roman" w:cs="Times New Roman"/>
          <w:color w:val="000000"/>
          <w:szCs w:val="21"/>
        </w:rPr>
      </w:pPr>
      <w:r>
        <w:rPr>
          <w:rFonts w:hint="eastAsia" w:ascii="Times New Roman" w:hAnsi="Times New Roman" w:cs="Times New Roman"/>
          <w:color w:val="000000"/>
          <w:szCs w:val="21"/>
        </w:rPr>
        <w:t>1</w:t>
      </w:r>
      <w:r>
        <w:rPr>
          <w:rFonts w:ascii="Times New Roman" w:hAnsi="Times New Roman" w:cs="Times New Roman"/>
          <w:color w:val="000000"/>
          <w:szCs w:val="21"/>
        </w:rPr>
        <w:t>.2</w:t>
      </w:r>
      <w:r>
        <w:rPr>
          <w:rFonts w:hint="eastAsia" w:ascii="Times New Roman" w:hAnsi="Times New Roman" w:cs="Times New Roman"/>
          <w:color w:val="000000"/>
          <w:szCs w:val="21"/>
        </w:rPr>
        <w:t>招标内容与范围</w:t>
      </w:r>
    </w:p>
    <w:p>
      <w:pPr>
        <w:topLinePunct/>
        <w:spacing w:line="360" w:lineRule="auto"/>
        <w:ind w:firstLine="480" w:firstLineChars="200"/>
      </w:pPr>
      <w:r>
        <w:rPr>
          <w:sz w:val="24"/>
          <w:highlight w:val="none"/>
        </w:rPr>
        <w:t>本次采购划分为</w:t>
      </w:r>
      <w:r>
        <w:rPr>
          <w:rFonts w:hint="eastAsia"/>
          <w:sz w:val="24"/>
          <w:highlight w:val="none"/>
          <w:u w:val="none"/>
          <w:lang w:val="en-US" w:eastAsia="zh-CN"/>
        </w:rPr>
        <w:t>1</w:t>
      </w:r>
      <w:r>
        <w:rPr>
          <w:sz w:val="24"/>
          <w:highlight w:val="none"/>
          <w:u w:val="none"/>
        </w:rPr>
        <w:t>个标段，</w:t>
      </w:r>
      <w:r>
        <w:rPr>
          <w:sz w:val="24"/>
          <w:highlight w:val="none"/>
        </w:rPr>
        <w:t>具体为</w:t>
      </w:r>
      <w:r>
        <w:rPr>
          <w:rFonts w:hint="eastAsia"/>
          <w:sz w:val="24"/>
          <w:highlight w:val="none"/>
        </w:rPr>
        <w:t>本项目的</w:t>
      </w:r>
      <w:r>
        <w:rPr>
          <w:rFonts w:hint="eastAsia"/>
          <w:sz w:val="24"/>
          <w:highlight w:val="none"/>
          <w:lang w:eastAsia="zh-CN"/>
        </w:rPr>
        <w:t>沥青混合料成品采购，</w:t>
      </w:r>
      <w:r>
        <w:rPr>
          <w:rFonts w:hint="eastAsia"/>
          <w:color w:val="000000"/>
          <w:sz w:val="24"/>
          <w:highlight w:val="none"/>
        </w:rPr>
        <w:t>主要</w:t>
      </w:r>
      <w:r>
        <w:rPr>
          <w:rFonts w:hint="eastAsia"/>
          <w:color w:val="000000"/>
          <w:sz w:val="24"/>
          <w:highlight w:val="none"/>
          <w:lang w:eastAsia="zh-CN"/>
        </w:rPr>
        <w:t>名称、规格型号及</w:t>
      </w:r>
      <w:r>
        <w:rPr>
          <w:rFonts w:hint="eastAsia"/>
          <w:color w:val="000000"/>
          <w:sz w:val="24"/>
          <w:highlight w:val="none"/>
        </w:rPr>
        <w:t>数量</w:t>
      </w:r>
      <w:r>
        <w:rPr>
          <w:rFonts w:hint="eastAsia"/>
          <w:color w:val="000000"/>
          <w:sz w:val="24"/>
          <w:highlight w:val="none"/>
          <w:lang w:eastAsia="zh-CN"/>
        </w:rPr>
        <w:t>详见下表：</w:t>
      </w:r>
    </w:p>
    <w:tbl>
      <w:tblPr>
        <w:tblStyle w:val="10"/>
        <w:tblW w:w="4997" w:type="pct"/>
        <w:tblInd w:w="0" w:type="dxa"/>
        <w:tblLayout w:type="autofit"/>
        <w:tblCellMar>
          <w:top w:w="0" w:type="dxa"/>
          <w:left w:w="108" w:type="dxa"/>
          <w:bottom w:w="0" w:type="dxa"/>
          <w:right w:w="108" w:type="dxa"/>
        </w:tblCellMar>
      </w:tblPr>
      <w:tblGrid>
        <w:gridCol w:w="1240"/>
        <w:gridCol w:w="2689"/>
        <w:gridCol w:w="1400"/>
        <w:gridCol w:w="916"/>
        <w:gridCol w:w="2786"/>
      </w:tblGrid>
      <w:tr>
        <w:tblPrEx>
          <w:tblCellMar>
            <w:top w:w="0" w:type="dxa"/>
            <w:left w:w="108" w:type="dxa"/>
            <w:bottom w:w="0" w:type="dxa"/>
            <w:right w:w="108" w:type="dxa"/>
          </w:tblCellMar>
        </w:tblPrEx>
        <w:trPr>
          <w:trHeight w:val="483"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序号</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子目名称</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结构类型</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单位</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b/>
                <w:bCs/>
                <w:color w:val="000000"/>
                <w:kern w:val="0"/>
                <w:sz w:val="21"/>
                <w:szCs w:val="21"/>
                <w:highlight w:val="none"/>
                <w:lang w:eastAsia="zh-CN"/>
              </w:rPr>
            </w:pPr>
            <w:r>
              <w:rPr>
                <w:rFonts w:hint="eastAsia" w:cs="Times New Roman"/>
                <w:b/>
                <w:bCs/>
                <w:color w:val="000000"/>
                <w:kern w:val="0"/>
                <w:sz w:val="21"/>
                <w:szCs w:val="21"/>
                <w:highlight w:val="none"/>
                <w:lang w:eastAsia="zh-CN"/>
              </w:rPr>
              <w:t>沥青混合料用量</w:t>
            </w:r>
          </w:p>
        </w:tc>
      </w:tr>
      <w:tr>
        <w:tblPrEx>
          <w:tblCellMar>
            <w:top w:w="0" w:type="dxa"/>
            <w:left w:w="108" w:type="dxa"/>
            <w:bottom w:w="0" w:type="dxa"/>
            <w:right w:w="108" w:type="dxa"/>
          </w:tblCellMar>
        </w:tblPrEx>
        <w:trPr>
          <w:trHeight w:val="488"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厚40mm细粒式沥青混凝土</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AC-13</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cs="Times New Roman"/>
                <w:color w:val="000000"/>
                <w:kern w:val="0"/>
                <w:sz w:val="21"/>
                <w:szCs w:val="21"/>
                <w:highlight w:val="none"/>
                <w:lang w:val="en-US" w:eastAsia="zh-CN"/>
              </w:rPr>
              <w:t>1777</w:t>
            </w:r>
          </w:p>
        </w:tc>
      </w:tr>
      <w:tr>
        <w:tblPrEx>
          <w:tblCellMar>
            <w:top w:w="0" w:type="dxa"/>
            <w:left w:w="108" w:type="dxa"/>
            <w:bottom w:w="0" w:type="dxa"/>
            <w:right w:w="108" w:type="dxa"/>
          </w:tblCellMar>
        </w:tblPrEx>
        <w:trPr>
          <w:trHeight w:val="290"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厚50mm中粒式沥青混凝土</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AC-20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cs="Times New Roman"/>
                <w:color w:val="000000"/>
                <w:kern w:val="0"/>
                <w:sz w:val="21"/>
                <w:szCs w:val="21"/>
                <w:highlight w:val="none"/>
                <w:lang w:val="en-US" w:eastAsia="zh-CN"/>
              </w:rPr>
              <w:t>2228</w:t>
            </w:r>
          </w:p>
        </w:tc>
      </w:tr>
      <w:tr>
        <w:tblPrEx>
          <w:tblCellMar>
            <w:top w:w="0" w:type="dxa"/>
            <w:left w:w="108" w:type="dxa"/>
            <w:bottom w:w="0" w:type="dxa"/>
            <w:right w:w="108" w:type="dxa"/>
          </w:tblCellMar>
        </w:tblPrEx>
        <w:trPr>
          <w:trHeight w:val="520"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厚40mm细粒式橡胶沥青混合料路面</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ARAC-13</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cs="Times New Roman"/>
                <w:color w:val="000000"/>
                <w:kern w:val="0"/>
                <w:sz w:val="21"/>
                <w:szCs w:val="21"/>
                <w:highlight w:val="none"/>
                <w:lang w:val="en-US" w:eastAsia="zh-CN"/>
              </w:rPr>
              <w:t>17282</w:t>
            </w:r>
          </w:p>
        </w:tc>
      </w:tr>
      <w:tr>
        <w:tblPrEx>
          <w:tblCellMar>
            <w:top w:w="0" w:type="dxa"/>
            <w:left w:w="108" w:type="dxa"/>
            <w:bottom w:w="0" w:type="dxa"/>
            <w:right w:w="108" w:type="dxa"/>
          </w:tblCellMar>
        </w:tblPrEx>
        <w:trPr>
          <w:trHeight w:val="484"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4</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厚60mm中粒式橡胶改性沥青混凝土</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ARAC-20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 xml:space="preserve">14526 </w:t>
            </w:r>
          </w:p>
        </w:tc>
      </w:tr>
      <w:tr>
        <w:tblPrEx>
          <w:tblCellMar>
            <w:top w:w="0" w:type="dxa"/>
            <w:left w:w="108" w:type="dxa"/>
            <w:bottom w:w="0" w:type="dxa"/>
            <w:right w:w="108" w:type="dxa"/>
          </w:tblCellMar>
        </w:tblPrEx>
        <w:trPr>
          <w:trHeight w:val="573"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5</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厚40mm细粒式橡胶阻燃沥青混合料路面</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ARAC-13</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3968</w:t>
            </w:r>
          </w:p>
        </w:tc>
      </w:tr>
      <w:tr>
        <w:tblPrEx>
          <w:tblCellMar>
            <w:top w:w="0" w:type="dxa"/>
            <w:left w:w="108" w:type="dxa"/>
            <w:bottom w:w="0" w:type="dxa"/>
            <w:right w:w="108" w:type="dxa"/>
          </w:tblCellMar>
        </w:tblPrEx>
        <w:trPr>
          <w:trHeight w:val="602"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6</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厚60mm中粒式高模量沥青混合料路面</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HMAC-20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11474</w:t>
            </w:r>
          </w:p>
        </w:tc>
      </w:tr>
      <w:tr>
        <w:tblPrEx>
          <w:tblCellMar>
            <w:top w:w="0" w:type="dxa"/>
            <w:left w:w="108" w:type="dxa"/>
            <w:bottom w:w="0" w:type="dxa"/>
            <w:right w:w="108" w:type="dxa"/>
          </w:tblCellMar>
        </w:tblPrEx>
        <w:trPr>
          <w:trHeight w:val="595"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7</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厚60mm中粒式橡胶阻燃沥青混合料路面</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ARAC-20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 xml:space="preserve">5970 </w:t>
            </w:r>
          </w:p>
        </w:tc>
      </w:tr>
      <w:tr>
        <w:tblPrEx>
          <w:tblCellMar>
            <w:top w:w="0" w:type="dxa"/>
            <w:left w:w="108" w:type="dxa"/>
            <w:bottom w:w="0" w:type="dxa"/>
            <w:right w:w="108" w:type="dxa"/>
          </w:tblCellMar>
        </w:tblPrEx>
        <w:trPr>
          <w:trHeight w:val="516" w:hRule="atLeast"/>
        </w:trPr>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合计</w:t>
            </w:r>
          </w:p>
        </w:tc>
        <w:tc>
          <w:tcPr>
            <w:tcW w:w="1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1"/>
                <w:szCs w:val="21"/>
                <w:highlight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1"/>
                <w:szCs w:val="21"/>
                <w:highlight w:val="none"/>
              </w:rPr>
            </w:pPr>
            <w:r>
              <w:rPr>
                <w:rFonts w:hint="eastAsia"/>
                <w:highlight w:val="none"/>
              </w:rPr>
              <w:t>（吨）</w:t>
            </w:r>
          </w:p>
        </w:tc>
        <w:tc>
          <w:tcPr>
            <w:tcW w:w="1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 xml:space="preserve">57224 </w:t>
            </w:r>
          </w:p>
        </w:tc>
      </w:tr>
    </w:tbl>
    <w:p>
      <w:pPr>
        <w:keepNext w:val="0"/>
        <w:keepLines w:val="0"/>
        <w:pageBreakBefore w:val="0"/>
        <w:kinsoku/>
        <w:wordWrap/>
        <w:overflowPunct/>
        <w:topLinePunct/>
        <w:autoSpaceDE/>
        <w:autoSpaceDN/>
        <w:bidi w:val="0"/>
        <w:adjustRightInd/>
        <w:spacing w:line="360" w:lineRule="auto"/>
        <w:ind w:firstLine="480" w:firstLineChars="200"/>
        <w:textAlignment w:val="auto"/>
        <w:rPr>
          <w:sz w:val="24"/>
          <w:highlight w:val="none"/>
        </w:rPr>
      </w:pPr>
      <w:r>
        <w:rPr>
          <w:sz w:val="24"/>
          <w:highlight w:val="none"/>
        </w:rPr>
        <w:t>包括：货物的供应、加工、运输、装卸、增值税专用发票和售后服务等。具体报价范围、采购范围及所应达到的具体要求，以本招标文件的相应规定为准。</w:t>
      </w:r>
    </w:p>
    <w:p>
      <w:pPr>
        <w:keepNext w:val="0"/>
        <w:keepLines w:val="0"/>
        <w:pageBreakBefore w:val="0"/>
        <w:kinsoku/>
        <w:wordWrap/>
        <w:overflowPunct/>
        <w:topLinePunct/>
        <w:autoSpaceDE/>
        <w:autoSpaceDN/>
        <w:bidi w:val="0"/>
        <w:adjustRightInd/>
        <w:spacing w:line="360" w:lineRule="auto"/>
        <w:ind w:firstLine="480" w:firstLineChars="200"/>
        <w:textAlignment w:val="auto"/>
        <w:rPr>
          <w:sz w:val="24"/>
          <w:highlight w:val="none"/>
        </w:rPr>
      </w:pPr>
      <w:r>
        <w:rPr>
          <w:sz w:val="24"/>
          <w:highlight w:val="none"/>
        </w:rPr>
        <w:t>注：本次招标数量为暂定数量，招标人在供货过程中，将根据实际情况予以适当的调整，中标人不得以实际供应数量发生变化而提出调整合同单价及支付方式的要求。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eastAsia="宋体"/>
          <w:sz w:val="24"/>
          <w:highlight w:val="none"/>
          <w:lang w:eastAsia="zh-CN"/>
        </w:rPr>
      </w:pPr>
      <w:r>
        <w:rPr>
          <w:rFonts w:hint="eastAsia"/>
          <w:sz w:val="24"/>
          <w:highlight w:val="none"/>
          <w:lang w:val="en-US" w:eastAsia="zh-CN"/>
        </w:rPr>
        <w:t>1</w:t>
      </w:r>
      <w:r>
        <w:rPr>
          <w:sz w:val="24"/>
          <w:highlight w:val="none"/>
        </w:rPr>
        <w:t>.3</w:t>
      </w:r>
      <w:bookmarkStart w:id="1" w:name="_Hlk17504409"/>
      <w:r>
        <w:rPr>
          <w:sz w:val="24"/>
          <w:highlight w:val="none"/>
        </w:rPr>
        <w:t>交货期：</w:t>
      </w:r>
      <w:bookmarkEnd w:id="1"/>
      <w:r>
        <w:rPr>
          <w:rFonts w:hint="eastAsia"/>
          <w:sz w:val="24"/>
          <w:highlight w:val="none"/>
          <w:lang w:val="en-US" w:eastAsia="zh-CN"/>
        </w:rPr>
        <w:t>2023年7月1日—2023年11月30日</w:t>
      </w:r>
      <w:r>
        <w:rPr>
          <w:sz w:val="24"/>
          <w:highlight w:val="none"/>
        </w:rPr>
        <w:t>，根据实际情况分批次要求供货，中标人接到每批次供货通知后</w:t>
      </w:r>
      <w:r>
        <w:rPr>
          <w:rFonts w:hint="eastAsia"/>
          <w:sz w:val="24"/>
          <w:highlight w:val="none"/>
          <w:lang w:eastAsia="zh-CN"/>
        </w:rPr>
        <w:t>按指定时间</w:t>
      </w:r>
      <w:r>
        <w:rPr>
          <w:sz w:val="24"/>
          <w:highlight w:val="none"/>
        </w:rPr>
        <w:t>送货到指定地点</w:t>
      </w:r>
      <w:r>
        <w:rPr>
          <w:rFonts w:hint="eastAsia"/>
          <w:sz w:val="24"/>
          <w:highlight w:val="none"/>
          <w:lang w:eastAsia="zh-CN"/>
        </w:rPr>
        <w:t>。</w:t>
      </w:r>
    </w:p>
    <w:p>
      <w:pPr>
        <w:keepNext w:val="0"/>
        <w:keepLines w:val="0"/>
        <w:pageBreakBefore w:val="0"/>
        <w:kinsoku/>
        <w:wordWrap/>
        <w:overflowPunct/>
        <w:topLinePunct/>
        <w:autoSpaceDE/>
        <w:autoSpaceDN/>
        <w:bidi w:val="0"/>
        <w:adjustRightInd/>
        <w:spacing w:line="360" w:lineRule="auto"/>
        <w:ind w:firstLine="480" w:firstLineChars="200"/>
        <w:textAlignment w:val="auto"/>
        <w:rPr>
          <w:sz w:val="24"/>
          <w:highlight w:val="none"/>
        </w:rPr>
      </w:pPr>
      <w:r>
        <w:rPr>
          <w:rFonts w:hint="eastAsia"/>
          <w:sz w:val="24"/>
          <w:highlight w:val="none"/>
          <w:lang w:val="en-US" w:eastAsia="zh-CN"/>
        </w:rPr>
        <w:t>1</w:t>
      </w:r>
      <w:r>
        <w:rPr>
          <w:sz w:val="24"/>
          <w:highlight w:val="none"/>
        </w:rPr>
        <w:t>.4交货地点：</w:t>
      </w:r>
      <w:r>
        <w:rPr>
          <w:rFonts w:hint="eastAsia"/>
          <w:sz w:val="24"/>
          <w:highlight w:val="none"/>
          <w:lang w:eastAsia="zh-CN"/>
        </w:rPr>
        <w:t>省道董榆线（S318）寒湖岭隧道新建工程</w:t>
      </w:r>
      <w:r>
        <w:rPr>
          <w:rFonts w:hint="eastAsia"/>
          <w:sz w:val="24"/>
          <w:highlight w:val="none"/>
          <w:lang w:val="en-US" w:eastAsia="zh-CN"/>
        </w:rPr>
        <w:t>施工地点</w:t>
      </w:r>
      <w:r>
        <w:rPr>
          <w:rFonts w:hint="eastAsia"/>
          <w:color w:val="000000"/>
          <w:sz w:val="24"/>
          <w:highlight w:val="none"/>
          <w:lang w:val="en-US" w:eastAsia="zh-CN"/>
        </w:rPr>
        <w:t>。</w:t>
      </w:r>
    </w:p>
    <w:p>
      <w:pPr>
        <w:keepNext w:val="0"/>
        <w:keepLines w:val="0"/>
        <w:pageBreakBefore w:val="0"/>
        <w:kinsoku/>
        <w:wordWrap/>
        <w:overflowPunct/>
        <w:topLinePunct/>
        <w:autoSpaceDE/>
        <w:autoSpaceDN/>
        <w:bidi w:val="0"/>
        <w:adjustRightInd/>
        <w:spacing w:line="360" w:lineRule="auto"/>
        <w:ind w:firstLine="480" w:firstLineChars="200"/>
        <w:textAlignment w:val="auto"/>
        <w:rPr>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1</w:t>
      </w:r>
      <w:r>
        <w:rPr>
          <w:color w:val="000000" w:themeColor="text1"/>
          <w:sz w:val="24"/>
          <w:highlight w:val="none"/>
          <w14:textFill>
            <w14:solidFill>
              <w14:schemeClr w14:val="tx1"/>
            </w14:solidFill>
          </w14:textFill>
        </w:rPr>
        <w:t>.5</w:t>
      </w:r>
      <w:bookmarkStart w:id="2" w:name="_Hlk71206425"/>
      <w:r>
        <w:rPr>
          <w:color w:val="000000" w:themeColor="text1"/>
          <w:sz w:val="24"/>
          <w:highlight w:val="none"/>
          <w14:textFill>
            <w14:solidFill>
              <w14:schemeClr w14:val="tx1"/>
            </w14:solidFill>
          </w14:textFill>
        </w:rPr>
        <w:t>质量要求：</w:t>
      </w:r>
      <w:r>
        <w:rPr>
          <w:rFonts w:hint="eastAsia"/>
          <w:color w:val="000000" w:themeColor="text1"/>
          <w:sz w:val="24"/>
          <w:highlight w:val="none"/>
          <w:lang w:eastAsia="zh-CN"/>
          <w14:textFill>
            <w14:solidFill>
              <w14:schemeClr w14:val="tx1"/>
            </w14:solidFill>
          </w14:textFill>
        </w:rPr>
        <w:t>沥青混合料及其原材料必须符合国家标准</w:t>
      </w:r>
      <w:r>
        <w:rPr>
          <w:rFonts w:hint="eastAsia"/>
          <w:color w:val="000000" w:themeColor="text1"/>
          <w:sz w:val="24"/>
          <w:highlight w:val="none"/>
          <w14:textFill>
            <w14:solidFill>
              <w14:schemeClr w14:val="tx1"/>
            </w14:solidFill>
          </w14:textFill>
        </w:rPr>
        <w:t>《公路沥青路面施工技术规范》【</w:t>
      </w:r>
      <w:r>
        <w:rPr>
          <w:rFonts w:hint="eastAsia"/>
          <w:color w:val="000000" w:themeColor="text1"/>
          <w:sz w:val="24"/>
          <w:highlight w:val="none"/>
          <w:lang w:val="en-US" w:eastAsia="zh-CN"/>
          <w14:textFill>
            <w14:solidFill>
              <w14:schemeClr w14:val="tx1"/>
            </w14:solidFill>
          </w14:textFill>
        </w:rPr>
        <w:t>JTGF40-2004</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的有关规定及图纸设计的要求</w:t>
      </w:r>
      <w:r>
        <w:rPr>
          <w:rFonts w:hint="eastAsia"/>
          <w:color w:val="000000" w:themeColor="text1"/>
          <w:sz w:val="24"/>
          <w:highlight w:val="none"/>
          <w14:textFill>
            <w14:solidFill>
              <w14:schemeClr w14:val="tx1"/>
            </w14:solidFill>
          </w14:textFill>
        </w:rPr>
        <w:t>。</w:t>
      </w:r>
      <w:bookmarkEnd w:id="2"/>
      <w:r>
        <w:rPr>
          <w:rFonts w:hint="eastAsia"/>
          <w:color w:val="000000" w:themeColor="text1"/>
          <w:sz w:val="24"/>
          <w:highlight w:val="none"/>
          <w:lang w:eastAsia="zh-CN"/>
          <w14:textFill>
            <w14:solidFill>
              <w14:schemeClr w14:val="tx1"/>
            </w14:solidFill>
          </w14:textFill>
        </w:rPr>
        <w:t>橡胶改性</w:t>
      </w:r>
      <w:r>
        <w:rPr>
          <w:rFonts w:hint="eastAsia"/>
          <w:sz w:val="24"/>
          <w:highlight w:val="none"/>
        </w:rPr>
        <w:t>沥青材料检验应按《路用废胎胶粉橡胶沥青》（JT／T 798-2019）</w:t>
      </w:r>
      <w:r>
        <w:rPr>
          <w:rFonts w:hint="eastAsia"/>
          <w:sz w:val="24"/>
          <w:highlight w:val="none"/>
          <w:lang w:eastAsia="zh-CN"/>
        </w:rPr>
        <w:t>的</w:t>
      </w:r>
      <w:r>
        <w:rPr>
          <w:rFonts w:hint="eastAsia"/>
          <w:color w:val="000000" w:themeColor="text1"/>
          <w:sz w:val="24"/>
          <w:highlight w:val="none"/>
          <w:lang w:eastAsia="zh-CN"/>
          <w14:textFill>
            <w14:solidFill>
              <w14:schemeClr w14:val="tx1"/>
            </w14:solidFill>
          </w14:textFill>
        </w:rPr>
        <w:t>有关规定及图纸设计的要求</w:t>
      </w:r>
      <w:r>
        <w:rPr>
          <w:rFonts w:hint="eastAsia"/>
          <w:sz w:val="24"/>
          <w:highlight w:val="none"/>
          <w:lang w:eastAsia="zh-CN"/>
        </w:rPr>
        <w:t>，</w:t>
      </w:r>
      <w:r>
        <w:rPr>
          <w:rFonts w:hint="eastAsia"/>
          <w:color w:val="000000" w:themeColor="text1"/>
          <w:sz w:val="24"/>
          <w:highlight w:val="none"/>
          <w:lang w:eastAsia="zh-CN"/>
          <w14:textFill>
            <w14:solidFill>
              <w14:schemeClr w14:val="tx1"/>
            </w14:solidFill>
          </w14:textFill>
        </w:rPr>
        <w:t>基质</w:t>
      </w:r>
      <w:r>
        <w:rPr>
          <w:rFonts w:hint="eastAsia"/>
          <w:sz w:val="24"/>
          <w:highlight w:val="none"/>
        </w:rPr>
        <w:t>沥青材料检验应按《</w:t>
      </w:r>
      <w:r>
        <w:rPr>
          <w:rFonts w:hint="eastAsia"/>
          <w:color w:val="000000" w:themeColor="text1"/>
          <w:sz w:val="24"/>
          <w:highlight w:val="none"/>
          <w14:textFill>
            <w14:solidFill>
              <w14:schemeClr w14:val="tx1"/>
            </w14:solidFill>
          </w14:textFill>
        </w:rPr>
        <w:t>公路沥青路面施工技术规范》【</w:t>
      </w:r>
      <w:r>
        <w:rPr>
          <w:rFonts w:hint="eastAsia"/>
          <w:color w:val="000000" w:themeColor="text1"/>
          <w:sz w:val="24"/>
          <w:highlight w:val="none"/>
          <w:lang w:val="en-US" w:eastAsia="zh-CN"/>
          <w14:textFill>
            <w14:solidFill>
              <w14:schemeClr w14:val="tx1"/>
            </w14:solidFill>
          </w14:textFill>
        </w:rPr>
        <w:t>JTGF40-2004</w:t>
      </w:r>
      <w:r>
        <w:rPr>
          <w:rFonts w:hint="eastAsia"/>
          <w:color w:val="000000" w:themeColor="text1"/>
          <w:sz w:val="24"/>
          <w:highlight w:val="none"/>
          <w14:textFill>
            <w14:solidFill>
              <w14:schemeClr w14:val="tx1"/>
            </w14:solidFill>
          </w14:textFill>
        </w:rPr>
        <w:t>】</w:t>
      </w:r>
      <w:r>
        <w:rPr>
          <w:rFonts w:hint="eastAsia"/>
          <w:sz w:val="24"/>
          <w:highlight w:val="none"/>
        </w:rPr>
        <w:t>》</w:t>
      </w:r>
      <w:r>
        <w:rPr>
          <w:rFonts w:hint="eastAsia"/>
          <w:sz w:val="24"/>
          <w:highlight w:val="none"/>
          <w:lang w:eastAsia="zh-CN"/>
        </w:rPr>
        <w:t>的</w:t>
      </w:r>
      <w:r>
        <w:rPr>
          <w:rFonts w:hint="eastAsia"/>
          <w:color w:val="000000" w:themeColor="text1"/>
          <w:sz w:val="24"/>
          <w:highlight w:val="none"/>
          <w:lang w:eastAsia="zh-CN"/>
          <w14:textFill>
            <w14:solidFill>
              <w14:schemeClr w14:val="tx1"/>
            </w14:solidFill>
          </w14:textFill>
        </w:rPr>
        <w:t>有关规定及图纸设计的要求。</w:t>
      </w:r>
    </w:p>
    <w:p>
      <w:pPr>
        <w:pStyle w:val="9"/>
        <w:spacing w:before="0" w:beforeAutospacing="0" w:after="0" w:afterAutospacing="0" w:line="460" w:lineRule="exact"/>
        <w:outlineLvl w:val="0"/>
        <w:rPr>
          <w:rFonts w:ascii="Times New Roman" w:hAnsi="Times New Roman" w:eastAsia="黑体" w:cs="Times New Roman"/>
          <w:color w:val="auto"/>
          <w:sz w:val="28"/>
        </w:rPr>
      </w:pPr>
      <w:r>
        <w:rPr>
          <w:rFonts w:ascii="Times New Roman" w:hAnsi="Times New Roman" w:eastAsia="黑体" w:cs="Times New Roman"/>
          <w:color w:val="auto"/>
          <w:sz w:val="28"/>
        </w:rPr>
        <w:t>二、对投标人的资格条件要求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bookmarkStart w:id="3" w:name="_Hlk19620093"/>
      <w:bookmarkStart w:id="4" w:name="_Hlk19621368"/>
      <w:r>
        <w:rPr>
          <w:rFonts w:hint="eastAsia"/>
          <w:sz w:val="24"/>
          <w:szCs w:val="24"/>
          <w:highlight w:val="none"/>
          <w:u w:val="none"/>
          <w:lang w:val="en-US" w:eastAsia="zh-CN"/>
        </w:rPr>
        <w:t>2</w:t>
      </w:r>
      <w:r>
        <w:rPr>
          <w:rFonts w:hint="eastAsia"/>
          <w:sz w:val="24"/>
          <w:szCs w:val="24"/>
          <w:highlight w:val="none"/>
          <w:u w:val="none"/>
        </w:rPr>
        <w:t>.1资格要求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.1.1投标人须具备独立法人资格，持有有效的企业法人营业执照或事业单位法人证书，并在人员、设备、资金等方面具有相应的施工能力；</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.1.2</w:t>
      </w:r>
      <w:r>
        <w:rPr>
          <w:rFonts w:hint="eastAsia"/>
          <w:sz w:val="24"/>
          <w:szCs w:val="24"/>
          <w:highlight w:val="none"/>
          <w:u w:val="none"/>
          <w:lang w:eastAsia="zh-CN"/>
        </w:rPr>
        <w:t>资格</w:t>
      </w:r>
      <w:r>
        <w:rPr>
          <w:rFonts w:hint="eastAsia"/>
          <w:sz w:val="24"/>
          <w:szCs w:val="24"/>
          <w:highlight w:val="none"/>
          <w:u w:val="none"/>
        </w:rPr>
        <w:t>要求： 投标人必须配备有3000型及以上沥青混合料拌和设备，并具有</w:t>
      </w:r>
      <w:r>
        <w:rPr>
          <w:rFonts w:hint="eastAsia"/>
          <w:sz w:val="24"/>
          <w:szCs w:val="24"/>
          <w:highlight w:val="none"/>
          <w:u w:val="none"/>
          <w:lang w:eastAsia="zh-CN"/>
        </w:rPr>
        <w:t>当地环保部门颁发的</w:t>
      </w:r>
      <w:r>
        <w:rPr>
          <w:rFonts w:hint="eastAsia"/>
          <w:sz w:val="24"/>
          <w:szCs w:val="24"/>
          <w:highlight w:val="none"/>
          <w:u w:val="none"/>
        </w:rPr>
        <w:t>排污许可证。</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default"/>
          <w:sz w:val="24"/>
          <w:szCs w:val="24"/>
          <w:highlight w:val="none"/>
          <w:u w:val="none"/>
          <w:lang w:val="en-US" w:eastAsia="zh-CN"/>
        </w:rPr>
      </w:pPr>
      <w:r>
        <w:rPr>
          <w:rFonts w:hint="eastAsia"/>
          <w:sz w:val="24"/>
          <w:szCs w:val="24"/>
          <w:highlight w:val="none"/>
          <w:u w:val="none"/>
          <w:lang w:val="en-US" w:eastAsia="zh-CN"/>
        </w:rPr>
        <w:t>2.1.3质量保证能力：拌和厂距省道董榆线（S318）寒湖岭隧道新建工程起点（和顺县郜家庄村西）及终点（张建村东）距离必须满足不大于100公里的要求。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.2财务要求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rPr>
        <w:t>投标人2022年或2021年内流动资产与流动负债比率大于1。</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.3业绩要求：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rPr>
        <w:t>投标人近三年内（</w:t>
      </w:r>
      <w:r>
        <w:rPr>
          <w:rFonts w:hint="eastAsia"/>
          <w:sz w:val="24"/>
          <w:szCs w:val="24"/>
          <w:highlight w:val="none"/>
          <w:u w:val="none"/>
          <w:lang w:eastAsia="zh-CN"/>
        </w:rPr>
        <w:t>2020年6月1日</w:t>
      </w:r>
      <w:r>
        <w:rPr>
          <w:rFonts w:hint="eastAsia"/>
          <w:sz w:val="24"/>
          <w:szCs w:val="24"/>
          <w:highlight w:val="none"/>
          <w:u w:val="none"/>
        </w:rPr>
        <w:t>至今）至少完成过供货数量不小于</w:t>
      </w:r>
      <w:r>
        <w:rPr>
          <w:rFonts w:hint="eastAsia"/>
          <w:sz w:val="24"/>
          <w:szCs w:val="24"/>
          <w:highlight w:val="none"/>
          <w:u w:val="none"/>
          <w:lang w:val="en-US" w:eastAsia="zh-CN"/>
        </w:rPr>
        <w:t>5</w:t>
      </w:r>
      <w:r>
        <w:rPr>
          <w:rFonts w:hint="eastAsia"/>
          <w:sz w:val="24"/>
          <w:szCs w:val="24"/>
          <w:highlight w:val="none"/>
          <w:u w:val="none"/>
        </w:rPr>
        <w:t>万吨的二级及以上公路橡胶改性</w:t>
      </w:r>
      <w:r>
        <w:rPr>
          <w:rFonts w:hint="eastAsia"/>
          <w:sz w:val="24"/>
          <w:szCs w:val="24"/>
          <w:highlight w:val="none"/>
          <w:u w:val="none"/>
          <w:lang w:eastAsia="zh-CN"/>
        </w:rPr>
        <w:t>沥青混合料成品</w:t>
      </w:r>
      <w:r>
        <w:rPr>
          <w:rFonts w:hint="eastAsia"/>
          <w:sz w:val="24"/>
          <w:szCs w:val="24"/>
          <w:highlight w:val="none"/>
          <w:u w:val="none"/>
        </w:rPr>
        <w:t>供货业绩</w:t>
      </w:r>
      <w:r>
        <w:rPr>
          <w:rFonts w:hint="eastAsia"/>
          <w:sz w:val="24"/>
          <w:szCs w:val="24"/>
          <w:highlight w:val="none"/>
          <w:u w:val="none"/>
          <w:lang w:eastAsia="zh-CN"/>
        </w:rPr>
        <w:t>。</w:t>
      </w:r>
      <w:r>
        <w:rPr>
          <w:rFonts w:hint="eastAsia"/>
          <w:sz w:val="24"/>
          <w:szCs w:val="24"/>
          <w:highlight w:val="none"/>
          <w:u w:val="none"/>
        </w:rPr>
        <w:t>（业绩以投标人提供的供货合同协议书或</w:t>
      </w:r>
      <w:r>
        <w:rPr>
          <w:rFonts w:hint="eastAsia"/>
          <w:sz w:val="24"/>
          <w:szCs w:val="24"/>
          <w:highlight w:val="none"/>
          <w:u w:val="none"/>
          <w:lang w:eastAsia="zh-CN"/>
        </w:rPr>
        <w:t>施工合同</w:t>
      </w:r>
      <w:r>
        <w:rPr>
          <w:rFonts w:hint="eastAsia"/>
          <w:sz w:val="24"/>
          <w:szCs w:val="24"/>
          <w:highlight w:val="none"/>
          <w:u w:val="none"/>
          <w:lang w:val="en-US" w:eastAsia="zh-CN"/>
        </w:rPr>
        <w:t>（须拌和站自有）</w:t>
      </w:r>
      <w:r>
        <w:rPr>
          <w:rFonts w:hint="eastAsia"/>
          <w:sz w:val="24"/>
          <w:szCs w:val="24"/>
          <w:highlight w:val="none"/>
          <w:u w:val="none"/>
        </w:rPr>
        <w:t>为准，合同协议书至少包含合同首页、合同总金额页、合同盖章页)。</w:t>
      </w:r>
    </w:p>
    <w:p>
      <w:pPr>
        <w:keepNext w:val="0"/>
        <w:keepLines w:val="0"/>
        <w:pageBreakBefore w:val="0"/>
        <w:kinsoku/>
        <w:wordWrap/>
        <w:overflowPunct/>
        <w:topLinePunct/>
        <w:autoSpaceDE/>
        <w:autoSpaceDN/>
        <w:bidi w:val="0"/>
        <w:adjustRightInd/>
        <w:spacing w:line="360" w:lineRule="auto"/>
        <w:ind w:firstLine="442" w:firstLineChars="200"/>
        <w:textAlignment w:val="auto"/>
        <w:rPr>
          <w:rFonts w:hint="eastAsia" w:eastAsia="宋体"/>
          <w:sz w:val="24"/>
          <w:szCs w:val="24"/>
          <w:highlight w:val="none"/>
          <w:u w:val="none"/>
          <w:lang w:eastAsia="zh-CN"/>
        </w:rPr>
      </w:pPr>
      <w:r>
        <w:rPr>
          <w:rFonts w:hint="eastAsia"/>
          <w:b/>
          <w:bCs/>
          <w:sz w:val="22"/>
          <w:szCs w:val="22"/>
          <w:highlight w:val="none"/>
          <w:u w:val="none"/>
          <w:lang w:eastAsia="zh-CN"/>
        </w:rPr>
        <w:t>注：如合同协议书无法体现业绩的，需提供业主出具的履约证明材料。</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 信誉要求</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.4.1投标人目前没有受到交通运输部或山西省交通运输厅做出的，取消投标资格或禁止进入公路建设市场且处于有效期内的行政处罚；</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.4.2投标人未在山西省公路建设市场中发生严重不履约行为；</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.4.3投标人在交通运输部或山西省公路建设市场信用评价的考核定级中，未被评为D级或曾被评为D级但处罚期限已过；</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.4.4投标人在“信用中国”网站平台中被列入失信被执行人名单严重失信主体名单的, 在“国家企业信用信息公示系统”中被列入“列入严重违法失信企业名单（黑名单）”的，投标人及其法定代表人近三年内（2020年</w:t>
      </w:r>
      <w:r>
        <w:rPr>
          <w:rFonts w:hint="eastAsia"/>
          <w:sz w:val="24"/>
          <w:szCs w:val="24"/>
          <w:highlight w:val="none"/>
          <w:u w:val="none"/>
          <w:lang w:val="en-US" w:eastAsia="zh-CN"/>
        </w:rPr>
        <w:t>6</w:t>
      </w:r>
      <w:r>
        <w:rPr>
          <w:rFonts w:hint="eastAsia"/>
          <w:sz w:val="24"/>
          <w:szCs w:val="24"/>
          <w:highlight w:val="none"/>
          <w:u w:val="none"/>
        </w:rPr>
        <w:t>月至今）有行贿犯罪行为的不得参加投标；</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.4.5投标人近三年内未发生产品质量问题。</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.5本项目不接受联合体投标。</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.6与招标人存在利害关系且可能影响招标公正性的单位，不得参加投标。投标人具有下列情况之一的，不得参与本项目投标，否则其投标均无效。</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.6.1单位负责人为同一人或者存在控股、管理关系的不同单位；</w:t>
      </w:r>
    </w:p>
    <w:p>
      <w:pPr>
        <w:keepNext w:val="0"/>
        <w:keepLines w:val="0"/>
        <w:pageBreakBefore w:val="0"/>
        <w:kinsoku/>
        <w:wordWrap/>
        <w:overflowPunct/>
        <w:topLinePunct/>
        <w:autoSpaceDE/>
        <w:autoSpaceDN/>
        <w:bidi w:val="0"/>
        <w:adjustRightInd/>
        <w:spacing w:line="360" w:lineRule="auto"/>
        <w:ind w:firstLine="480" w:firstLineChars="200"/>
        <w:textAlignment w:val="auto"/>
        <w:rPr>
          <w:rFonts w:hint="eastAsia"/>
          <w:sz w:val="24"/>
          <w:szCs w:val="24"/>
          <w:highlight w:val="none"/>
          <w:u w:val="none"/>
        </w:rPr>
      </w:pPr>
      <w:r>
        <w:rPr>
          <w:rFonts w:hint="eastAsia"/>
          <w:sz w:val="24"/>
          <w:szCs w:val="24"/>
          <w:highlight w:val="none"/>
          <w:u w:val="none"/>
          <w:lang w:val="en-US" w:eastAsia="zh-CN"/>
        </w:rPr>
        <w:t>2</w:t>
      </w:r>
      <w:r>
        <w:rPr>
          <w:rFonts w:hint="eastAsia"/>
          <w:sz w:val="24"/>
          <w:szCs w:val="24"/>
          <w:highlight w:val="none"/>
          <w:u w:val="none"/>
        </w:rPr>
        <w:t>.6.2具有投资参股关系的关联企业；</w:t>
      </w:r>
    </w:p>
    <w:p>
      <w:pPr>
        <w:keepNext w:val="0"/>
        <w:keepLines w:val="0"/>
        <w:pageBreakBefore w:val="0"/>
        <w:kinsoku/>
        <w:wordWrap/>
        <w:overflowPunct/>
        <w:topLinePunct/>
        <w:autoSpaceDE/>
        <w:autoSpaceDN/>
        <w:bidi w:val="0"/>
        <w:adjustRightInd/>
        <w:spacing w:line="360" w:lineRule="auto"/>
        <w:ind w:firstLine="480" w:firstLineChars="200"/>
        <w:textAlignment w:val="auto"/>
        <w:rPr>
          <w:sz w:val="24"/>
        </w:rPr>
      </w:pPr>
      <w:r>
        <w:rPr>
          <w:rFonts w:hint="eastAsia"/>
          <w:sz w:val="24"/>
          <w:szCs w:val="24"/>
          <w:highlight w:val="none"/>
          <w:u w:val="none"/>
          <w:lang w:val="en-US" w:eastAsia="zh-CN"/>
        </w:rPr>
        <w:t>2</w:t>
      </w:r>
      <w:r>
        <w:rPr>
          <w:rFonts w:hint="eastAsia"/>
          <w:sz w:val="24"/>
          <w:szCs w:val="24"/>
          <w:highlight w:val="none"/>
          <w:u w:val="none"/>
        </w:rPr>
        <w:t>.6.3董事、监事、总经理、副总经理和财务负责人相互兼职的关联企业。</w:t>
      </w:r>
    </w:p>
    <w:bookmarkEnd w:id="3"/>
    <w:bookmarkEnd w:id="4"/>
    <w:p>
      <w:pPr>
        <w:pStyle w:val="9"/>
        <w:spacing w:before="0" w:beforeAutospacing="0" w:after="0" w:afterAutospacing="0" w:line="460" w:lineRule="exact"/>
        <w:outlineLvl w:val="0"/>
        <w:rPr>
          <w:rFonts w:ascii="Times New Roman" w:hAnsi="Times New Roman" w:eastAsia="黑体" w:cs="Times New Roman"/>
          <w:color w:val="auto"/>
          <w:sz w:val="28"/>
        </w:rPr>
      </w:pPr>
      <w:r>
        <w:rPr>
          <w:rFonts w:ascii="Times New Roman" w:hAnsi="Times New Roman" w:eastAsia="黑体" w:cs="Times New Roman"/>
          <w:color w:val="auto"/>
          <w:sz w:val="28"/>
        </w:rPr>
        <w:t>三、评标办法</w:t>
      </w:r>
      <w:r>
        <w:rPr>
          <w:rFonts w:hint="eastAsia" w:ascii="Times New Roman" w:hAnsi="Times New Roman" w:eastAsia="黑体" w:cs="Times New Roman"/>
          <w:color w:val="auto"/>
          <w:sz w:val="28"/>
        </w:rPr>
        <w:t>（技术评分最低标价法）</w:t>
      </w:r>
    </w:p>
    <w:p>
      <w:pPr>
        <w:wordWrap w:val="0"/>
        <w:topLinePunct/>
        <w:spacing w:line="440" w:lineRule="exact"/>
        <w:outlineLvl w:val="1"/>
        <w:rPr>
          <w:b w:val="0"/>
          <w:sz w:val="28"/>
          <w:szCs w:val="28"/>
          <w:highlight w:val="none"/>
        </w:rPr>
      </w:pPr>
      <w:r>
        <w:rPr>
          <w:rFonts w:eastAsia="黑体"/>
          <w:sz w:val="24"/>
          <w:szCs w:val="28"/>
          <w:highlight w:val="none"/>
        </w:rPr>
        <w:t>评标办法前附表</w:t>
      </w:r>
      <w:r>
        <w:rPr>
          <w:rStyle w:val="13"/>
          <w:bCs/>
          <w:kern w:val="44"/>
          <w:sz w:val="30"/>
          <w:szCs w:val="30"/>
          <w:highlight w:val="none"/>
        </w:rPr>
        <w:footnoteReference w:id="0"/>
      </w:r>
    </w:p>
    <w:tbl>
      <w:tblPr>
        <w:tblStyle w:val="10"/>
        <w:tblW w:w="90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301"/>
        <w:gridCol w:w="6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2306"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szCs w:val="21"/>
                <w:highlight w:val="none"/>
              </w:rPr>
            </w:pPr>
            <w:bookmarkStart w:id="35" w:name="_GoBack"/>
            <w:bookmarkStart w:id="5" w:name="_Toc447602753"/>
            <w:bookmarkStart w:id="6" w:name="_Toc447145191"/>
            <w:bookmarkStart w:id="7" w:name="_Toc396460496"/>
            <w:bookmarkStart w:id="8" w:name="_Toc396461664"/>
            <w:r>
              <w:rPr>
                <w:b/>
                <w:szCs w:val="21"/>
                <w:highlight w:val="none"/>
              </w:rPr>
              <w:t>条款号</w:t>
            </w:r>
          </w:p>
        </w:tc>
        <w:tc>
          <w:tcPr>
            <w:tcW w:w="6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szCs w:val="21"/>
                <w:highlight w:val="none"/>
              </w:rPr>
            </w:pPr>
            <w:r>
              <w:rPr>
                <w:b/>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1</w:t>
            </w:r>
          </w:p>
        </w:tc>
        <w:tc>
          <w:tcPr>
            <w:tcW w:w="130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评标方法</w:t>
            </w:r>
          </w:p>
        </w:tc>
        <w:tc>
          <w:tcPr>
            <w:tcW w:w="6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投标人第一信封综合评分相等时，评标委员会</w:t>
            </w:r>
            <w:r>
              <w:rPr>
                <w:rFonts w:ascii="Times New Roman" w:hAnsi="Times New Roman" w:eastAsia="宋体" w:cs="Times New Roman"/>
                <w:szCs w:val="21"/>
                <w:highlight w:val="none"/>
              </w:rPr>
              <w:t>依次按照以下优先顺序</w:t>
            </w:r>
            <w:r>
              <w:rPr>
                <w:rFonts w:hint="eastAsia" w:ascii="Times New Roman" w:hAnsi="Times New Roman" w:eastAsia="宋体" w:cs="Times New Roman"/>
                <w:szCs w:val="21"/>
                <w:highlight w:val="none"/>
                <w:lang w:eastAsia="zh-CN"/>
              </w:rPr>
              <w:t>对投标人的名次进行排序：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（1）业绩得分较高者优先；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（2）技术能力得分较高者优先；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（3）按规定上传电子投标文件较早的投标人优先。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Times New Roman" w:hAnsi="Times New Roman" w:eastAsia="宋体" w:cs="Times New Roman"/>
                <w:szCs w:val="21"/>
                <w:highlight w:val="none"/>
              </w:rPr>
            </w:pPr>
            <w:r>
              <w:rPr>
                <w:rFonts w:ascii="Times New Roman" w:hAnsi="Times New Roman" w:eastAsia="宋体" w:cs="Times New Roman"/>
                <w:szCs w:val="21"/>
                <w:highlight w:val="none"/>
              </w:rPr>
              <w:t>评标价相等时，评标委员会依次按照以下优先顺序推荐中标候选人：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Times New Roman" w:hAnsi="Times New Roman" w:eastAsia="宋体" w:cs="Times New Roman"/>
                <w:szCs w:val="21"/>
                <w:highlight w:val="none"/>
              </w:rPr>
            </w:pPr>
            <w:r>
              <w:rPr>
                <w:rFonts w:ascii="Times New Roman" w:hAnsi="Times New Roman" w:eastAsia="宋体" w:cs="Times New Roman"/>
                <w:szCs w:val="21"/>
                <w:highlight w:val="none"/>
              </w:rPr>
              <w:t>（1）业绩得分较高者优先；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Times New Roman" w:hAnsi="Times New Roman" w:eastAsia="宋体" w:cs="Times New Roman"/>
                <w:szCs w:val="21"/>
                <w:highlight w:val="none"/>
              </w:rPr>
            </w:pPr>
            <w:r>
              <w:rPr>
                <w:rFonts w:ascii="Times New Roman" w:hAnsi="Times New Roman" w:eastAsia="宋体" w:cs="Times New Roman"/>
                <w:szCs w:val="21"/>
                <w:highlight w:val="none"/>
              </w:rPr>
              <w:t>（2）技术能力得分较高者优先；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Times New Roman" w:hAnsi="Times New Roman" w:eastAsia="宋体" w:cs="Times New Roman"/>
                <w:szCs w:val="21"/>
                <w:highlight w:val="none"/>
              </w:rPr>
            </w:pPr>
            <w:r>
              <w:rPr>
                <w:rFonts w:ascii="Times New Roman" w:hAnsi="Times New Roman" w:eastAsia="宋体" w:cs="Times New Roman"/>
                <w:szCs w:val="21"/>
                <w:highlight w:val="none"/>
              </w:rPr>
              <w:t>（3）按规定上传电子投标文件较早的投标人优先。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2.1.1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2.1.3</w:t>
            </w:r>
          </w:p>
        </w:tc>
        <w:tc>
          <w:tcPr>
            <w:tcW w:w="130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形式评审与响应性评审标准</w:t>
            </w:r>
          </w:p>
        </w:tc>
        <w:tc>
          <w:tcPr>
            <w:tcW w:w="6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10"/>
              </w:tabs>
              <w:kinsoku/>
              <w:wordWrap/>
              <w:overflowPunct/>
              <w:topLinePunct w:val="0"/>
              <w:autoSpaceDE/>
              <w:autoSpaceDN/>
              <w:bidi w:val="0"/>
              <w:adjustRightInd/>
              <w:snapToGrid/>
              <w:spacing w:line="360" w:lineRule="exact"/>
              <w:textAlignment w:val="auto"/>
              <w:rPr>
                <w:b/>
                <w:bCs/>
                <w:szCs w:val="21"/>
                <w:highlight w:val="none"/>
              </w:rPr>
            </w:pPr>
            <w:r>
              <w:rPr>
                <w:b/>
                <w:bCs/>
                <w:szCs w:val="21"/>
                <w:highlight w:val="none"/>
              </w:rPr>
              <w:t>第一个信封（商务及技术文件）评审标准：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（1）电子投标文件满足招标文件第二章“投标人须知”第3条规定；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（2）投标人名称与营业执照和</w:t>
            </w:r>
            <w:r>
              <w:rPr>
                <w:rFonts w:hint="eastAsia"/>
                <w:highlight w:val="none"/>
                <w:lang w:eastAsia="zh-CN"/>
              </w:rPr>
              <w:t>基本账户开户许可证（或基本存款账户信息）</w:t>
            </w:r>
            <w:r>
              <w:rPr>
                <w:rFonts w:hint="eastAsia"/>
                <w:highlight w:val="none"/>
              </w:rPr>
              <w:t>上载明的相一致，提供的复印件清晰可辨；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（3）第一个信封（商务及技术文件）按照招标文件规定的格式、内容填写，字迹清晰可辨：</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a.投标函按招标文件规定填报了项目名称、补遗书编号（如有）；</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b.第一个信封（商务及技术文件）内容齐全完整，内容均按规定填写；</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c.交货期</w:t>
            </w:r>
            <w:r>
              <w:rPr>
                <w:rFonts w:hint="eastAsia"/>
                <w:highlight w:val="none"/>
                <w:lang w:eastAsia="zh-CN"/>
              </w:rPr>
              <w:t>、</w:t>
            </w:r>
            <w:r>
              <w:rPr>
                <w:rFonts w:hint="eastAsia"/>
                <w:highlight w:val="none"/>
              </w:rPr>
              <w:t>交货地点</w:t>
            </w:r>
            <w:r>
              <w:rPr>
                <w:rFonts w:hint="eastAsia"/>
                <w:highlight w:val="none"/>
                <w:lang w:eastAsia="zh-CN"/>
              </w:rPr>
              <w:t>、</w:t>
            </w:r>
            <w:r>
              <w:rPr>
                <w:rFonts w:hint="eastAsia"/>
                <w:highlight w:val="none"/>
              </w:rPr>
              <w:t>质量标准</w:t>
            </w:r>
            <w:r>
              <w:rPr>
                <w:rFonts w:hint="eastAsia"/>
                <w:highlight w:val="none"/>
                <w:lang w:eastAsia="zh-CN"/>
              </w:rPr>
              <w:t>、实质性要求和条件、</w:t>
            </w:r>
            <w:r>
              <w:rPr>
                <w:rFonts w:hint="eastAsia"/>
                <w:highlight w:val="none"/>
              </w:rPr>
              <w:t>相关质量和服务要</w:t>
            </w:r>
            <w:r>
              <w:rPr>
                <w:rFonts w:hint="eastAsia"/>
                <w:highlight w:val="none"/>
                <w:lang w:eastAsia="zh-CN"/>
              </w:rPr>
              <w:t>求符合招标文件要求</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（4）投标文件上法定代表人的电子签名、投标人单位的电子签章齐全，符合招标文件规定；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（5）投标人按照招标文件规定提供了投标保证金：</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a.投标保证金金额符合招标文件规定的金额，且投标保证金有效期不少于投标有效期；</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b.若投标保证金采用现金或支票形式提交，投标人应在递交投标文件截止时间之前，将投标保证金由投标人的基本账户转入招标人指定账户；</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c.若投标保证金采用投标保函形式提交，投标保函应满足招标文件要求，且在递交投标文件截止时间之前向招标人提交了投标保函原件；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（6）提供了法定代表人身份证明；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w:t>
            </w:r>
            <w:r>
              <w:rPr>
                <w:rFonts w:hint="eastAsia"/>
                <w:highlight w:val="none"/>
                <w:lang w:val="en-US" w:eastAsia="zh-CN"/>
              </w:rPr>
              <w:t>7</w:t>
            </w:r>
            <w:r>
              <w:rPr>
                <w:rFonts w:hint="eastAsia"/>
                <w:highlight w:val="none"/>
              </w:rPr>
              <w:t>）同一投标人未提交两个以上不同的投标文件；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宋体"/>
                <w:highlight w:val="none"/>
                <w:lang w:eastAsia="zh-CN"/>
              </w:rPr>
            </w:pPr>
            <w:r>
              <w:rPr>
                <w:rFonts w:hint="eastAsia"/>
                <w:highlight w:val="none"/>
              </w:rPr>
              <w:t>（</w:t>
            </w:r>
            <w:r>
              <w:rPr>
                <w:rFonts w:hint="eastAsia"/>
                <w:highlight w:val="none"/>
                <w:lang w:val="en-US" w:eastAsia="zh-CN"/>
              </w:rPr>
              <w:t>8</w:t>
            </w:r>
            <w:r>
              <w:rPr>
                <w:rFonts w:hint="eastAsia"/>
                <w:highlight w:val="none"/>
              </w:rPr>
              <w:t>）</w:t>
            </w:r>
            <w:r>
              <w:rPr>
                <w:rFonts w:hint="eastAsia"/>
                <w:highlight w:val="none"/>
                <w:lang w:eastAsia="zh-CN"/>
              </w:rPr>
              <w:t>投标人未以联合体形式投标；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lang w:eastAsia="zh-CN"/>
              </w:rPr>
              <w:t>（</w:t>
            </w:r>
            <w:r>
              <w:rPr>
                <w:rFonts w:hint="eastAsia"/>
                <w:highlight w:val="none"/>
                <w:lang w:val="en-US" w:eastAsia="zh-CN"/>
              </w:rPr>
              <w:t>9</w:t>
            </w:r>
            <w:r>
              <w:rPr>
                <w:rFonts w:hint="eastAsia"/>
                <w:highlight w:val="none"/>
                <w:lang w:eastAsia="zh-CN"/>
              </w:rPr>
              <w:t>）</w:t>
            </w:r>
            <w:r>
              <w:rPr>
                <w:rFonts w:hint="eastAsia"/>
                <w:highlight w:val="none"/>
              </w:rPr>
              <w:t>第一个信封（商务及技术文件）中未出现有关投标报价的内容；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w:t>
            </w:r>
            <w:r>
              <w:rPr>
                <w:rFonts w:hint="eastAsia"/>
                <w:highlight w:val="none"/>
                <w:lang w:val="en-US" w:eastAsia="zh-CN"/>
              </w:rPr>
              <w:t>10</w:t>
            </w:r>
            <w:r>
              <w:rPr>
                <w:rFonts w:hint="eastAsia"/>
                <w:highlight w:val="none"/>
              </w:rPr>
              <w:t>）第一个信封（商务及技术文件）载明的服务期限与招标文件规定的时限一致；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w:t>
            </w:r>
            <w:r>
              <w:rPr>
                <w:rFonts w:hint="eastAsia"/>
                <w:highlight w:val="none"/>
                <w:lang w:val="en-US" w:eastAsia="zh-CN"/>
              </w:rPr>
              <w:t>11</w:t>
            </w:r>
            <w:r>
              <w:rPr>
                <w:rFonts w:hint="eastAsia"/>
                <w:highlight w:val="none"/>
              </w:rPr>
              <w:t>）第一个信封（商务及技术文件）对招标文件的实质性要求和条件作出响应；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w:t>
            </w:r>
            <w:r>
              <w:rPr>
                <w:rFonts w:hint="eastAsia"/>
                <w:highlight w:val="none"/>
                <w:lang w:val="en-US" w:eastAsia="zh-CN"/>
              </w:rPr>
              <w:t>12</w:t>
            </w:r>
            <w:r>
              <w:rPr>
                <w:rFonts w:hint="eastAsia"/>
                <w:highlight w:val="none"/>
              </w:rPr>
              <w:t>）权利义务符合招标文件规定：</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a.投标人应接受招标文件规定的风险划分原则，未提出新的风险划分办法；</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b.投标人未增加发包人的责任范围，或减少投标人义务；</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c.投标人未提出不同的支付办法；</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d.投标人对合同纠纷、事故处理办法未提出异议；</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e.投标人在投标活动中无欺诈行为；</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f.投标人未对合同条款有重要保留。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ighlight w:val="none"/>
              </w:rPr>
            </w:pPr>
            <w:r>
              <w:rPr>
                <w:rFonts w:hint="eastAsia"/>
                <w:highlight w:val="none"/>
              </w:rPr>
              <w:t>（</w:t>
            </w:r>
            <w:r>
              <w:rPr>
                <w:rFonts w:hint="eastAsia"/>
                <w:highlight w:val="none"/>
                <w:lang w:val="en-US" w:eastAsia="zh-CN"/>
              </w:rPr>
              <w:t>13</w:t>
            </w:r>
            <w:r>
              <w:rPr>
                <w:rFonts w:hint="eastAsia"/>
                <w:highlight w:val="none"/>
              </w:rPr>
              <w:t>）投标人技术能力和以往履约信誉符合招标文件的规定，不得存在以下问题。存在以下问题之一的，属于重大偏差：</w:t>
            </w:r>
          </w:p>
          <w:p>
            <w:pPr>
              <w:keepNext w:val="0"/>
              <w:keepLines w:val="0"/>
              <w:pageBreakBefore w:val="0"/>
              <w:widowControl w:val="0"/>
              <w:kinsoku/>
              <w:wordWrap/>
              <w:overflowPunct/>
              <w:topLinePunct w:val="0"/>
              <w:autoSpaceDE/>
              <w:autoSpaceDN/>
              <w:bidi w:val="0"/>
              <w:adjustRightInd/>
              <w:snapToGrid/>
              <w:spacing w:line="360" w:lineRule="exact"/>
              <w:ind w:firstLine="210"/>
              <w:jc w:val="left"/>
              <w:textAlignment w:val="auto"/>
              <w:rPr>
                <w:rFonts w:hint="eastAsia"/>
                <w:highlight w:val="none"/>
              </w:rPr>
            </w:pPr>
            <w:r>
              <w:rPr>
                <w:rFonts w:hint="eastAsia"/>
                <w:highlight w:val="none"/>
              </w:rPr>
              <w:t>a.承诺的服务质量低于招标人要求；</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0"/>
              <w:jc w:val="left"/>
              <w:textAlignment w:val="auto"/>
              <w:rPr>
                <w:rFonts w:hint="eastAsia"/>
                <w:highlight w:val="none"/>
              </w:rPr>
            </w:pPr>
            <w:r>
              <w:rPr>
                <w:rFonts w:hint="eastAsia"/>
                <w:highlight w:val="none"/>
              </w:rPr>
              <w:t>b.业绩、财务及履约信誉等证明材料存在虚假。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宋体"/>
                <w:szCs w:val="21"/>
                <w:highlight w:val="none"/>
                <w:lang w:eastAsia="zh-CN"/>
              </w:rPr>
            </w:pPr>
            <w:r>
              <w:rPr>
                <w:rFonts w:hint="eastAsia"/>
                <w:highlight w:val="none"/>
                <w:lang w:eastAsia="zh-CN"/>
              </w:rPr>
              <w:t>（</w:t>
            </w:r>
            <w:r>
              <w:rPr>
                <w:rFonts w:hint="eastAsia"/>
                <w:highlight w:val="none"/>
                <w:lang w:val="en-US" w:eastAsia="zh-CN"/>
              </w:rPr>
              <w:t>14</w:t>
            </w:r>
            <w:r>
              <w:rPr>
                <w:rFonts w:hint="eastAsia"/>
                <w:highlight w:val="none"/>
                <w:lang w:eastAsia="zh-CN"/>
              </w:rPr>
              <w:t>）</w:t>
            </w:r>
            <w:r>
              <w:rPr>
                <w:rFonts w:ascii="Times New Roman" w:hAnsi="宋体" w:eastAsia="宋体" w:cs="Times New Roman"/>
                <w:szCs w:val="21"/>
                <w:highlight w:val="none"/>
              </w:rPr>
              <w:t>投标人不存在</w:t>
            </w:r>
            <w:r>
              <w:rPr>
                <w:rFonts w:hint="eastAsia" w:hAnsi="宋体" w:cs="Times New Roman"/>
                <w:szCs w:val="21"/>
                <w:highlight w:val="none"/>
                <w:lang w:eastAsia="zh-CN"/>
              </w:rPr>
              <w:t>投标人须知前附表</w:t>
            </w:r>
            <w:r>
              <w:rPr>
                <w:rFonts w:hint="eastAsia" w:hAnsi="宋体" w:cs="Times New Roman"/>
                <w:szCs w:val="21"/>
                <w:highlight w:val="none"/>
                <w:lang w:val="en-US" w:eastAsia="zh-CN"/>
              </w:rPr>
              <w:t>10.9条款</w:t>
            </w:r>
            <w:r>
              <w:rPr>
                <w:rFonts w:ascii="Times New Roman" w:hAnsi="宋体" w:eastAsia="宋体" w:cs="Times New Roman"/>
                <w:szCs w:val="21"/>
                <w:highlight w:val="none"/>
              </w:rPr>
              <w:t>中相关规定</w:t>
            </w:r>
            <w:r>
              <w:rPr>
                <w:rFonts w:hint="eastAsia" w:hAnsi="宋体" w:cs="Times New Roman"/>
                <w:szCs w:val="21"/>
                <w:highlight w:val="none"/>
                <w:lang w:eastAsia="zh-CN"/>
              </w:rPr>
              <w:t>。</w:t>
            </w:r>
          </w:p>
          <w:p>
            <w:pPr>
              <w:keepNext w:val="0"/>
              <w:keepLines w:val="0"/>
              <w:pageBreakBefore w:val="0"/>
              <w:widowControl w:val="0"/>
              <w:tabs>
                <w:tab w:val="left" w:pos="510"/>
              </w:tabs>
              <w:kinsoku/>
              <w:wordWrap/>
              <w:overflowPunct/>
              <w:topLinePunct w:val="0"/>
              <w:autoSpaceDE/>
              <w:autoSpaceDN/>
              <w:bidi w:val="0"/>
              <w:adjustRightInd/>
              <w:snapToGrid/>
              <w:spacing w:line="360" w:lineRule="exact"/>
              <w:textAlignment w:val="auto"/>
              <w:rPr>
                <w:b/>
                <w:bCs/>
                <w:szCs w:val="21"/>
                <w:highlight w:val="none"/>
              </w:rPr>
            </w:pPr>
            <w:r>
              <w:rPr>
                <w:b/>
                <w:bCs/>
                <w:szCs w:val="21"/>
                <w:highlight w:val="none"/>
              </w:rPr>
              <w:t>第二个信封（报价文件）评审标准：</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投标文件按照招标文件规定的格式、内容填写，字迹清晰可辨，内容齐全完整：</w:t>
            </w:r>
          </w:p>
          <w:p>
            <w:pPr>
              <w:keepNext w:val="0"/>
              <w:keepLines w:val="0"/>
              <w:pageBreakBefore w:val="0"/>
              <w:widowControl w:val="0"/>
              <w:tabs>
                <w:tab w:val="left" w:pos="510"/>
              </w:tabs>
              <w:kinsoku/>
              <w:wordWrap/>
              <w:overflowPunct/>
              <w:topLinePunct w:val="0"/>
              <w:autoSpaceDE/>
              <w:autoSpaceDN/>
              <w:bidi w:val="0"/>
              <w:adjustRightInd/>
              <w:snapToGrid/>
              <w:spacing w:line="360" w:lineRule="exact"/>
              <w:ind w:left="510"/>
              <w:textAlignment w:val="auto"/>
              <w:rPr>
                <w:szCs w:val="21"/>
                <w:highlight w:val="none"/>
              </w:rPr>
            </w:pPr>
            <w:r>
              <w:rPr>
                <w:szCs w:val="21"/>
                <w:highlight w:val="none"/>
              </w:rPr>
              <w:t>a.</w:t>
            </w:r>
            <w:r>
              <w:rPr>
                <w:bCs/>
                <w:szCs w:val="21"/>
                <w:highlight w:val="none"/>
              </w:rPr>
              <w:t>投标</w:t>
            </w:r>
            <w:r>
              <w:rPr>
                <w:szCs w:val="21"/>
                <w:highlight w:val="none"/>
              </w:rPr>
              <w:t>函按招标文件规定填报了项目名称、补遗书编号（如有）、投标价（包括大写金额和小写金额）；</w:t>
            </w:r>
          </w:p>
          <w:p>
            <w:pPr>
              <w:keepNext w:val="0"/>
              <w:keepLines w:val="0"/>
              <w:pageBreakBefore w:val="0"/>
              <w:widowControl w:val="0"/>
              <w:tabs>
                <w:tab w:val="left" w:pos="510"/>
              </w:tabs>
              <w:kinsoku/>
              <w:wordWrap/>
              <w:overflowPunct/>
              <w:topLinePunct w:val="0"/>
              <w:autoSpaceDE/>
              <w:autoSpaceDN/>
              <w:bidi w:val="0"/>
              <w:adjustRightInd/>
              <w:snapToGrid/>
              <w:spacing w:line="360" w:lineRule="exact"/>
              <w:ind w:left="510"/>
              <w:textAlignment w:val="auto"/>
              <w:rPr>
                <w:szCs w:val="21"/>
                <w:highlight w:val="none"/>
              </w:rPr>
            </w:pPr>
            <w:r>
              <w:rPr>
                <w:szCs w:val="21"/>
                <w:highlight w:val="none"/>
              </w:rPr>
              <w:t>b.投标</w:t>
            </w:r>
            <w:r>
              <w:rPr>
                <w:bCs/>
                <w:szCs w:val="21"/>
                <w:highlight w:val="none"/>
              </w:rPr>
              <w:t>文件</w:t>
            </w:r>
            <w:r>
              <w:rPr>
                <w:szCs w:val="21"/>
                <w:highlight w:val="none"/>
              </w:rPr>
              <w:t>组成齐全完整，内容均按规定填写。</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投标文件上法定代表人的签字、投标人的单位章盖章齐全，符合招标文件规定。</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投标报价未超过招标文件设定的最高投标限价或最终投标限价。</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投标报价的大写金额能够确定具体数值。</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同一投标人未提交两个以上不同的投标报价，但招标文件要求提交备选投标的除外。</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电子投标文件符合招标文件的规定。</w:t>
            </w:r>
          </w:p>
          <w:p>
            <w:pPr>
              <w:keepNext w:val="0"/>
              <w:keepLines w:val="0"/>
              <w:pageBreakBefore w:val="0"/>
              <w:widowControl w:val="0"/>
              <w:numPr>
                <w:ilvl w:val="0"/>
                <w:numId w:val="1"/>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ascii="Times New Roman" w:hAnsi="宋体" w:eastAsia="宋体" w:cs="Times New Roman"/>
                <w:szCs w:val="21"/>
                <w:highlight w:val="none"/>
              </w:rPr>
              <w:t>投标人不存在</w:t>
            </w:r>
            <w:r>
              <w:rPr>
                <w:rFonts w:hint="eastAsia" w:hAnsi="宋体" w:cs="Times New Roman"/>
                <w:szCs w:val="21"/>
                <w:highlight w:val="none"/>
                <w:lang w:eastAsia="zh-CN"/>
              </w:rPr>
              <w:t>投标人须知前附表</w:t>
            </w:r>
            <w:r>
              <w:rPr>
                <w:rFonts w:hint="eastAsia" w:hAnsi="宋体" w:cs="Times New Roman"/>
                <w:szCs w:val="21"/>
                <w:highlight w:val="none"/>
                <w:lang w:val="en-US" w:eastAsia="zh-CN"/>
              </w:rPr>
              <w:t>10.9条款</w:t>
            </w:r>
            <w:r>
              <w:rPr>
                <w:rFonts w:ascii="Times New Roman" w:hAnsi="宋体" w:eastAsia="宋体" w:cs="Times New Roman"/>
                <w:szCs w:val="21"/>
                <w:highlight w:val="none"/>
              </w:rPr>
              <w:t>中相关规定</w:t>
            </w:r>
            <w:r>
              <w:rPr>
                <w:rFonts w:hint="eastAsia" w:hAnsi="宋体"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2.1.2</w:t>
            </w:r>
          </w:p>
        </w:tc>
        <w:tc>
          <w:tcPr>
            <w:tcW w:w="130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资格评审标准</w:t>
            </w:r>
          </w:p>
        </w:tc>
        <w:tc>
          <w:tcPr>
            <w:tcW w:w="6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hint="eastAsia" w:ascii="宋体" w:hAnsi="宋体" w:cs="宋体"/>
                <w:color w:val="auto"/>
                <w:szCs w:val="21"/>
                <w:highlight w:val="none"/>
              </w:rPr>
              <w:t>投标人具备有效的营业执照和</w:t>
            </w:r>
            <w:r>
              <w:rPr>
                <w:rFonts w:hint="eastAsia" w:ascii="宋体" w:hAnsi="宋体" w:cs="宋体"/>
                <w:color w:val="auto"/>
                <w:szCs w:val="21"/>
                <w:highlight w:val="none"/>
                <w:lang w:eastAsia="zh-CN"/>
              </w:rPr>
              <w:t>基本账户开户许可证明资料</w:t>
            </w:r>
            <w:r>
              <w:rPr>
                <w:szCs w:val="21"/>
                <w:highlight w:val="none"/>
              </w:rPr>
              <w:t>；</w:t>
            </w:r>
          </w:p>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hint="eastAsia" w:ascii="宋体" w:hAnsi="宋体" w:cs="宋体"/>
                <w:color w:val="auto"/>
                <w:szCs w:val="21"/>
                <w:highlight w:val="none"/>
              </w:rPr>
              <w:t>投标人的基本资格符合招标文件</w:t>
            </w:r>
            <w:r>
              <w:rPr>
                <w:rFonts w:hint="eastAsia" w:ascii="宋体" w:hAnsi="宋体" w:cs="宋体"/>
                <w:color w:val="auto"/>
                <w:szCs w:val="21"/>
                <w:highlight w:val="none"/>
                <w:lang w:val="zh-CN"/>
              </w:rPr>
              <w:t>附录1资质最低要求</w:t>
            </w:r>
            <w:r>
              <w:rPr>
                <w:rFonts w:hint="eastAsia" w:ascii="宋体" w:hAnsi="宋体" w:cs="宋体"/>
                <w:color w:val="auto"/>
                <w:szCs w:val="21"/>
                <w:highlight w:val="none"/>
              </w:rPr>
              <w:t>规定</w:t>
            </w:r>
            <w:r>
              <w:rPr>
                <w:rFonts w:hint="eastAsia" w:ascii="宋体" w:hAnsi="宋体" w:cs="宋体"/>
                <w:color w:val="auto"/>
                <w:szCs w:val="21"/>
                <w:highlight w:val="none"/>
                <w:lang w:eastAsia="zh-CN"/>
              </w:rPr>
              <w:t>；</w:t>
            </w:r>
          </w:p>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hint="eastAsia" w:ascii="宋体" w:hAnsi="宋体" w:cs="宋体"/>
                <w:color w:val="auto"/>
                <w:szCs w:val="21"/>
                <w:highlight w:val="none"/>
              </w:rPr>
              <w:t>投标人的财务状况符合招标文件</w:t>
            </w:r>
            <w:r>
              <w:rPr>
                <w:rFonts w:hint="eastAsia" w:ascii="宋体" w:hAnsi="宋体" w:cs="宋体"/>
                <w:color w:val="auto"/>
                <w:szCs w:val="21"/>
                <w:highlight w:val="none"/>
                <w:lang w:val="zh-CN"/>
              </w:rPr>
              <w:t>附录</w:t>
            </w:r>
            <w:r>
              <w:rPr>
                <w:rFonts w:hint="eastAsia" w:ascii="宋体" w:hAnsi="宋体" w:cs="宋体"/>
                <w:color w:val="auto"/>
                <w:szCs w:val="21"/>
                <w:highlight w:val="none"/>
                <w:lang w:val="en-US" w:eastAsia="zh-CN"/>
              </w:rPr>
              <w:t>2财务最低要求</w:t>
            </w:r>
            <w:r>
              <w:rPr>
                <w:rFonts w:hint="eastAsia" w:ascii="宋体" w:hAnsi="宋体" w:cs="宋体"/>
                <w:color w:val="auto"/>
                <w:szCs w:val="21"/>
                <w:highlight w:val="none"/>
              </w:rPr>
              <w:t>规定</w:t>
            </w:r>
            <w:r>
              <w:rPr>
                <w:rFonts w:hint="eastAsia"/>
                <w:szCs w:val="21"/>
                <w:highlight w:val="none"/>
                <w:lang w:eastAsia="zh-CN"/>
              </w:rPr>
              <w:t>；</w:t>
            </w:r>
          </w:p>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hint="eastAsia" w:ascii="宋体" w:hAnsi="宋体" w:cs="宋体"/>
                <w:color w:val="auto"/>
                <w:szCs w:val="21"/>
                <w:highlight w:val="none"/>
              </w:rPr>
              <w:t>投标人的类似项目业绩符合招标文件</w:t>
            </w:r>
            <w:r>
              <w:rPr>
                <w:rFonts w:hint="eastAsia" w:ascii="宋体" w:hAnsi="宋体" w:cs="宋体"/>
                <w:color w:val="auto"/>
                <w:szCs w:val="21"/>
                <w:highlight w:val="none"/>
                <w:lang w:val="zh-CN"/>
              </w:rPr>
              <w:t>附录</w:t>
            </w:r>
            <w:r>
              <w:rPr>
                <w:rFonts w:hint="eastAsia" w:ascii="宋体" w:hAnsi="宋体" w:cs="宋体"/>
                <w:color w:val="auto"/>
                <w:szCs w:val="21"/>
                <w:highlight w:val="none"/>
                <w:lang w:val="en-US" w:eastAsia="zh-CN"/>
              </w:rPr>
              <w:t>3业绩最低要求</w:t>
            </w:r>
            <w:r>
              <w:rPr>
                <w:rFonts w:hint="eastAsia" w:ascii="宋体" w:hAnsi="宋体" w:cs="宋体"/>
                <w:color w:val="auto"/>
                <w:szCs w:val="21"/>
                <w:highlight w:val="none"/>
              </w:rPr>
              <w:t>规定</w:t>
            </w:r>
            <w:r>
              <w:rPr>
                <w:szCs w:val="21"/>
                <w:highlight w:val="none"/>
              </w:rPr>
              <w:t>；</w:t>
            </w:r>
          </w:p>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rFonts w:hint="eastAsia" w:ascii="宋体" w:hAnsi="宋体" w:cs="宋体"/>
                <w:color w:val="auto"/>
                <w:szCs w:val="21"/>
                <w:highlight w:val="none"/>
              </w:rPr>
              <w:t>投标人的信誉符合招标文件</w:t>
            </w:r>
            <w:r>
              <w:rPr>
                <w:rFonts w:hint="eastAsia" w:ascii="宋体" w:hAnsi="宋体" w:cs="宋体"/>
                <w:color w:val="auto"/>
                <w:szCs w:val="21"/>
                <w:highlight w:val="none"/>
                <w:lang w:val="zh-CN"/>
              </w:rPr>
              <w:t>附录</w:t>
            </w:r>
            <w:r>
              <w:rPr>
                <w:rFonts w:hint="eastAsia" w:ascii="宋体" w:hAnsi="宋体" w:cs="宋体"/>
                <w:color w:val="auto"/>
                <w:szCs w:val="21"/>
                <w:highlight w:val="none"/>
                <w:lang w:val="en-US" w:eastAsia="zh-CN"/>
              </w:rPr>
              <w:t>4信誉最低要求</w:t>
            </w:r>
            <w:r>
              <w:rPr>
                <w:rFonts w:hint="eastAsia" w:ascii="宋体" w:hAnsi="宋体" w:cs="宋体"/>
                <w:color w:val="auto"/>
                <w:szCs w:val="21"/>
                <w:highlight w:val="none"/>
              </w:rPr>
              <w:t>规定</w:t>
            </w:r>
            <w:r>
              <w:rPr>
                <w:szCs w:val="21"/>
                <w:highlight w:val="none"/>
              </w:rPr>
              <w:t>；</w:t>
            </w:r>
          </w:p>
          <w:p>
            <w:pPr>
              <w:keepNext w:val="0"/>
              <w:keepLines w:val="0"/>
              <w:pageBreakBefore w:val="0"/>
              <w:widowControl w:val="0"/>
              <w:numPr>
                <w:ilvl w:val="0"/>
                <w:numId w:val="2"/>
              </w:numPr>
              <w:tabs>
                <w:tab w:val="left" w:pos="537"/>
              </w:tabs>
              <w:kinsoku/>
              <w:wordWrap/>
              <w:overflowPunct/>
              <w:topLinePunct w:val="0"/>
              <w:autoSpaceDE/>
              <w:autoSpaceDN/>
              <w:bidi w:val="0"/>
              <w:adjustRightInd/>
              <w:snapToGrid/>
              <w:spacing w:line="360" w:lineRule="exact"/>
              <w:ind w:left="518" w:hanging="518"/>
              <w:textAlignment w:val="auto"/>
              <w:rPr>
                <w:szCs w:val="21"/>
                <w:highlight w:val="none"/>
              </w:rPr>
            </w:pPr>
            <w:r>
              <w:rPr>
                <w:szCs w:val="21"/>
                <w:highlight w:val="none"/>
              </w:rPr>
              <w:t>投标人不存在第二章“投标人须知”第1.4.3项规定的任何一种情形。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highlight w:val="none"/>
              </w:rPr>
            </w:pPr>
            <w:r>
              <w:rPr>
                <w:szCs w:val="21"/>
                <w:highlight w:val="none"/>
              </w:rPr>
              <w:t>2.2.1</w:t>
            </w:r>
          </w:p>
        </w:tc>
        <w:tc>
          <w:tcPr>
            <w:tcW w:w="130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分值构成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（总分100分）</w:t>
            </w:r>
          </w:p>
        </w:tc>
        <w:tc>
          <w:tcPr>
            <w:tcW w:w="6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b/>
                <w:szCs w:val="21"/>
                <w:highlight w:val="none"/>
              </w:rPr>
            </w:pPr>
            <w:r>
              <w:rPr>
                <w:b/>
                <w:szCs w:val="21"/>
                <w:highlight w:val="none"/>
              </w:rPr>
              <w:t>基本资格、业绩、技术能力、履约信誉评分标准（满分100分）：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基本资格：</w:t>
            </w:r>
            <w:r>
              <w:rPr>
                <w:szCs w:val="21"/>
                <w:highlight w:val="none"/>
                <w:u w:val="single"/>
              </w:rPr>
              <w:t xml:space="preserve"> </w:t>
            </w:r>
            <w:r>
              <w:rPr>
                <w:rFonts w:hint="eastAsia"/>
                <w:szCs w:val="21"/>
                <w:highlight w:val="none"/>
                <w:u w:val="single"/>
                <w:lang w:val="en-US" w:eastAsia="zh-CN"/>
              </w:rPr>
              <w:t>20</w:t>
            </w:r>
            <w:r>
              <w:rPr>
                <w:szCs w:val="21"/>
                <w:highlight w:val="none"/>
                <w:u w:val="single"/>
              </w:rPr>
              <w:t xml:space="preserve"> </w:t>
            </w:r>
            <w:r>
              <w:rPr>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业    绩：</w:t>
            </w:r>
            <w:r>
              <w:rPr>
                <w:szCs w:val="21"/>
                <w:highlight w:val="none"/>
                <w:u w:val="single"/>
              </w:rPr>
              <w:t xml:space="preserve"> </w:t>
            </w:r>
            <w:r>
              <w:rPr>
                <w:rFonts w:hint="eastAsia"/>
                <w:szCs w:val="21"/>
                <w:highlight w:val="none"/>
                <w:u w:val="single"/>
                <w:lang w:val="en-US" w:eastAsia="zh-CN"/>
              </w:rPr>
              <w:t>3</w:t>
            </w:r>
            <w:r>
              <w:rPr>
                <w:szCs w:val="21"/>
                <w:highlight w:val="none"/>
                <w:u w:val="single"/>
              </w:rPr>
              <w:t xml:space="preserve">0 </w:t>
            </w:r>
            <w:r>
              <w:rPr>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highlight w:val="none"/>
              </w:rPr>
            </w:pPr>
            <w:r>
              <w:rPr>
                <w:szCs w:val="21"/>
                <w:highlight w:val="none"/>
              </w:rPr>
              <w:t>技术能力：</w:t>
            </w:r>
            <w:r>
              <w:rPr>
                <w:szCs w:val="21"/>
                <w:highlight w:val="none"/>
                <w:u w:val="single"/>
              </w:rPr>
              <w:t xml:space="preserve"> 35 </w:t>
            </w:r>
            <w:r>
              <w:rPr>
                <w:szCs w:val="21"/>
                <w:highlight w:val="none"/>
              </w:rPr>
              <w:t>分</w:t>
            </w:r>
          </w:p>
          <w:p>
            <w:pPr>
              <w:keepNext w:val="0"/>
              <w:keepLines w:val="0"/>
              <w:pageBreakBefore w:val="0"/>
              <w:widowControl w:val="0"/>
              <w:tabs>
                <w:tab w:val="left" w:pos="537"/>
              </w:tabs>
              <w:kinsoku/>
              <w:wordWrap/>
              <w:overflowPunct/>
              <w:topLinePunct w:val="0"/>
              <w:autoSpaceDE/>
              <w:autoSpaceDN/>
              <w:bidi w:val="0"/>
              <w:adjustRightInd/>
              <w:snapToGrid/>
              <w:spacing w:line="360" w:lineRule="exact"/>
              <w:textAlignment w:val="auto"/>
              <w:rPr>
                <w:szCs w:val="21"/>
                <w:highlight w:val="none"/>
              </w:rPr>
            </w:pPr>
            <w:r>
              <w:rPr>
                <w:szCs w:val="21"/>
                <w:highlight w:val="none"/>
              </w:rPr>
              <w:t>履约信誉：</w:t>
            </w:r>
            <w:r>
              <w:rPr>
                <w:szCs w:val="21"/>
                <w:highlight w:val="none"/>
                <w:u w:val="single"/>
              </w:rPr>
              <w:t xml:space="preserve"> 15 </w:t>
            </w:r>
            <w:r>
              <w:rPr>
                <w:szCs w:val="21"/>
                <w:highlight w:val="none"/>
              </w:rPr>
              <w:t>分</w:t>
            </w:r>
          </w:p>
        </w:tc>
      </w:tr>
      <w:bookmarkEnd w:id="35"/>
      <w:bookmarkEnd w:id="5"/>
      <w:bookmarkEnd w:id="6"/>
      <w:bookmarkEnd w:id="7"/>
      <w:bookmarkEnd w:id="8"/>
    </w:tbl>
    <w:p>
      <w:pPr>
        <w:rPr>
          <w:highlight w:val="none"/>
        </w:rPr>
      </w:pPr>
      <w:r>
        <w:rPr>
          <w:highlight w:val="none"/>
        </w:rPr>
        <w:br w:type="page"/>
      </w:r>
    </w:p>
    <w:tbl>
      <w:tblPr>
        <w:tblStyle w:val="10"/>
        <w:tblW w:w="90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
        <w:gridCol w:w="1030"/>
        <w:gridCol w:w="1183"/>
        <w:gridCol w:w="1153"/>
        <w:gridCol w:w="772"/>
        <w:gridCol w:w="4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restart"/>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条款号</w:t>
            </w:r>
          </w:p>
        </w:tc>
        <w:tc>
          <w:tcPr>
            <w:tcW w:w="4138" w:type="dxa"/>
            <w:gridSpan w:val="4"/>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评分因素与权重分值</w:t>
            </w:r>
          </w:p>
        </w:tc>
        <w:tc>
          <w:tcPr>
            <w:tcW w:w="40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p>
        </w:tc>
        <w:tc>
          <w:tcPr>
            <w:tcW w:w="103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评分</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因素</w:t>
            </w:r>
          </w:p>
        </w:tc>
        <w:tc>
          <w:tcPr>
            <w:tcW w:w="11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评分因素权重分值</w:t>
            </w: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各评分因素细分项</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r>
              <w:rPr>
                <w:b/>
                <w:szCs w:val="21"/>
                <w:highlight w:val="none"/>
              </w:rPr>
              <w:t>分值</w:t>
            </w:r>
          </w:p>
        </w:tc>
        <w:tc>
          <w:tcPr>
            <w:tcW w:w="40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2.2.4（1）</w:t>
            </w:r>
          </w:p>
        </w:tc>
        <w:tc>
          <w:tcPr>
            <w:tcW w:w="103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eastAsia="宋体"/>
                <w:highlight w:val="none"/>
                <w:lang w:eastAsia="zh-CN"/>
              </w:rPr>
            </w:pPr>
            <w:r>
              <w:rPr>
                <w:highlight w:val="none"/>
              </w:rPr>
              <w:t>基本资格</w:t>
            </w:r>
            <w:r>
              <w:rPr>
                <w:rFonts w:hint="eastAsia"/>
                <w:szCs w:val="21"/>
                <w:highlight w:val="none"/>
                <w:lang w:eastAsia="zh-CN"/>
              </w:rPr>
              <w:t>财务能力</w:t>
            </w:r>
          </w:p>
        </w:tc>
        <w:tc>
          <w:tcPr>
            <w:tcW w:w="11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2</w:t>
            </w:r>
            <w:r>
              <w:rPr>
                <w:szCs w:val="21"/>
                <w:highlight w:val="none"/>
              </w:rPr>
              <w:t>0分</w:t>
            </w: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highlight w:val="none"/>
              </w:rPr>
            </w:pPr>
            <w:r>
              <w:rPr>
                <w:highlight w:val="none"/>
              </w:rPr>
              <w:t>基本资格</w:t>
            </w:r>
          </w:p>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eastAsia="宋体"/>
                <w:szCs w:val="21"/>
                <w:highlight w:val="none"/>
                <w:lang w:val="en-US" w:eastAsia="zh-CN"/>
              </w:rPr>
            </w:pPr>
            <w:r>
              <w:rPr>
                <w:rFonts w:hint="eastAsia"/>
                <w:szCs w:val="21"/>
                <w:highlight w:val="none"/>
                <w:lang w:eastAsia="zh-CN"/>
              </w:rPr>
              <w:t>财务能力</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2</w:t>
            </w:r>
            <w:r>
              <w:rPr>
                <w:szCs w:val="21"/>
                <w:highlight w:val="none"/>
              </w:rPr>
              <w:t>0分</w:t>
            </w:r>
          </w:p>
        </w:tc>
        <w:tc>
          <w:tcPr>
            <w:tcW w:w="4009" w:type="dxa"/>
            <w:tcBorders>
              <w:top w:val="single" w:color="auto" w:sz="4" w:space="0"/>
              <w:left w:val="single" w:color="auto" w:sz="4" w:space="0"/>
              <w:right w:val="single" w:color="auto" w:sz="4" w:space="0"/>
            </w:tcBorders>
            <w:vAlign w:val="center"/>
          </w:tcPr>
          <w:tbl>
            <w:tblPr>
              <w:tblStyle w:val="10"/>
              <w:tblW w:w="9387" w:type="dxa"/>
              <w:tblInd w:w="-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eastAsia="宋体"/>
                      <w:szCs w:val="21"/>
                      <w:highlight w:val="none"/>
                      <w:lang w:eastAsia="zh-CN"/>
                    </w:rPr>
                  </w:pPr>
                  <w:r>
                    <w:rPr>
                      <w:rFonts w:hint="eastAsia" w:ascii="宋体" w:hAnsi="宋体" w:cs="宋体"/>
                      <w:szCs w:val="21"/>
                      <w:highlight w:val="none"/>
                    </w:rPr>
                    <w:t>①</w:t>
                  </w:r>
                  <w:r>
                    <w:rPr>
                      <w:szCs w:val="21"/>
                      <w:highlight w:val="none"/>
                    </w:rPr>
                    <w:t>满足</w:t>
                  </w:r>
                  <w:r>
                    <w:rPr>
                      <w:rFonts w:hint="eastAsia" w:ascii="宋体" w:hAnsi="宋体" w:cs="宋体"/>
                      <w:color w:val="auto"/>
                      <w:szCs w:val="21"/>
                      <w:highlight w:val="none"/>
                    </w:rPr>
                    <w:t>招标文件</w:t>
                  </w:r>
                  <w:r>
                    <w:rPr>
                      <w:rFonts w:hint="default"/>
                      <w:szCs w:val="21"/>
                      <w:highlight w:val="none"/>
                      <w:lang w:val="en-US" w:eastAsia="zh-CN"/>
                    </w:rPr>
                    <w:t>“</w:t>
                  </w:r>
                  <w:r>
                    <w:rPr>
                      <w:rFonts w:hint="eastAsia" w:ascii="宋体" w:hAnsi="宋体" w:cs="宋体"/>
                      <w:color w:val="auto"/>
                      <w:szCs w:val="21"/>
                      <w:highlight w:val="none"/>
                      <w:lang w:val="zh-CN"/>
                    </w:rPr>
                    <w:t>附录1资质最低要求</w:t>
                  </w:r>
                  <w:r>
                    <w:rPr>
                      <w:rFonts w:hint="eastAsia" w:ascii="宋体" w:hAnsi="宋体" w:cs="宋体"/>
                      <w:color w:val="auto"/>
                      <w:szCs w:val="21"/>
                      <w:highlight w:val="none"/>
                    </w:rPr>
                    <w:t>规定</w:t>
                  </w:r>
                  <w:r>
                    <w:rPr>
                      <w:rFonts w:hint="default"/>
                      <w:szCs w:val="21"/>
                      <w:highlight w:val="none"/>
                      <w:lang w:val="en-US" w:eastAsia="zh-CN"/>
                    </w:rPr>
                    <w:t>”</w:t>
                  </w:r>
                  <w:r>
                    <w:rPr>
                      <w:rFonts w:hint="eastAsia"/>
                      <w:szCs w:val="21"/>
                      <w:highlight w:val="none"/>
                      <w:lang w:eastAsia="zh-CN"/>
                    </w:rPr>
                    <w:t>、</w:t>
                  </w:r>
                  <w:r>
                    <w:rPr>
                      <w:rFonts w:hint="default"/>
                      <w:szCs w:val="21"/>
                      <w:highlight w:val="none"/>
                      <w:lang w:val="en-US" w:eastAsia="zh-CN"/>
                    </w:rPr>
                    <w:t>“</w:t>
                  </w:r>
                  <w:r>
                    <w:rPr>
                      <w:rFonts w:hint="eastAsia" w:ascii="宋体" w:hAnsi="宋体" w:cs="宋体"/>
                      <w:color w:val="auto"/>
                      <w:szCs w:val="21"/>
                      <w:highlight w:val="none"/>
                      <w:lang w:val="zh-CN"/>
                    </w:rPr>
                    <w:t>附录</w:t>
                  </w:r>
                  <w:r>
                    <w:rPr>
                      <w:rFonts w:hint="eastAsia" w:ascii="宋体" w:hAnsi="宋体" w:cs="宋体"/>
                      <w:color w:val="auto"/>
                      <w:szCs w:val="21"/>
                      <w:highlight w:val="none"/>
                      <w:lang w:val="en-US" w:eastAsia="zh-CN"/>
                    </w:rPr>
                    <w:t>2财务最低要求</w:t>
                  </w:r>
                  <w:r>
                    <w:rPr>
                      <w:rFonts w:hint="eastAsia" w:ascii="宋体" w:hAnsi="宋体" w:cs="宋体"/>
                      <w:color w:val="auto"/>
                      <w:szCs w:val="21"/>
                      <w:highlight w:val="none"/>
                    </w:rPr>
                    <w:t>规定</w:t>
                  </w:r>
                  <w:r>
                    <w:rPr>
                      <w:rFonts w:hint="default"/>
                      <w:szCs w:val="21"/>
                      <w:highlight w:val="none"/>
                      <w:lang w:val="en-US" w:eastAsia="zh-CN"/>
                    </w:rPr>
                    <w:t>”</w:t>
                  </w:r>
                  <w:r>
                    <w:rPr>
                      <w:szCs w:val="21"/>
                      <w:highlight w:val="none"/>
                    </w:rPr>
                    <w:t>的，计基本分</w:t>
                  </w:r>
                  <w:r>
                    <w:rPr>
                      <w:rFonts w:hint="eastAsia"/>
                      <w:szCs w:val="21"/>
                      <w:highlight w:val="none"/>
                      <w:lang w:val="en-US" w:eastAsia="zh-CN"/>
                    </w:rPr>
                    <w:t>12</w:t>
                  </w:r>
                  <w:r>
                    <w:rPr>
                      <w:szCs w:val="21"/>
                      <w:highlight w:val="none"/>
                    </w:rPr>
                    <w:t>分</w:t>
                  </w:r>
                  <w:r>
                    <w:rPr>
                      <w:rFonts w:hint="eastAsia"/>
                      <w:szCs w:val="21"/>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rFonts w:hint="eastAsia" w:ascii="宋体" w:hAnsi="宋体" w:cs="宋体"/>
                      <w:szCs w:val="21"/>
                      <w:highlight w:val="none"/>
                    </w:rPr>
                    <w:t>②</w:t>
                  </w:r>
                  <w:r>
                    <w:rPr>
                      <w:rFonts w:hint="eastAsia"/>
                      <w:szCs w:val="21"/>
                      <w:highlight w:val="none"/>
                      <w:lang w:eastAsia="zh-CN"/>
                    </w:rPr>
                    <w:t>投标人拌和厂距省道董榆线（S318）寒湖岭隧道新建工程起点、终点的最远距离在</w:t>
                  </w:r>
                  <w:r>
                    <w:rPr>
                      <w:rFonts w:hint="eastAsia"/>
                      <w:szCs w:val="21"/>
                      <w:highlight w:val="none"/>
                      <w:lang w:val="en-US" w:eastAsia="zh-CN"/>
                    </w:rPr>
                    <w:t>100公里基础上每减少10公里（不足10公里部分不计）加2分，本项最多加8分</w:t>
                  </w:r>
                  <w:r>
                    <w:rPr>
                      <w:szCs w:val="21"/>
                      <w:highlight w:val="none"/>
                    </w:rPr>
                    <w:t>。</w:t>
                  </w:r>
                </w:p>
              </w:tc>
            </w:tr>
          </w:tbl>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2.2.4（2）</w:t>
            </w:r>
          </w:p>
        </w:tc>
        <w:tc>
          <w:tcPr>
            <w:tcW w:w="103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业绩</w:t>
            </w:r>
          </w:p>
        </w:tc>
        <w:tc>
          <w:tcPr>
            <w:tcW w:w="11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3</w:t>
            </w:r>
            <w:r>
              <w:rPr>
                <w:szCs w:val="21"/>
                <w:highlight w:val="none"/>
              </w:rPr>
              <w:t>0分</w:t>
            </w: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业绩</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3</w:t>
            </w:r>
            <w:r>
              <w:rPr>
                <w:szCs w:val="21"/>
                <w:highlight w:val="none"/>
              </w:rPr>
              <w:t>0分</w:t>
            </w:r>
          </w:p>
        </w:tc>
        <w:tc>
          <w:tcPr>
            <w:tcW w:w="40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rFonts w:hint="eastAsia" w:ascii="宋体" w:hAnsi="宋体" w:cs="宋体"/>
                <w:szCs w:val="21"/>
                <w:highlight w:val="none"/>
              </w:rPr>
              <w:t>①</w:t>
            </w:r>
            <w:r>
              <w:rPr>
                <w:szCs w:val="21"/>
                <w:highlight w:val="none"/>
              </w:rPr>
              <w:t>满足“资格审查条件（业绩最低要求）”的，计基本分</w:t>
            </w:r>
            <w:r>
              <w:rPr>
                <w:rFonts w:hint="eastAsia"/>
                <w:szCs w:val="21"/>
                <w:highlight w:val="none"/>
                <w:lang w:val="en-US" w:eastAsia="zh-CN"/>
              </w:rPr>
              <w:t>18</w:t>
            </w:r>
            <w:r>
              <w:rPr>
                <w:szCs w:val="21"/>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b/>
                <w:bCs/>
                <w:szCs w:val="21"/>
                <w:highlight w:val="none"/>
              </w:rPr>
            </w:pPr>
            <w:r>
              <w:rPr>
                <w:rFonts w:hint="eastAsia" w:ascii="宋体" w:hAnsi="宋体" w:cs="宋体"/>
                <w:szCs w:val="21"/>
                <w:highlight w:val="none"/>
              </w:rPr>
              <w:t>②</w:t>
            </w:r>
            <w:r>
              <w:rPr>
                <w:rFonts w:hint="eastAsia"/>
                <w:szCs w:val="21"/>
                <w:highlight w:val="none"/>
                <w:lang w:eastAsia="zh-CN"/>
              </w:rPr>
              <w:t>近三年（2020年6月1日</w:t>
            </w:r>
            <w:r>
              <w:rPr>
                <w:szCs w:val="21"/>
                <w:highlight w:val="none"/>
              </w:rPr>
              <w:t>至投标文件递交截止之日</w:t>
            </w:r>
            <w:r>
              <w:rPr>
                <w:rFonts w:hint="eastAsia"/>
                <w:szCs w:val="21"/>
                <w:highlight w:val="none"/>
              </w:rPr>
              <w:t>，以</w:t>
            </w:r>
            <w:r>
              <w:rPr>
                <w:rFonts w:hint="eastAsia"/>
                <w:szCs w:val="21"/>
                <w:highlight w:val="none"/>
                <w:lang w:eastAsia="zh-CN"/>
              </w:rPr>
              <w:t>合同签订时间为准</w:t>
            </w:r>
            <w:r>
              <w:rPr>
                <w:szCs w:val="21"/>
                <w:highlight w:val="none"/>
              </w:rPr>
              <w:t>）</w:t>
            </w:r>
            <w:r>
              <w:rPr>
                <w:rFonts w:hint="eastAsia"/>
                <w:szCs w:val="21"/>
                <w:highlight w:val="none"/>
              </w:rPr>
              <w:t>每增加</w:t>
            </w:r>
            <w:r>
              <w:rPr>
                <w:rFonts w:hint="eastAsia"/>
                <w:szCs w:val="21"/>
                <w:highlight w:val="none"/>
                <w:lang w:val="en-US" w:eastAsia="zh-CN"/>
              </w:rPr>
              <w:t>5000</w:t>
            </w:r>
            <w:r>
              <w:rPr>
                <w:rFonts w:hint="eastAsia"/>
                <w:szCs w:val="21"/>
                <w:highlight w:val="none"/>
              </w:rPr>
              <w:t>吨</w:t>
            </w:r>
            <w:r>
              <w:rPr>
                <w:rFonts w:hint="eastAsia"/>
                <w:szCs w:val="21"/>
                <w:highlight w:val="none"/>
                <w:lang w:eastAsia="zh-CN"/>
              </w:rPr>
              <w:t>橡胶改性沥青拌和供货业绩（</w:t>
            </w:r>
            <w:r>
              <w:rPr>
                <w:rFonts w:hint="eastAsia"/>
                <w:szCs w:val="21"/>
                <w:highlight w:val="none"/>
              </w:rPr>
              <w:t>不足</w:t>
            </w:r>
            <w:r>
              <w:rPr>
                <w:rFonts w:hint="eastAsia"/>
                <w:szCs w:val="21"/>
                <w:highlight w:val="none"/>
                <w:lang w:val="en-US" w:eastAsia="zh-CN"/>
              </w:rPr>
              <w:t>5000</w:t>
            </w:r>
            <w:r>
              <w:rPr>
                <w:rFonts w:hint="eastAsia"/>
                <w:szCs w:val="21"/>
                <w:highlight w:val="none"/>
              </w:rPr>
              <w:t>吨部分不计）加</w:t>
            </w:r>
            <w:r>
              <w:rPr>
                <w:rFonts w:hint="eastAsia"/>
                <w:szCs w:val="21"/>
                <w:highlight w:val="none"/>
                <w:lang w:val="en-US" w:eastAsia="zh-CN"/>
              </w:rPr>
              <w:t>2</w:t>
            </w:r>
            <w:r>
              <w:rPr>
                <w:rFonts w:hint="eastAsia"/>
                <w:szCs w:val="21"/>
                <w:highlight w:val="none"/>
              </w:rPr>
              <w:t>分，</w:t>
            </w:r>
            <w:r>
              <w:rPr>
                <w:szCs w:val="21"/>
                <w:highlight w:val="none"/>
              </w:rPr>
              <w:t>本项</w:t>
            </w:r>
            <w:r>
              <w:rPr>
                <w:rFonts w:hint="eastAsia"/>
                <w:szCs w:val="21"/>
                <w:highlight w:val="none"/>
              </w:rPr>
              <w:t>最多加</w:t>
            </w:r>
            <w:r>
              <w:rPr>
                <w:rFonts w:hint="eastAsia"/>
                <w:szCs w:val="21"/>
                <w:highlight w:val="none"/>
                <w:lang w:val="en-US" w:eastAsia="zh-CN"/>
              </w:rPr>
              <w:t>12</w:t>
            </w:r>
            <w:r>
              <w:rPr>
                <w:rFonts w:hint="eastAsia"/>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restart"/>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2.2.4（3）</w:t>
            </w:r>
          </w:p>
        </w:tc>
        <w:tc>
          <w:tcPr>
            <w:tcW w:w="1030" w:type="dxa"/>
            <w:vMerge w:val="restart"/>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技术能力</w:t>
            </w:r>
          </w:p>
        </w:tc>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35分</w:t>
            </w: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供货方案</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9</w:t>
            </w:r>
            <w:r>
              <w:rPr>
                <w:szCs w:val="21"/>
                <w:highlight w:val="none"/>
              </w:rPr>
              <w:t>分</w:t>
            </w:r>
          </w:p>
        </w:tc>
        <w:tc>
          <w:tcPr>
            <w:tcW w:w="40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szCs w:val="21"/>
                <w:highlight w:val="none"/>
              </w:rPr>
              <w:t>本项基本分为</w:t>
            </w:r>
            <w:r>
              <w:rPr>
                <w:rFonts w:hint="eastAsia"/>
                <w:szCs w:val="21"/>
                <w:highlight w:val="none"/>
                <w:lang w:val="en-US" w:eastAsia="zh-CN"/>
              </w:rPr>
              <w:t>5.4</w:t>
            </w:r>
            <w:r>
              <w:rPr>
                <w:szCs w:val="21"/>
                <w:highlight w:val="none"/>
              </w:rPr>
              <w:t>分，满分</w:t>
            </w:r>
            <w:r>
              <w:rPr>
                <w:rFonts w:hint="eastAsia"/>
                <w:szCs w:val="21"/>
                <w:highlight w:val="none"/>
                <w:lang w:val="en-US" w:eastAsia="zh-CN"/>
              </w:rPr>
              <w:t>9</w:t>
            </w:r>
            <w:r>
              <w:rPr>
                <w:szCs w:val="21"/>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szCs w:val="21"/>
                <w:highlight w:val="none"/>
              </w:rPr>
              <w:t>根据</w:t>
            </w:r>
            <w:r>
              <w:rPr>
                <w:rFonts w:hint="eastAsia"/>
                <w:szCs w:val="21"/>
                <w:highlight w:val="none"/>
                <w:lang w:eastAsia="zh-CN"/>
              </w:rPr>
              <w:t>投标人</w:t>
            </w:r>
            <w:r>
              <w:rPr>
                <w:szCs w:val="21"/>
                <w:highlight w:val="none"/>
              </w:rPr>
              <w:t>针对本项目提供的供货方案，包括但不限于①按</w:t>
            </w:r>
            <w:r>
              <w:rPr>
                <w:rFonts w:hint="eastAsia"/>
                <w:szCs w:val="21"/>
                <w:highlight w:val="none"/>
                <w:lang w:eastAsia="zh-CN"/>
              </w:rPr>
              <w:t>期</w:t>
            </w:r>
            <w:r>
              <w:rPr>
                <w:szCs w:val="21"/>
                <w:highlight w:val="none"/>
              </w:rPr>
              <w:t>交货方案、②货物装卸方案、③按期按量交货保障措施</w:t>
            </w:r>
            <w:r>
              <w:rPr>
                <w:rFonts w:hint="eastAsia"/>
                <w:szCs w:val="21"/>
                <w:highlight w:val="none"/>
                <w:lang w:eastAsia="zh-CN"/>
              </w:rPr>
              <w:t>的</w:t>
            </w:r>
            <w:r>
              <w:rPr>
                <w:szCs w:val="21"/>
                <w:highlight w:val="none"/>
              </w:rPr>
              <w:t>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9</w:t>
            </w:r>
            <w:r>
              <w:rPr>
                <w:rFonts w:hint="eastAsia"/>
                <w:highlight w:val="none"/>
                <w:lang w:val="en-US"/>
              </w:rPr>
              <w:t>分</w:t>
            </w:r>
            <w:r>
              <w:rPr>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03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质量保证措施</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rFonts w:hint="eastAsia"/>
                <w:szCs w:val="21"/>
                <w:highlight w:val="none"/>
                <w:lang w:val="en-US" w:eastAsia="zh-CN"/>
              </w:rPr>
              <w:t>6</w:t>
            </w:r>
            <w:r>
              <w:rPr>
                <w:rFonts w:hint="eastAsia"/>
                <w:szCs w:val="21"/>
                <w:highlight w:val="none"/>
              </w:rPr>
              <w:t>分</w:t>
            </w:r>
          </w:p>
        </w:tc>
        <w:tc>
          <w:tcPr>
            <w:tcW w:w="40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szCs w:val="21"/>
                <w:highlight w:val="none"/>
              </w:rPr>
              <w:t>本项基本分为</w:t>
            </w:r>
            <w:r>
              <w:rPr>
                <w:rFonts w:hint="eastAsia"/>
                <w:szCs w:val="21"/>
                <w:highlight w:val="none"/>
                <w:lang w:val="en-US" w:eastAsia="zh-CN"/>
              </w:rPr>
              <w:t>3.6</w:t>
            </w:r>
            <w:r>
              <w:rPr>
                <w:szCs w:val="21"/>
                <w:highlight w:val="none"/>
              </w:rPr>
              <w:t>分，满分</w:t>
            </w:r>
            <w:r>
              <w:rPr>
                <w:rFonts w:hint="eastAsia"/>
                <w:szCs w:val="21"/>
                <w:highlight w:val="none"/>
                <w:lang w:val="en-US" w:eastAsia="zh-CN"/>
              </w:rPr>
              <w:t>6</w:t>
            </w:r>
            <w:r>
              <w:rPr>
                <w:szCs w:val="21"/>
                <w:highlight w:val="none"/>
              </w:rPr>
              <w:t>分。</w:t>
            </w:r>
          </w:p>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rFonts w:ascii="Times New Roman" w:hAnsi="Times New Roman" w:eastAsia="宋体" w:cs="Times New Roman"/>
                <w:kern w:val="2"/>
                <w:sz w:val="21"/>
                <w:szCs w:val="21"/>
                <w:highlight w:val="none"/>
                <w:lang w:val="en-US" w:eastAsia="zh-CN" w:bidi="ar-SA"/>
              </w:rPr>
            </w:pPr>
            <w:r>
              <w:rPr>
                <w:szCs w:val="21"/>
                <w:highlight w:val="none"/>
              </w:rPr>
              <w:t>根据</w:t>
            </w:r>
            <w:r>
              <w:rPr>
                <w:rFonts w:hint="eastAsia"/>
                <w:szCs w:val="21"/>
                <w:highlight w:val="none"/>
                <w:lang w:eastAsia="zh-CN"/>
              </w:rPr>
              <w:t>投标人</w:t>
            </w:r>
            <w:r>
              <w:rPr>
                <w:rFonts w:ascii="Times New Roman" w:hAnsi="Times New Roman" w:eastAsia="宋体" w:cs="Times New Roman"/>
                <w:kern w:val="2"/>
                <w:sz w:val="21"/>
                <w:szCs w:val="21"/>
                <w:highlight w:val="none"/>
                <w:lang w:val="en-US" w:eastAsia="zh-CN" w:bidi="ar-SA"/>
              </w:rPr>
              <w:t>针对本项目提供的质量保证措施，包括但不限于①质量保证体系的建立、②质量目标、③质量标准、④质量控制节点、⑤产品供货质量保障措施</w:t>
            </w:r>
            <w:r>
              <w:rPr>
                <w:rFonts w:hint="eastAsia"/>
                <w:szCs w:val="21"/>
                <w:highlight w:val="none"/>
                <w:lang w:eastAsia="zh-CN"/>
              </w:rPr>
              <w:t>的</w:t>
            </w:r>
            <w:r>
              <w:rPr>
                <w:szCs w:val="21"/>
                <w:highlight w:val="none"/>
              </w:rPr>
              <w:t>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6</w:t>
            </w:r>
            <w:r>
              <w:rPr>
                <w:rFonts w:hint="eastAsia"/>
                <w:highlight w:val="none"/>
                <w:lang w:val="en-US"/>
              </w:rPr>
              <w:t>分</w:t>
            </w:r>
            <w:r>
              <w:rPr>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03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售后服务方案</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szCs w:val="21"/>
                <w:highlight w:val="none"/>
                <w:lang w:val="en-US" w:eastAsia="zh-CN"/>
              </w:rPr>
            </w:pPr>
            <w:r>
              <w:rPr>
                <w:rFonts w:hint="eastAsia"/>
                <w:szCs w:val="21"/>
                <w:highlight w:val="none"/>
                <w:lang w:val="en-US" w:eastAsia="zh-CN"/>
              </w:rPr>
              <w:t>6分</w:t>
            </w:r>
          </w:p>
        </w:tc>
        <w:tc>
          <w:tcPr>
            <w:tcW w:w="40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szCs w:val="21"/>
                <w:highlight w:val="none"/>
              </w:rPr>
              <w:t>本项基本分为</w:t>
            </w:r>
            <w:r>
              <w:rPr>
                <w:rFonts w:hint="eastAsia"/>
                <w:szCs w:val="21"/>
                <w:highlight w:val="none"/>
                <w:lang w:val="en-US" w:eastAsia="zh-CN"/>
              </w:rPr>
              <w:t>3.6</w:t>
            </w:r>
            <w:r>
              <w:rPr>
                <w:szCs w:val="21"/>
                <w:highlight w:val="none"/>
              </w:rPr>
              <w:t>分，满分</w:t>
            </w:r>
            <w:r>
              <w:rPr>
                <w:rFonts w:hint="eastAsia"/>
                <w:szCs w:val="21"/>
                <w:highlight w:val="none"/>
                <w:lang w:val="en-US" w:eastAsia="zh-CN"/>
              </w:rPr>
              <w:t>6</w:t>
            </w:r>
            <w:r>
              <w:rPr>
                <w:szCs w:val="21"/>
                <w:highlight w:val="none"/>
              </w:rPr>
              <w:t>分。</w:t>
            </w:r>
          </w:p>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根据</w:t>
            </w:r>
            <w:r>
              <w:rPr>
                <w:rFonts w:hint="eastAsia"/>
                <w:szCs w:val="21"/>
                <w:highlight w:val="none"/>
                <w:lang w:eastAsia="zh-CN"/>
              </w:rPr>
              <w:t>投标人</w:t>
            </w:r>
            <w:r>
              <w:rPr>
                <w:szCs w:val="21"/>
                <w:highlight w:val="none"/>
              </w:rPr>
              <w:t>针对本项目提供的售后服务方案，包括但不限于①供应商提供服务专线电话、②维护的响应时间、③现场服务支持能力、④质量保证期限、⑤质量保证范围</w:t>
            </w:r>
            <w:r>
              <w:rPr>
                <w:rFonts w:hint="eastAsia"/>
                <w:szCs w:val="21"/>
                <w:highlight w:val="none"/>
                <w:lang w:eastAsia="zh-CN"/>
              </w:rPr>
              <w:t>的</w:t>
            </w:r>
            <w:r>
              <w:rPr>
                <w:szCs w:val="21"/>
                <w:highlight w:val="none"/>
              </w:rPr>
              <w:t>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6</w:t>
            </w:r>
            <w:r>
              <w:rPr>
                <w:rFonts w:hint="eastAsia"/>
                <w:highlight w:val="none"/>
                <w:lang w:val="en-US"/>
              </w:rPr>
              <w:t>分</w:t>
            </w:r>
            <w:r>
              <w:rPr>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03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both"/>
              <w:textAlignment w:val="auto"/>
              <w:rPr>
                <w:szCs w:val="21"/>
                <w:highlight w:val="none"/>
              </w:rPr>
            </w:pPr>
            <w:r>
              <w:rPr>
                <w:szCs w:val="21"/>
                <w:highlight w:val="none"/>
              </w:rPr>
              <w:t>风险预测与防范，安全目标及管理措施及承诺提供的服务</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szCs w:val="21"/>
                <w:highlight w:val="none"/>
                <w:lang w:val="en-US" w:eastAsia="zh-CN"/>
              </w:rPr>
            </w:pPr>
            <w:r>
              <w:rPr>
                <w:rFonts w:hint="eastAsia"/>
                <w:szCs w:val="21"/>
                <w:highlight w:val="none"/>
                <w:lang w:val="en-US" w:eastAsia="zh-CN"/>
              </w:rPr>
              <w:t>6分</w:t>
            </w:r>
          </w:p>
        </w:tc>
        <w:tc>
          <w:tcPr>
            <w:tcW w:w="4009" w:type="dxa"/>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本项基本分为</w:t>
            </w:r>
            <w:r>
              <w:rPr>
                <w:rFonts w:hint="eastAsia"/>
                <w:szCs w:val="21"/>
                <w:highlight w:val="none"/>
                <w:lang w:val="en-US" w:eastAsia="zh-CN"/>
              </w:rPr>
              <w:t>3.6</w:t>
            </w:r>
            <w:r>
              <w:rPr>
                <w:szCs w:val="21"/>
                <w:highlight w:val="none"/>
              </w:rPr>
              <w:t>分，满分</w:t>
            </w:r>
            <w:r>
              <w:rPr>
                <w:rFonts w:hint="eastAsia"/>
                <w:szCs w:val="21"/>
                <w:highlight w:val="none"/>
                <w:lang w:val="en-US" w:eastAsia="zh-CN"/>
              </w:rPr>
              <w:t>6</w:t>
            </w:r>
            <w:r>
              <w:rPr>
                <w:szCs w:val="21"/>
                <w:highlight w:val="none"/>
              </w:rPr>
              <w:t>分。</w:t>
            </w:r>
          </w:p>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根据</w:t>
            </w:r>
            <w:r>
              <w:rPr>
                <w:rFonts w:hint="eastAsia"/>
                <w:szCs w:val="21"/>
                <w:highlight w:val="none"/>
                <w:lang w:eastAsia="zh-CN"/>
              </w:rPr>
              <w:t>投标人</w:t>
            </w:r>
            <w:r>
              <w:rPr>
                <w:szCs w:val="21"/>
                <w:highlight w:val="none"/>
              </w:rPr>
              <w:t>针对本项目提供的依据项目风险预测与防范，安全目标及管理措施及承诺提供的服务的内容详细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6</w:t>
            </w:r>
            <w:r>
              <w:rPr>
                <w:rFonts w:hint="eastAsia"/>
                <w:highlight w:val="none"/>
                <w:lang w:val="en-US"/>
              </w:rPr>
              <w:t>分</w:t>
            </w:r>
            <w:r>
              <w:rPr>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03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应急保障方案</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szCs w:val="21"/>
                <w:highlight w:val="none"/>
                <w:lang w:val="en-US" w:eastAsia="zh-CN"/>
              </w:rPr>
            </w:pPr>
            <w:r>
              <w:rPr>
                <w:rFonts w:hint="eastAsia"/>
                <w:szCs w:val="21"/>
                <w:highlight w:val="none"/>
                <w:lang w:val="en-US" w:eastAsia="zh-CN"/>
              </w:rPr>
              <w:t>4分</w:t>
            </w:r>
          </w:p>
        </w:tc>
        <w:tc>
          <w:tcPr>
            <w:tcW w:w="4009" w:type="dxa"/>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本项基本分为</w:t>
            </w:r>
            <w:r>
              <w:rPr>
                <w:rFonts w:hint="eastAsia"/>
                <w:szCs w:val="21"/>
                <w:highlight w:val="none"/>
                <w:lang w:val="en-US" w:eastAsia="zh-CN"/>
              </w:rPr>
              <w:t>2.4</w:t>
            </w:r>
            <w:r>
              <w:rPr>
                <w:szCs w:val="21"/>
                <w:highlight w:val="none"/>
              </w:rPr>
              <w:t>分，满分</w:t>
            </w:r>
            <w:r>
              <w:rPr>
                <w:rFonts w:hint="eastAsia"/>
                <w:szCs w:val="21"/>
                <w:highlight w:val="none"/>
                <w:lang w:val="en-US" w:eastAsia="zh-CN"/>
              </w:rPr>
              <w:t>4</w:t>
            </w:r>
            <w:r>
              <w:rPr>
                <w:szCs w:val="21"/>
                <w:highlight w:val="none"/>
              </w:rPr>
              <w:t>分。</w:t>
            </w:r>
          </w:p>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rFonts w:hint="eastAsia" w:eastAsia="宋体"/>
                <w:szCs w:val="21"/>
                <w:highlight w:val="none"/>
                <w:lang w:val="en-US" w:eastAsia="zh-CN"/>
              </w:rPr>
            </w:pPr>
            <w:r>
              <w:rPr>
                <w:szCs w:val="21"/>
                <w:highlight w:val="none"/>
              </w:rPr>
              <w:t>根据</w:t>
            </w:r>
            <w:r>
              <w:rPr>
                <w:rFonts w:hint="eastAsia"/>
                <w:szCs w:val="21"/>
                <w:highlight w:val="none"/>
                <w:lang w:eastAsia="zh-CN"/>
              </w:rPr>
              <w:t>投标人</w:t>
            </w:r>
            <w:r>
              <w:rPr>
                <w:szCs w:val="21"/>
                <w:highlight w:val="none"/>
              </w:rPr>
              <w:t>针对本项目提供的应急保障方案，包括但不限于①应急响应时间、②应急响应方案、③紧急事故安全保障措施、④事故解决处理措施的内容详细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4</w:t>
            </w:r>
            <w:r>
              <w:rPr>
                <w:rFonts w:hint="eastAsia"/>
                <w:highlight w:val="none"/>
                <w:lang w:val="en-US"/>
              </w:rPr>
              <w:t>分</w:t>
            </w: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03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eastAsia="宋体"/>
                <w:szCs w:val="21"/>
                <w:highlight w:val="none"/>
                <w:lang w:eastAsia="zh-CN"/>
              </w:rPr>
            </w:pPr>
            <w:r>
              <w:rPr>
                <w:rFonts w:hint="eastAsia"/>
                <w:szCs w:val="21"/>
                <w:highlight w:val="none"/>
                <w:lang w:eastAsia="zh-CN"/>
              </w:rPr>
              <w:t>人员及安全管理方案</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szCs w:val="21"/>
                <w:highlight w:val="none"/>
                <w:lang w:val="en-US" w:eastAsia="zh-CN"/>
              </w:rPr>
            </w:pPr>
            <w:r>
              <w:rPr>
                <w:rFonts w:hint="eastAsia"/>
                <w:szCs w:val="21"/>
                <w:highlight w:val="none"/>
                <w:lang w:val="en-US" w:eastAsia="zh-CN"/>
              </w:rPr>
              <w:t>4分</w:t>
            </w:r>
          </w:p>
        </w:tc>
        <w:tc>
          <w:tcPr>
            <w:tcW w:w="4009" w:type="dxa"/>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本项基本分为</w:t>
            </w:r>
            <w:r>
              <w:rPr>
                <w:rFonts w:hint="eastAsia"/>
                <w:szCs w:val="21"/>
                <w:highlight w:val="none"/>
                <w:lang w:val="en-US" w:eastAsia="zh-CN"/>
              </w:rPr>
              <w:t>2.4</w:t>
            </w:r>
            <w:r>
              <w:rPr>
                <w:szCs w:val="21"/>
                <w:highlight w:val="none"/>
              </w:rPr>
              <w:t>分，满分</w:t>
            </w:r>
            <w:r>
              <w:rPr>
                <w:rFonts w:hint="eastAsia"/>
                <w:szCs w:val="21"/>
                <w:highlight w:val="none"/>
                <w:lang w:val="en-US" w:eastAsia="zh-CN"/>
              </w:rPr>
              <w:t>4</w:t>
            </w:r>
            <w:r>
              <w:rPr>
                <w:szCs w:val="21"/>
                <w:highlight w:val="none"/>
              </w:rPr>
              <w:t>分。</w:t>
            </w:r>
          </w:p>
          <w:p>
            <w:pPr>
              <w:pStyle w:val="5"/>
              <w:keepNext w:val="0"/>
              <w:keepLines w:val="0"/>
              <w:pageBreakBefore w:val="0"/>
              <w:kinsoku/>
              <w:wordWrap/>
              <w:overflowPunct/>
              <w:topLinePunct w:val="0"/>
              <w:autoSpaceDE/>
              <w:autoSpaceDN/>
              <w:bidi w:val="0"/>
              <w:adjustRightInd/>
              <w:snapToGrid/>
              <w:spacing w:beforeAutospacing="0" w:after="0" w:afterAutospacing="0" w:line="360" w:lineRule="exact"/>
              <w:textAlignment w:val="auto"/>
              <w:rPr>
                <w:szCs w:val="21"/>
                <w:highlight w:val="none"/>
              </w:rPr>
            </w:pPr>
            <w:r>
              <w:rPr>
                <w:szCs w:val="21"/>
                <w:highlight w:val="none"/>
              </w:rPr>
              <w:t>根据</w:t>
            </w:r>
            <w:r>
              <w:rPr>
                <w:rFonts w:hint="eastAsia"/>
                <w:szCs w:val="21"/>
                <w:highlight w:val="none"/>
                <w:lang w:eastAsia="zh-CN"/>
              </w:rPr>
              <w:t>投标人</w:t>
            </w:r>
            <w:r>
              <w:rPr>
                <w:szCs w:val="21"/>
                <w:highlight w:val="none"/>
              </w:rPr>
              <w:t>针对本项目提供的人员</w:t>
            </w:r>
            <w:r>
              <w:rPr>
                <w:rFonts w:hint="eastAsia"/>
                <w:szCs w:val="21"/>
                <w:highlight w:val="none"/>
                <w:lang w:eastAsia="zh-CN"/>
              </w:rPr>
              <w:t>及安全</w:t>
            </w:r>
            <w:r>
              <w:rPr>
                <w:szCs w:val="21"/>
                <w:highlight w:val="none"/>
              </w:rPr>
              <w:t>管理方案，包括但不限于①人员数量与组成结构、②人员岗位职责、③日常管理制度、④机械设备使用的安全保证措施、</w:t>
            </w:r>
            <w:r>
              <w:rPr>
                <w:rFonts w:ascii="Times New Roman" w:hAnsi="Times New Roman" w:eastAsia="宋体" w:cs="Times New Roman"/>
                <w:kern w:val="2"/>
                <w:sz w:val="21"/>
                <w:szCs w:val="21"/>
                <w:highlight w:val="none"/>
                <w:lang w:val="en-US" w:eastAsia="zh-CN" w:bidi="ar-SA"/>
              </w:rPr>
              <w:t>⑤</w:t>
            </w:r>
            <w:r>
              <w:rPr>
                <w:szCs w:val="21"/>
                <w:highlight w:val="none"/>
              </w:rPr>
              <w:t>人员安全意识教育的内容详细</w:t>
            </w:r>
            <w:r>
              <w:rPr>
                <w:rFonts w:hint="eastAsia"/>
                <w:szCs w:val="21"/>
                <w:highlight w:val="none"/>
                <w:lang w:eastAsia="zh-CN"/>
              </w:rPr>
              <w:t>程度、</w:t>
            </w:r>
            <w:r>
              <w:rPr>
                <w:szCs w:val="21"/>
                <w:highlight w:val="none"/>
              </w:rPr>
              <w:t>针对性</w:t>
            </w:r>
            <w:r>
              <w:rPr>
                <w:rFonts w:hint="eastAsia"/>
                <w:szCs w:val="21"/>
                <w:highlight w:val="none"/>
                <w:lang w:eastAsia="zh-CN"/>
              </w:rPr>
              <w:t>、与</w:t>
            </w:r>
            <w:r>
              <w:rPr>
                <w:szCs w:val="21"/>
                <w:highlight w:val="none"/>
              </w:rPr>
              <w:t>项目实际情况</w:t>
            </w:r>
            <w:r>
              <w:rPr>
                <w:rFonts w:hint="eastAsia"/>
                <w:szCs w:val="21"/>
                <w:highlight w:val="none"/>
                <w:lang w:eastAsia="zh-CN"/>
              </w:rPr>
              <w:t>的符合性</w:t>
            </w:r>
            <w:r>
              <w:rPr>
                <w:szCs w:val="21"/>
                <w:highlight w:val="none"/>
              </w:rPr>
              <w:t>等进行</w:t>
            </w:r>
            <w:r>
              <w:rPr>
                <w:rFonts w:hint="eastAsia"/>
                <w:highlight w:val="none"/>
                <w:lang w:val="en-US"/>
              </w:rPr>
              <w:t>酌情</w:t>
            </w:r>
            <w:r>
              <w:rPr>
                <w:rFonts w:hint="eastAsia"/>
                <w:highlight w:val="none"/>
                <w:lang w:val="en-US" w:eastAsia="zh-CN"/>
              </w:rPr>
              <w:t>加分，最高</w:t>
            </w:r>
            <w:r>
              <w:rPr>
                <w:rFonts w:hint="eastAsia"/>
                <w:highlight w:val="none"/>
                <w:lang w:val="en-US"/>
              </w:rPr>
              <w:t>得</w:t>
            </w:r>
            <w:r>
              <w:rPr>
                <w:rFonts w:hint="eastAsia"/>
                <w:highlight w:val="none"/>
                <w:lang w:val="en-US" w:eastAsia="zh-CN"/>
              </w:rPr>
              <w:t>4</w:t>
            </w:r>
            <w:r>
              <w:rPr>
                <w:rFonts w:hint="eastAsia"/>
                <w:highlight w:val="none"/>
                <w:lang w:val="en-US"/>
              </w:rPr>
              <w:t>分</w:t>
            </w: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7"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2.2.4（4）</w:t>
            </w:r>
          </w:p>
        </w:tc>
        <w:tc>
          <w:tcPr>
            <w:tcW w:w="103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履约信誉</w:t>
            </w:r>
          </w:p>
        </w:tc>
        <w:tc>
          <w:tcPr>
            <w:tcW w:w="11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15分</w:t>
            </w:r>
          </w:p>
        </w:tc>
        <w:tc>
          <w:tcPr>
            <w:tcW w:w="115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履约信誉</w:t>
            </w:r>
          </w:p>
        </w:tc>
        <w:tc>
          <w:tcPr>
            <w:tcW w:w="77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15分</w:t>
            </w:r>
          </w:p>
        </w:tc>
        <w:tc>
          <w:tcPr>
            <w:tcW w:w="40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default" w:eastAsia="宋体"/>
                <w:szCs w:val="21"/>
                <w:highlight w:val="none"/>
                <w:lang w:val="en-US" w:eastAsia="zh-CN"/>
              </w:rPr>
            </w:pPr>
            <w:r>
              <w:rPr>
                <w:szCs w:val="21"/>
                <w:highlight w:val="none"/>
              </w:rPr>
              <w:t>满足“资格审查条件（信誉最低要求）” 的，计</w:t>
            </w:r>
            <w:r>
              <w:rPr>
                <w:rFonts w:hint="eastAsia"/>
                <w:szCs w:val="21"/>
                <w:highlight w:val="none"/>
                <w:lang w:val="en-US" w:eastAsia="zh-CN"/>
              </w:rPr>
              <w:t>9</w:t>
            </w:r>
            <w:r>
              <w:rPr>
                <w:szCs w:val="21"/>
                <w:highlight w:val="none"/>
              </w:rPr>
              <w:t>分</w:t>
            </w:r>
            <w:r>
              <w:rPr>
                <w:rFonts w:hint="eastAsia"/>
                <w:szCs w:val="21"/>
                <w:highlight w:val="none"/>
                <w:lang w:eastAsia="zh-CN"/>
              </w:rPr>
              <w:t>，之前的供货业绩中，每有一项获得业主好评的（以嘉奖证书或履约证明为准）加</w:t>
            </w:r>
            <w:r>
              <w:rPr>
                <w:rFonts w:hint="eastAsia"/>
                <w:szCs w:val="21"/>
                <w:highlight w:val="none"/>
                <w:lang w:val="en-US" w:eastAsia="zh-CN"/>
              </w:rPr>
              <w:t>3分</w:t>
            </w:r>
            <w:r>
              <w:rPr>
                <w:rFonts w:hint="eastAsia"/>
                <w:szCs w:val="21"/>
                <w:highlight w:val="none"/>
                <w:lang w:eastAsia="zh-CN"/>
              </w:rPr>
              <w:t>，本项最多加</w:t>
            </w:r>
            <w:r>
              <w:rPr>
                <w:rFonts w:hint="eastAsia"/>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00" w:type="dxa"/>
            <w:gridSpan w:val="3"/>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szCs w:val="21"/>
                <w:highlight w:val="none"/>
              </w:rPr>
            </w:pPr>
            <w:r>
              <w:rPr>
                <w:szCs w:val="21"/>
                <w:highlight w:val="none"/>
              </w:rPr>
              <w:t>评标价</w:t>
            </w:r>
          </w:p>
        </w:tc>
        <w:tc>
          <w:tcPr>
            <w:tcW w:w="5934"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szCs w:val="21"/>
                <w:highlight w:val="none"/>
              </w:rPr>
            </w:pPr>
            <w:r>
              <w:rPr>
                <w:szCs w:val="21"/>
                <w:highlight w:val="none"/>
              </w:rPr>
              <w:t>评标价=投标函文字报价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34" w:type="dxa"/>
            <w:gridSpan w:val="6"/>
            <w:tcBorders>
              <w:top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before="0" w:beforeAutospacing="0" w:after="0" w:afterAutospacing="0" w:line="360" w:lineRule="exact"/>
              <w:ind w:left="360" w:hanging="360" w:hangingChars="150"/>
              <w:textAlignment w:val="auto"/>
              <w:rPr>
                <w:rFonts w:ascii="Times New Roman" w:hAnsi="Times New Roman" w:cs="Times New Roman"/>
                <w:highlight w:val="none"/>
              </w:rPr>
            </w:pPr>
            <w:r>
              <w:rPr>
                <w:rFonts w:ascii="Times New Roman" w:hAnsi="Times New Roman" w:cs="Times New Roman"/>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34" w:type="dxa"/>
            <w:gridSpan w:val="6"/>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eastAsia="宋体"/>
                <w:szCs w:val="21"/>
                <w:highlight w:val="none"/>
                <w:lang w:eastAsia="zh-CN"/>
              </w:rPr>
            </w:pPr>
            <w:r>
              <w:rPr>
                <w:rFonts w:hint="eastAsia"/>
                <w:szCs w:val="21"/>
                <w:highlight w:val="none"/>
                <w:lang w:eastAsia="zh-CN"/>
              </w:rPr>
              <w:t>补充：</w:t>
            </w:r>
            <w:r>
              <w:rPr>
                <w:szCs w:val="21"/>
                <w:highlight w:val="none"/>
              </w:rPr>
              <w:t>通过第一个信封评审的投标人不足3个时，所有投标人的第二个信封均不予开标，招标人将重新组织招标。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34" w:type="dxa"/>
            <w:gridSpan w:val="6"/>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540" w:hanging="539" w:hangingChars="257"/>
              <w:textAlignment w:val="auto"/>
              <w:rPr>
                <w:szCs w:val="21"/>
                <w:highlight w:val="none"/>
              </w:rPr>
            </w:pPr>
            <w:r>
              <w:rPr>
                <w:rFonts w:hint="eastAsia"/>
                <w:szCs w:val="21"/>
                <w:highlight w:val="none"/>
              </w:rPr>
              <w:t>补充3</w:t>
            </w:r>
            <w:r>
              <w:rPr>
                <w:szCs w:val="21"/>
                <w:highlight w:val="none"/>
              </w:rPr>
              <w:t>.1.3</w:t>
            </w:r>
            <w:r>
              <w:rPr>
                <w:rFonts w:hint="eastAsia"/>
                <w:szCs w:val="21"/>
                <w:highlight w:val="none"/>
              </w:rPr>
              <w:t>（4）</w:t>
            </w:r>
            <w:r>
              <w:rPr>
                <w:rFonts w:hint="eastAsia"/>
                <w:szCs w:val="21"/>
                <w:highlight w:val="none"/>
                <w:lang w:eastAsia="zh-CN"/>
              </w:rPr>
              <w:t>投</w:t>
            </w:r>
            <w:r>
              <w:rPr>
                <w:rFonts w:hint="eastAsia"/>
                <w:szCs w:val="21"/>
                <w:highlight w:val="none"/>
              </w:rPr>
              <w:t>标人存在</w:t>
            </w:r>
            <w:r>
              <w:rPr>
                <w:rFonts w:hint="eastAsia"/>
                <w:szCs w:val="21"/>
                <w:highlight w:val="none"/>
                <w:lang w:val="en-US" w:eastAsia="zh-CN"/>
              </w:rPr>
              <w:t>晋交建管发[2023]99号“山西省交通运输厅公路工程建设项目招标投标管理办法”</w:t>
            </w:r>
            <w:r>
              <w:rPr>
                <w:rFonts w:hint="eastAsia"/>
                <w:szCs w:val="21"/>
                <w:highlight w:val="none"/>
              </w:rPr>
              <w:t>规定的，否决其投标：</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eastAsia="zh-CN"/>
              </w:rPr>
            </w:pPr>
            <w:r>
              <w:rPr>
                <w:rFonts w:hint="eastAsia"/>
                <w:szCs w:val="21"/>
                <w:highlight w:val="none"/>
              </w:rPr>
              <w:t>①</w:t>
            </w:r>
            <w:r>
              <w:rPr>
                <w:rFonts w:hint="eastAsia"/>
                <w:szCs w:val="21"/>
                <w:highlight w:val="none"/>
                <w:lang w:eastAsia="zh-CN"/>
              </w:rPr>
              <w:t>不同投标人间不得有下列情形：</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（一）不同投标人投标文件投标报价、项目管理成员等实质性内容存在一致；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（二）电子投标文件记录的MAC地址相同，包含不同投标人在不同批次投标活动中信息相同情况；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（三）投标文件的下载、制作、记录、上传IP地址等信息出现任一相同情况；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（四）不同投标人的投标保证金来源为同一单位或者账户的；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（五）投标人之间相互约定给予未中标的投标人费用补偿的；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lang w:val="en-US" w:eastAsia="zh-CN"/>
              </w:rPr>
            </w:pPr>
            <w:r>
              <w:rPr>
                <w:rFonts w:hint="eastAsia"/>
                <w:szCs w:val="21"/>
                <w:highlight w:val="none"/>
                <w:lang w:val="en-US" w:eastAsia="zh-CN"/>
              </w:rPr>
              <w:t xml:space="preserve">（六）不同投标人的CA数字证书混用的； </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rFonts w:hint="eastAsia"/>
                <w:szCs w:val="21"/>
                <w:highlight w:val="none"/>
              </w:rPr>
            </w:pPr>
            <w:r>
              <w:rPr>
                <w:rFonts w:hint="eastAsia"/>
                <w:szCs w:val="21"/>
                <w:highlight w:val="none"/>
                <w:lang w:val="en-US" w:eastAsia="zh-CN"/>
              </w:rPr>
              <w:t>（七）其他法律法规规定被视为投标人相互串通投标的情形。</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5" w:firstLineChars="12"/>
              <w:textAlignment w:val="auto"/>
              <w:rPr>
                <w:szCs w:val="21"/>
                <w:highlight w:val="none"/>
              </w:rPr>
            </w:pPr>
            <w:r>
              <w:rPr>
                <w:rFonts w:hint="eastAsia"/>
                <w:szCs w:val="21"/>
                <w:highlight w:val="none"/>
              </w:rPr>
              <w:t>②发现①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34" w:type="dxa"/>
            <w:gridSpan w:val="6"/>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right="105" w:rightChars="50"/>
              <w:jc w:val="left"/>
              <w:textAlignment w:val="auto"/>
              <w:rPr>
                <w:szCs w:val="21"/>
                <w:highlight w:val="none"/>
              </w:rPr>
            </w:pPr>
            <w:r>
              <w:rPr>
                <w:rFonts w:hint="eastAsia"/>
                <w:szCs w:val="21"/>
                <w:highlight w:val="none"/>
              </w:rPr>
              <w:t>补充3</w:t>
            </w:r>
            <w:r>
              <w:rPr>
                <w:szCs w:val="21"/>
                <w:highlight w:val="none"/>
              </w:rPr>
              <w:t>.</w:t>
            </w:r>
            <w:r>
              <w:rPr>
                <w:rFonts w:hint="eastAsia"/>
                <w:szCs w:val="21"/>
                <w:highlight w:val="none"/>
                <w:lang w:val="en-US" w:eastAsia="zh-CN"/>
              </w:rPr>
              <w:t>2.4</w:t>
            </w:r>
            <w:r>
              <w:rPr>
                <w:rFonts w:hint="eastAsia"/>
                <w:szCs w:val="21"/>
                <w:highlight w:val="none"/>
              </w:rPr>
              <w:t>（</w:t>
            </w:r>
            <w:r>
              <w:rPr>
                <w:rFonts w:hint="eastAsia"/>
                <w:szCs w:val="21"/>
                <w:highlight w:val="none"/>
                <w:lang w:val="en-US" w:eastAsia="zh-CN"/>
              </w:rPr>
              <w:t>2</w:t>
            </w:r>
            <w:r>
              <w:rPr>
                <w:rFonts w:hint="eastAsia"/>
                <w:szCs w:val="21"/>
                <w:highlight w:val="none"/>
              </w:rPr>
              <w:t>）</w:t>
            </w:r>
            <w:r>
              <w:rPr>
                <w:szCs w:val="21"/>
                <w:highlight w:val="none"/>
              </w:rPr>
              <w:t>投标报价明显低于其他投标报价指低于</w:t>
            </w:r>
            <w:r>
              <w:rPr>
                <w:b/>
                <w:bCs/>
                <w:szCs w:val="21"/>
                <w:highlight w:val="none"/>
              </w:rPr>
              <w:t>理论成本价</w:t>
            </w:r>
            <w:r>
              <w:rPr>
                <w:szCs w:val="21"/>
                <w:highlight w:val="none"/>
              </w:rPr>
              <w:t>的投标报价。</w:t>
            </w:r>
          </w:p>
          <w:p>
            <w:pPr>
              <w:keepNext w:val="0"/>
              <w:keepLines w:val="0"/>
              <w:pageBreakBefore w:val="0"/>
              <w:kinsoku/>
              <w:wordWrap/>
              <w:overflowPunct/>
              <w:topLinePunct w:val="0"/>
              <w:autoSpaceDE/>
              <w:autoSpaceDN/>
              <w:bidi w:val="0"/>
              <w:adjustRightInd/>
              <w:snapToGrid/>
              <w:spacing w:beforeAutospacing="0" w:afterAutospacing="0" w:line="360" w:lineRule="exact"/>
              <w:ind w:right="105" w:rightChars="50"/>
              <w:jc w:val="left"/>
              <w:textAlignment w:val="auto"/>
              <w:rPr>
                <w:rFonts w:hint="eastAsia" w:eastAsia="宋体"/>
                <w:szCs w:val="21"/>
                <w:highlight w:val="none"/>
                <w:lang w:eastAsia="zh-CN"/>
              </w:rPr>
            </w:pPr>
            <w:r>
              <w:rPr>
                <w:rFonts w:hint="eastAsia"/>
                <w:szCs w:val="21"/>
                <w:highlight w:val="none"/>
                <w:lang w:eastAsia="zh-CN"/>
              </w:rPr>
              <w:t>理论成本价：同一标段中所有不高于最高投标限价的有效评标价的算术平均值的50%（当有效评标价有5个及以上时，应去掉其中的最高值和最低值）与最高投标限价的50%相加后，乘以成本价系数0.85所得数值为该标段理论成本价。理论成本价小数点后保留3位小数，后面一位小数四舍五入。</w:t>
            </w:r>
          </w:p>
        </w:tc>
      </w:tr>
    </w:tbl>
    <w:p>
      <w:pPr>
        <w:rPr>
          <w:highlight w:val="none"/>
        </w:rPr>
      </w:pPr>
      <w:r>
        <w:rPr>
          <w:highlight w:val="none"/>
        </w:rPr>
        <w:br w:type="page"/>
      </w:r>
    </w:p>
    <w:p>
      <w:pPr>
        <w:wordWrap w:val="0"/>
        <w:topLinePunct/>
        <w:rPr>
          <w:b/>
          <w:highlight w:val="none"/>
        </w:rPr>
        <w:sectPr>
          <w:footnotePr>
            <w:numFmt w:val="decimalEnclosedCircleChinese"/>
            <w:numRestart w:val="eachPage"/>
          </w:footnotePr>
          <w:pgSz w:w="11906" w:h="16838"/>
          <w:pgMar w:top="1418" w:right="1385" w:bottom="1418" w:left="1701" w:header="851" w:footer="992" w:gutter="0"/>
          <w:cols w:space="720" w:num="1"/>
          <w:docGrid w:linePitch="312" w:charSpace="0"/>
        </w:sectPr>
      </w:pPr>
    </w:p>
    <w:p>
      <w:pPr>
        <w:pStyle w:val="4"/>
        <w:pageBreakBefore w:val="0"/>
        <w:widowControl w:val="0"/>
        <w:numPr>
          <w:ilvl w:val="-1"/>
          <w:numId w:val="0"/>
        </w:numPr>
        <w:tabs>
          <w:tab w:val="left" w:pos="3229"/>
        </w:tabs>
        <w:kinsoku/>
        <w:wordWrap/>
        <w:overflowPunct/>
        <w:topLinePunct w:val="0"/>
        <w:autoSpaceDE/>
        <w:autoSpaceDN/>
        <w:bidi w:val="0"/>
        <w:adjustRightInd/>
        <w:spacing w:before="0" w:after="0" w:line="460" w:lineRule="exact"/>
        <w:ind w:left="0"/>
        <w:jc w:val="left"/>
        <w:textAlignment w:val="auto"/>
        <w:outlineLvl w:val="2"/>
        <w:rPr>
          <w:rFonts w:eastAsia="宋体"/>
          <w:sz w:val="21"/>
          <w:szCs w:val="21"/>
          <w:highlight w:val="none"/>
        </w:rPr>
      </w:pPr>
      <w:bookmarkStart w:id="9" w:name="_Toc450672138"/>
      <w:bookmarkStart w:id="10" w:name="_Toc521360214"/>
      <w:bookmarkStart w:id="11" w:name="_Toc466916962"/>
      <w:bookmarkStart w:id="12" w:name="_Toc451960734"/>
      <w:bookmarkStart w:id="13" w:name="_Toc234382675"/>
      <w:bookmarkStart w:id="14" w:name="_Toc485987534"/>
      <w:r>
        <w:rPr>
          <w:rFonts w:eastAsia="宋体"/>
          <w:sz w:val="21"/>
          <w:szCs w:val="21"/>
          <w:highlight w:val="none"/>
        </w:rPr>
        <w:t>1. 评标方法</w:t>
      </w:r>
      <w:bookmarkEnd w:id="9"/>
      <w:bookmarkEnd w:id="10"/>
      <w:bookmarkEnd w:id="11"/>
      <w:bookmarkEnd w:id="12"/>
      <w:bookmarkEnd w:id="13"/>
      <w:bookmarkEnd w:id="14"/>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本次评标采用技术评分最低标价法。评标委员会对满足招标文件实质要求并通过初步评审的投标人投标文件第一个信封（商务及技术文件），根据本章第2.2.1、2.2.2款规定的评分因素及评审标准对投标人投标文件第一个信封（商务及技术文件）从基本资格、财务能力、类似业绩、技术能力和履约信誉等方面进行评分，以全体评标委员会成员评分的算术平均值作为该投标人的最终得分，并按照最终得分由高到低的顺序，按照开标现场随机抽取的数量确定参与投标文件第二个信封（投标报价）评审的投标人。经过第二个信封（投标报价）开标后，评标委员会对参与投标文件第二个信封（投标报价）进行评审，评审结束后，按照通过第二个信封（投标报价）评审的投标人评标价由低到高的顺序推荐中标候选人，但投标报价低于其成本的除外。</w:t>
      </w:r>
    </w:p>
    <w:p>
      <w:pPr>
        <w:pStyle w:val="4"/>
        <w:pageBreakBefore w:val="0"/>
        <w:widowControl w:val="0"/>
        <w:numPr>
          <w:ilvl w:val="2"/>
          <w:numId w:val="0"/>
        </w:numPr>
        <w:tabs>
          <w:tab w:val="left" w:pos="3229"/>
        </w:tabs>
        <w:kinsoku/>
        <w:wordWrap/>
        <w:overflowPunct/>
        <w:topLinePunct w:val="0"/>
        <w:autoSpaceDE/>
        <w:autoSpaceDN/>
        <w:bidi w:val="0"/>
        <w:adjustRightInd/>
        <w:spacing w:before="0" w:after="0" w:line="460" w:lineRule="exact"/>
        <w:jc w:val="left"/>
        <w:textAlignment w:val="auto"/>
        <w:outlineLvl w:val="2"/>
        <w:rPr>
          <w:rFonts w:eastAsia="宋体"/>
          <w:sz w:val="21"/>
          <w:szCs w:val="21"/>
          <w:highlight w:val="none"/>
        </w:rPr>
      </w:pPr>
      <w:bookmarkStart w:id="15" w:name="_Toc521360215"/>
      <w:bookmarkStart w:id="16" w:name="_Toc466916963"/>
      <w:bookmarkStart w:id="17" w:name="_Toc450672139"/>
      <w:bookmarkStart w:id="18" w:name="_Toc451960735"/>
      <w:bookmarkStart w:id="19" w:name="_Toc485987535"/>
      <w:bookmarkStart w:id="20" w:name="_Toc234382676"/>
      <w:r>
        <w:rPr>
          <w:rFonts w:eastAsia="宋体"/>
          <w:sz w:val="21"/>
          <w:szCs w:val="21"/>
          <w:highlight w:val="none"/>
        </w:rPr>
        <w:t>2. 评审标准</w:t>
      </w:r>
      <w:bookmarkEnd w:id="15"/>
      <w:bookmarkEnd w:id="16"/>
      <w:bookmarkEnd w:id="17"/>
      <w:bookmarkEnd w:id="18"/>
      <w:bookmarkEnd w:id="19"/>
      <w:bookmarkEnd w:id="20"/>
    </w:p>
    <w:p>
      <w:pPr>
        <w:keepNext/>
        <w:keepLines/>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bookmarkStart w:id="21" w:name="_Toc451960736"/>
      <w:bookmarkStart w:id="22" w:name="_Toc234382677"/>
      <w:bookmarkStart w:id="23" w:name="_Toc450672140"/>
      <w:bookmarkStart w:id="24" w:name="_Toc485987536"/>
      <w:bookmarkStart w:id="25" w:name="_Toc466916964"/>
      <w:bookmarkStart w:id="26" w:name="_Toc521360216"/>
      <w:r>
        <w:rPr>
          <w:rFonts w:eastAsia="宋体"/>
          <w:b/>
          <w:bCs/>
          <w:sz w:val="21"/>
          <w:szCs w:val="21"/>
          <w:highlight w:val="none"/>
        </w:rPr>
        <w:t>2.1 初步评审标准</w:t>
      </w:r>
      <w:bookmarkEnd w:id="21"/>
      <w:bookmarkEnd w:id="22"/>
      <w:bookmarkEnd w:id="23"/>
      <w:bookmarkEnd w:id="24"/>
      <w:bookmarkEnd w:id="25"/>
      <w:bookmarkEnd w:id="26"/>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2.1.1 形式评审标准：见评标办法前附表。</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2.1.2 资格评审标准：见评标办法前附表。</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2.1.3 响应性评审标准：见评标办法前附表。</w:t>
      </w:r>
    </w:p>
    <w:p>
      <w:pPr>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bookmarkStart w:id="27" w:name="_Toc466916965"/>
      <w:bookmarkStart w:id="28" w:name="_Toc485987537"/>
      <w:bookmarkStart w:id="29" w:name="_Toc521360217"/>
      <w:bookmarkStart w:id="30" w:name="_Toc450672141"/>
      <w:bookmarkStart w:id="31" w:name="_Toc234382656"/>
      <w:bookmarkStart w:id="32" w:name="_Toc451960737"/>
      <w:bookmarkStart w:id="33" w:name="_Toc234382678"/>
      <w:r>
        <w:rPr>
          <w:rFonts w:eastAsia="宋体"/>
          <w:b/>
          <w:bCs/>
          <w:sz w:val="21"/>
          <w:szCs w:val="21"/>
          <w:highlight w:val="none"/>
        </w:rPr>
        <w:t>2.2 分值构成与评分标准</w:t>
      </w:r>
      <w:bookmarkEnd w:id="27"/>
      <w:bookmarkEnd w:id="28"/>
      <w:bookmarkEnd w:id="29"/>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2.2.1 分值构成</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（1）基本资格、财务能力：见评标办法前附表；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（2）类似业绩：见评标办法前附表；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（3）技术能力：见评标办法前附表；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（4）履约信誉：见评标办法前附表。</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2.2.2评分标准</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（1）基本资格、财务能力评分标准：见评标办法前附表；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（2）类似业绩评分标准：见评标办法前附表；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（3）技术能力评分标准：见评标办法前附表；</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（4）履约信誉评分标准：见评标办法前附表。</w:t>
      </w:r>
    </w:p>
    <w:bookmarkEnd w:id="30"/>
    <w:bookmarkEnd w:id="31"/>
    <w:bookmarkEnd w:id="32"/>
    <w:bookmarkEnd w:id="33"/>
    <w:p>
      <w:pPr>
        <w:pStyle w:val="4"/>
        <w:pageBreakBefore w:val="0"/>
        <w:widowControl w:val="0"/>
        <w:numPr>
          <w:ilvl w:val="2"/>
          <w:numId w:val="0"/>
        </w:numPr>
        <w:tabs>
          <w:tab w:val="left" w:pos="3229"/>
        </w:tabs>
        <w:kinsoku/>
        <w:wordWrap/>
        <w:overflowPunct/>
        <w:topLinePunct w:val="0"/>
        <w:autoSpaceDE/>
        <w:autoSpaceDN/>
        <w:bidi w:val="0"/>
        <w:adjustRightInd/>
        <w:spacing w:before="0" w:after="0" w:line="460" w:lineRule="exact"/>
        <w:jc w:val="left"/>
        <w:textAlignment w:val="auto"/>
        <w:outlineLvl w:val="2"/>
        <w:rPr>
          <w:rFonts w:eastAsia="宋体"/>
          <w:sz w:val="21"/>
          <w:szCs w:val="21"/>
          <w:highlight w:val="none"/>
        </w:rPr>
      </w:pPr>
      <w:r>
        <w:rPr>
          <w:rFonts w:eastAsia="宋体"/>
          <w:sz w:val="21"/>
          <w:szCs w:val="21"/>
          <w:highlight w:val="none"/>
        </w:rPr>
        <w:t>3.评标程序</w:t>
      </w:r>
    </w:p>
    <w:p>
      <w:pPr>
        <w:pageBreakBefore w:val="0"/>
        <w:widowControl w:val="0"/>
        <w:kinsoku/>
        <w:wordWrap/>
        <w:overflowPunct/>
        <w:topLinePunct w:val="0"/>
        <w:autoSpaceDE/>
        <w:autoSpaceDN/>
        <w:bidi w:val="0"/>
        <w:adjustRightInd/>
        <w:snapToGrid w:val="0"/>
        <w:spacing w:line="460" w:lineRule="exact"/>
        <w:textAlignment w:val="auto"/>
        <w:rPr>
          <w:szCs w:val="21"/>
          <w:highlight w:val="none"/>
        </w:rPr>
      </w:pPr>
      <w:r>
        <w:rPr>
          <w:szCs w:val="21"/>
          <w:highlight w:val="none"/>
        </w:rPr>
        <w:t>评标工作按以下程序进行：</w:t>
      </w:r>
    </w:p>
    <w:p>
      <w:pPr>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r>
        <w:rPr>
          <w:rFonts w:eastAsia="宋体"/>
          <w:b/>
          <w:bCs/>
          <w:sz w:val="21"/>
          <w:szCs w:val="21"/>
          <w:highlight w:val="none"/>
        </w:rPr>
        <w:t>3.1 第一个信封（商务及技术文件）的评审</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3.1.1 第一个信封（商务及技术文件）的形式评审与响应性评审</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第一个信封（商务及技术文件）的形式评审与响应性评审标准见评标办法前附表2.1.1款和2.1.3款第一个信封评审的有关内容。投标文件有一项不符合评审标准的，其投标将被否决。</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3.1.2 资格评审</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资格评审标准见评标办法前附表2.1.2款。投标文件有一项不符合评审标准的，其投标将被否决。</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3.1.3 投标人有以下情形之一的，其投标将被否决：</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（1）第二章“投标人须知”第1.4项规定的任何一种情形的；</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（2）串通投标或弄虚作假或有其他违法行为的；</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（3）不按评标委员会要求澄清、说明或补正的。</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3.1.4 详细评审</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1、评标委员会按本章第2.2.1、2.2.2款规定的量化因素和分值进行打分，并计算出投标人技术和商务得分。</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（1）按本章第2.2.2（1）目规定的评审因素和分值对基本资格、财务能力计算出得分A；</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（2）按本章第2.2.2（2）目规定的评审因素和分值对业绩计算出得分B；</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（3）按本章第2.2.2（3）目规定的评审因素和分值对关键技术指标计算出得分C；</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（4）按本章第2.2.2（4）目规定的评审因素和分值对履约信誉计算出得分D；</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2、评分分值计算保留小数点后两位，小数点后第三位“四舍五入”。</w:t>
      </w:r>
    </w:p>
    <w:p>
      <w:pPr>
        <w:pageBreakBefore w:val="0"/>
        <w:widowControl w:val="0"/>
        <w:kinsoku/>
        <w:wordWrap/>
        <w:overflowPunct/>
        <w:topLinePunct w:val="0"/>
        <w:autoSpaceDE/>
        <w:autoSpaceDN/>
        <w:bidi w:val="0"/>
        <w:adjustRightInd/>
        <w:spacing w:line="460" w:lineRule="exact"/>
        <w:ind w:firstLine="420" w:firstLineChars="200"/>
        <w:textAlignment w:val="auto"/>
        <w:rPr>
          <w:szCs w:val="21"/>
          <w:highlight w:val="none"/>
        </w:rPr>
      </w:pPr>
      <w:r>
        <w:rPr>
          <w:szCs w:val="21"/>
          <w:highlight w:val="none"/>
        </w:rPr>
        <w:t>3、投标人得分=A+B+C+D。</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3.1.5 第一个信封商务及技术文件的澄清（如有）</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（1）在评标过程中，评标委员会可以书面形式要求投标人对所提交投标文件中不明确的内容进行书面澄清或说明，或者对细微偏差进行补正。评标委员会不接受投标人主动提出的澄清、说明或补正。</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（2）澄清、说明和补正不得改变投标文件的实质性内容。投标人的书面澄清、说明和补正属于投标文件的组成部分。</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（3）评标委员会对投标人提交的澄清、说明或补正有疑问的，可以要求投标人进一步澄清、说明或补正，直至满足评标委员会的要求。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（4）凡超出招标文件规定的或给发包人/承包人带来未曾要求的利益的变化、偏差或其他因素在评标时不予考虑。</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3.1.6按照详细评审最终得分由高到低的顺序按照开标现场随机抽取的数量确定参与投标文件第二个信封（投标报价）评审的投标人，从3、4、5三个数中随机抽取参与报价文件评审的投标人数量（当通过第一信封评审的投标人数量大于等于5家时，从3、4、5三个数字中随机抽取；当通过第一信封评审的投标人数量大于等于4家时，从3、4两个数字中随机抽取；当通过第一信封评审的投标人数量等于3家时，不再抽取。），当出现投标人详细评审最终得分相同的情况，按照业绩得分高确定，业绩得分也相等，按照技术能力得分高确定，技术能力得分也相等的由投标人现场抽签决定。</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3.1.7通过第一个信封评审的投标人不足3个时，所有投标人的第二个信封均不予开标，招标人将重新组织招标。</w:t>
      </w:r>
    </w:p>
    <w:p>
      <w:pPr>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r>
        <w:rPr>
          <w:rFonts w:eastAsia="宋体"/>
          <w:b/>
          <w:bCs/>
          <w:sz w:val="21"/>
          <w:szCs w:val="21"/>
          <w:highlight w:val="none"/>
        </w:rPr>
        <w:t>3.2 第二个信封（报价文件）的评审</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3.2.1 第二个信封（报价文件）的形式评审与响应性评审</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1）评标委员会对开启第二个信封的投标人的投标文件依据本章第2.1.1项、第2.1.3项规定的评审标准进行初步评审。有一项不符合评审标准的，其投标将被否决。如经过第二个信封初步评审后不足三份使得投标明显缺乏竞争性的，评标委员会可以否决全部投标，未否决全部投标的，按实际投标文件数量评审。</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（2）投标人有以下情形之一的，其投标将被否决：</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（a）串通投标或弄虚作假或有其他违法行为的；</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（b）不按评标委员会要求澄清、说明或补正的。</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3.2.2 投标报价有算术错误的，评标委员会按以下原则对投标报价进行修正，修正的价格经投标人书面确认后具有约束力。投标人不接受修正价格的，其投标将被否决，并没收其投标担保。</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（1）投标文件中的大写金额与小写金额不一致的，以大写金额为准；</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3.2.3修正后的最终投标报价若超过投标控制价上限，投标人的投标文件将被否决。</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3.2.4 评标委员会发现投标人的报价明显低于其他投标人投标报价的，使得其投标报价可能低于其成本的，应当要求该投标人作出书面说明并提供相应的证明材料。投标人不能合理说明或者不能提供相应证明材料的，由评标委员会认定该投标人以低于成本报价竞标，其投标将被否决。</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3.2.5 第二个信封（报价文件）的澄清和补正（如有）</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（1）在评标过程中，评标委员会可以书面形式要求投标人对所提交投标文件中不明确的内容进行书面澄清或说明，或者对细微偏差进行补正。评标委员会不接受投标人主动提出的澄清、说明或补正。</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（2）澄清、说明和补正不得改变投标文件的实质性内容。投标人的书面澄清、说明和补正属于投标文件的组成部分。</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（3）评标委员会对投标人提交的澄清、说明或补正有疑问的，可以要求投标人进一步澄清、说明或补正，直至满足评标委员会的要求。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adjustRightInd/>
        <w:spacing w:line="460" w:lineRule="exact"/>
        <w:ind w:left="540" w:leftChars="257"/>
        <w:textAlignment w:val="auto"/>
        <w:rPr>
          <w:szCs w:val="21"/>
          <w:highlight w:val="none"/>
        </w:rPr>
      </w:pPr>
      <w:r>
        <w:rPr>
          <w:szCs w:val="21"/>
          <w:highlight w:val="none"/>
        </w:rPr>
        <w:t>（4）凡超出招标文件规定的或给发包人/承包人带来未曾要求的利益的变化、偏差或其他因素在评标时不予考虑。</w:t>
      </w:r>
    </w:p>
    <w:p>
      <w:pPr>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bookmarkStart w:id="34" w:name="_Toc521360221"/>
      <w:r>
        <w:rPr>
          <w:rFonts w:eastAsia="宋体"/>
          <w:b/>
          <w:bCs/>
          <w:sz w:val="21"/>
          <w:szCs w:val="21"/>
          <w:highlight w:val="none"/>
        </w:rPr>
        <w:t>3.3 投标文件的澄清和补正</w:t>
      </w:r>
      <w:bookmarkEnd w:id="34"/>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3.3.1在评标过程中，评标委员会可以书面形式要求投标人对所提交的投标文件中不明确的内容进行书面澄清或说明，或者对细微偏差进行补正。评标委员会不接受投标人主动提出的澄清、说明或补正。</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3.3.2 澄清、说明和补正不得改变投标文件的实质性内容（算术性错误修正的除外）。投标人的书面澄清、说明和补正属于投标文件的组成部分。</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3.3.3 评标委员会对投标人提交的澄清、说明或补正有疑问的，可以要求投标人进一步澄清、说明或补正，直至满足评标委员会的要求。</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3.3.4 凡超出招标文件规定的或给发包人/承包人带来未曾要求的利益的变化、偏差或其他因素在评标时不予考虑。</w:t>
      </w:r>
    </w:p>
    <w:p>
      <w:pPr>
        <w:pageBreakBefore w:val="0"/>
        <w:widowControl w:val="0"/>
        <w:kinsoku/>
        <w:wordWrap/>
        <w:overflowPunct/>
        <w:topLinePunct w:val="0"/>
        <w:autoSpaceDE/>
        <w:autoSpaceDN/>
        <w:bidi w:val="0"/>
        <w:adjustRightInd/>
        <w:spacing w:line="460" w:lineRule="exact"/>
        <w:jc w:val="both"/>
        <w:textAlignment w:val="auto"/>
        <w:outlineLvl w:val="9"/>
        <w:rPr>
          <w:rFonts w:eastAsia="宋体"/>
          <w:b/>
          <w:bCs/>
          <w:sz w:val="21"/>
          <w:szCs w:val="21"/>
          <w:highlight w:val="none"/>
        </w:rPr>
      </w:pPr>
      <w:r>
        <w:rPr>
          <w:rFonts w:eastAsia="宋体"/>
          <w:b/>
          <w:bCs/>
          <w:sz w:val="21"/>
          <w:szCs w:val="21"/>
          <w:highlight w:val="none"/>
        </w:rPr>
        <w:t>3.</w:t>
      </w:r>
      <w:r>
        <w:rPr>
          <w:rFonts w:hint="default" w:eastAsia="宋体"/>
          <w:b/>
          <w:bCs/>
          <w:sz w:val="21"/>
          <w:szCs w:val="21"/>
          <w:highlight w:val="none"/>
          <w:lang w:val="en-US" w:eastAsia="zh-CN"/>
        </w:rPr>
        <w:t>4</w:t>
      </w:r>
      <w:r>
        <w:rPr>
          <w:rFonts w:eastAsia="宋体"/>
          <w:b/>
          <w:bCs/>
          <w:sz w:val="21"/>
          <w:szCs w:val="21"/>
          <w:highlight w:val="none"/>
        </w:rPr>
        <w:t xml:space="preserve"> 评标结果</w:t>
      </w:r>
    </w:p>
    <w:p>
      <w:pPr>
        <w:pageBreakBefore w:val="0"/>
        <w:widowControl w:val="0"/>
        <w:kinsoku/>
        <w:wordWrap/>
        <w:overflowPunct/>
        <w:topLinePunct w:val="0"/>
        <w:autoSpaceDE/>
        <w:autoSpaceDN/>
        <w:bidi w:val="0"/>
        <w:adjustRightInd/>
        <w:spacing w:line="460" w:lineRule="exact"/>
        <w:ind w:left="540" w:hanging="539" w:hangingChars="257"/>
        <w:textAlignment w:val="auto"/>
        <w:rPr>
          <w:szCs w:val="21"/>
          <w:highlight w:val="none"/>
        </w:rPr>
      </w:pPr>
      <w:r>
        <w:rPr>
          <w:szCs w:val="21"/>
          <w:highlight w:val="none"/>
        </w:rPr>
        <w:t>3.3.1 评标委员会根据投标人第二个信封的报价由低到高的顺序，推荐1名中标候选人，投标人报价相同时，以评标办法前附表规定的顺序推荐中标候选人。</w:t>
      </w:r>
    </w:p>
    <w:p>
      <w:pPr>
        <w:pageBreakBefore w:val="0"/>
        <w:widowControl w:val="0"/>
        <w:kinsoku/>
        <w:wordWrap/>
        <w:overflowPunct/>
        <w:topLinePunct w:val="0"/>
        <w:autoSpaceDE/>
        <w:autoSpaceDN/>
        <w:bidi w:val="0"/>
        <w:adjustRightInd/>
        <w:spacing w:line="460" w:lineRule="exact"/>
        <w:textAlignment w:val="auto"/>
        <w:rPr>
          <w:szCs w:val="21"/>
          <w:highlight w:val="none"/>
        </w:rPr>
      </w:pPr>
      <w:r>
        <w:rPr>
          <w:szCs w:val="21"/>
          <w:highlight w:val="none"/>
        </w:rPr>
        <w:t>3.3.2评标委员会完成评标后，应当向招标人提交书面评标报告并推荐中标候选人。</w:t>
      </w:r>
    </w:p>
    <w:p>
      <w:pPr>
        <w:spacing w:line="360" w:lineRule="auto"/>
        <w:rPr>
          <w:rFonts w:ascii="黑体" w:hAnsi="黑体" w:eastAsia="黑体"/>
          <w:sz w:val="28"/>
          <w:szCs w:val="28"/>
        </w:rPr>
      </w:pPr>
      <w:r>
        <w:rPr>
          <w:rFonts w:hint="eastAsia" w:ascii="黑体" w:hAnsi="黑体" w:eastAsia="黑体"/>
          <w:sz w:val="28"/>
          <w:szCs w:val="28"/>
        </w:rPr>
        <w:t>四、其他内容</w:t>
      </w:r>
    </w:p>
    <w:p>
      <w:pPr>
        <w:spacing w:line="360" w:lineRule="auto"/>
        <w:ind w:firstLine="420" w:firstLineChars="200"/>
        <w:rPr>
          <w:szCs w:val="21"/>
        </w:rPr>
      </w:pPr>
      <w:r>
        <w:rPr>
          <w:rFonts w:hint="eastAsia"/>
          <w:szCs w:val="21"/>
        </w:rPr>
        <w:t>无</w:t>
      </w:r>
    </w:p>
    <w:p>
      <w:pPr>
        <w:pStyle w:val="9"/>
        <w:spacing w:before="0" w:beforeAutospacing="0" w:after="0" w:afterAutospacing="0" w:line="460" w:lineRule="exact"/>
        <w:rPr>
          <w:rFonts w:ascii="Times New Roman" w:hAnsi="Times New Roman" w:cs="Times New Roman"/>
          <w:color w:val="auto"/>
        </w:rPr>
      </w:pPr>
    </w:p>
    <w:bookmarkEnd w:id="0"/>
    <w:p>
      <w:pPr>
        <w:pStyle w:val="9"/>
        <w:spacing w:before="0" w:beforeAutospacing="0" w:after="0" w:afterAutospacing="0" w:line="460" w:lineRule="exact"/>
        <w:rPr>
          <w:rFonts w:ascii="Times New Roman" w:hAnsi="Times New Roman" w:eastAsia="黑体" w:cs="Times New Roman"/>
          <w:color w:val="auto"/>
          <w:sz w:val="28"/>
        </w:rPr>
      </w:pPr>
    </w:p>
    <w:sectPr>
      <w:footerReference r:id="rId5" w:type="default"/>
      <w:head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69692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pacing w:line="400" w:lineRule="atLeast"/>
        <w:ind w:firstLine="360" w:firstLineChars="200"/>
        <w:rPr>
          <w:rFonts w:eastAsia="黑体"/>
        </w:rPr>
      </w:pPr>
      <w:r>
        <w:rPr>
          <w:rStyle w:val="13"/>
        </w:rPr>
        <w:footnoteRef/>
      </w:r>
      <w:r>
        <w:rPr>
          <w:rFonts w:ascii="宋体" w:hAnsi="宋体" w:eastAsia="黑体"/>
        </w:rPr>
        <w:t>“</w:t>
      </w:r>
      <w:r>
        <w:rPr>
          <w:rFonts w:hint="eastAsia" w:eastAsia="黑体"/>
        </w:rPr>
        <w:t>评标</w:t>
      </w:r>
      <w:r>
        <w:rPr>
          <w:rFonts w:eastAsia="黑体"/>
        </w:rPr>
        <w:t>办法前附表</w:t>
      </w:r>
      <w:r>
        <w:rPr>
          <w:rFonts w:ascii="宋体" w:hAnsi="宋体" w:eastAsia="黑体"/>
        </w:rPr>
        <w:t>”</w:t>
      </w:r>
      <w:r>
        <w:rPr>
          <w:rFonts w:eastAsia="黑体"/>
        </w:rPr>
        <w:t>用于进一步明确正文中的未尽事宜，由招标人根据招标项目具体特点和实际需要编制和填写。</w:t>
      </w:r>
      <w:r>
        <w:rPr>
          <w:rFonts w:hint="eastAsia" w:eastAsia="黑体"/>
        </w:rPr>
        <w:t>评标</w:t>
      </w:r>
      <w:r>
        <w:rPr>
          <w:rFonts w:eastAsia="黑体"/>
        </w:rPr>
        <w:t>办法前附表是对</w:t>
      </w:r>
      <w:r>
        <w:rPr>
          <w:rFonts w:hint="eastAsia" w:eastAsia="黑体"/>
        </w:rPr>
        <w:t>评标</w:t>
      </w:r>
      <w:r>
        <w:rPr>
          <w:rFonts w:eastAsia="黑体"/>
        </w:rPr>
        <w:t>办法正文的修改、补充和细化，应对照</w:t>
      </w:r>
      <w:r>
        <w:rPr>
          <w:rFonts w:hint="eastAsia" w:eastAsia="黑体"/>
        </w:rPr>
        <w:t>评标</w:t>
      </w:r>
      <w:r>
        <w:rPr>
          <w:rFonts w:eastAsia="黑体"/>
        </w:rPr>
        <w:t>办法正文中同一编号的条款一起阅读和理解。</w:t>
      </w:r>
      <w:r>
        <w:rPr>
          <w:rFonts w:eastAsia="黑体"/>
          <w:b/>
        </w:rPr>
        <w:t>如前附表与正文不一致时，以前附表的规定为准。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jc w:val="right"/>
      <w:rPr>
        <w:rStyle w:val="18"/>
        <w:rFonts w:eastAsia="黑体"/>
        <w:b w:val="0"/>
        <w:kern w:val="10"/>
        <w:szCs w:val="18"/>
      </w:rPr>
    </w:pPr>
    <w:r>
      <w:rPr>
        <w:rStyle w:val="18"/>
        <w:rFonts w:hint="eastAsia" w:eastAsia="黑体"/>
        <w:kern w:val="10"/>
        <w:szCs w:val="18"/>
      </w:rPr>
      <w:t>第三章  评标办法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07E57"/>
    <w:multiLevelType w:val="multilevel"/>
    <w:tmpl w:val="1B007E57"/>
    <w:lvl w:ilvl="0" w:tentative="0">
      <w:start w:val="1"/>
      <w:numFmt w:val="decimal"/>
      <w:lvlText w:val="（%1）"/>
      <w:lvlJc w:val="left"/>
      <w:pPr>
        <w:tabs>
          <w:tab w:val="left" w:pos="0"/>
        </w:tabs>
        <w:ind w:left="865" w:hanging="865"/>
      </w:pPr>
      <w:rPr>
        <w:rFonts w:hint="default" w:cs="Times New Roman"/>
        <w:lang w:val="en-US"/>
      </w:rPr>
    </w:lvl>
    <w:lvl w:ilvl="1" w:tentative="0">
      <w:start w:val="1"/>
      <w:numFmt w:val="lowerLetter"/>
      <w:lvlText w:val="%2)"/>
      <w:lvlJc w:val="left"/>
      <w:pPr>
        <w:tabs>
          <w:tab w:val="left" w:pos="1848"/>
        </w:tabs>
        <w:ind w:left="1848" w:hanging="420"/>
      </w:pPr>
    </w:lvl>
    <w:lvl w:ilvl="2" w:tentative="0">
      <w:start w:val="1"/>
      <w:numFmt w:val="lowerRoman"/>
      <w:lvlText w:val="%3."/>
      <w:lvlJc w:val="right"/>
      <w:pPr>
        <w:tabs>
          <w:tab w:val="left" w:pos="2268"/>
        </w:tabs>
        <w:ind w:left="2268" w:hanging="420"/>
      </w:pPr>
    </w:lvl>
    <w:lvl w:ilvl="3" w:tentative="0">
      <w:start w:val="1"/>
      <w:numFmt w:val="decimal"/>
      <w:lvlText w:val="%4."/>
      <w:lvlJc w:val="left"/>
      <w:pPr>
        <w:tabs>
          <w:tab w:val="left" w:pos="2688"/>
        </w:tabs>
        <w:ind w:left="2688" w:hanging="420"/>
      </w:pPr>
    </w:lvl>
    <w:lvl w:ilvl="4" w:tentative="0">
      <w:start w:val="1"/>
      <w:numFmt w:val="lowerLetter"/>
      <w:lvlText w:val="%5)"/>
      <w:lvlJc w:val="left"/>
      <w:pPr>
        <w:tabs>
          <w:tab w:val="left" w:pos="3108"/>
        </w:tabs>
        <w:ind w:left="3108" w:hanging="420"/>
      </w:pPr>
    </w:lvl>
    <w:lvl w:ilvl="5" w:tentative="0">
      <w:start w:val="1"/>
      <w:numFmt w:val="lowerRoman"/>
      <w:lvlText w:val="%6."/>
      <w:lvlJc w:val="right"/>
      <w:pPr>
        <w:tabs>
          <w:tab w:val="left" w:pos="3528"/>
        </w:tabs>
        <w:ind w:left="3528" w:hanging="420"/>
      </w:pPr>
    </w:lvl>
    <w:lvl w:ilvl="6" w:tentative="0">
      <w:start w:val="1"/>
      <w:numFmt w:val="decimal"/>
      <w:lvlText w:val="%7."/>
      <w:lvlJc w:val="left"/>
      <w:pPr>
        <w:tabs>
          <w:tab w:val="left" w:pos="3948"/>
        </w:tabs>
        <w:ind w:left="3948" w:hanging="420"/>
      </w:pPr>
    </w:lvl>
    <w:lvl w:ilvl="7" w:tentative="0">
      <w:start w:val="1"/>
      <w:numFmt w:val="lowerLetter"/>
      <w:lvlText w:val="%8)"/>
      <w:lvlJc w:val="left"/>
      <w:pPr>
        <w:tabs>
          <w:tab w:val="left" w:pos="4368"/>
        </w:tabs>
        <w:ind w:left="4368" w:hanging="420"/>
      </w:pPr>
    </w:lvl>
    <w:lvl w:ilvl="8" w:tentative="0">
      <w:start w:val="1"/>
      <w:numFmt w:val="lowerRoman"/>
      <w:lvlText w:val="%9."/>
      <w:lvlJc w:val="right"/>
      <w:pPr>
        <w:tabs>
          <w:tab w:val="left" w:pos="4788"/>
        </w:tabs>
        <w:ind w:left="4788" w:hanging="420"/>
      </w:pPr>
    </w:lvl>
  </w:abstractNum>
  <w:abstractNum w:abstractNumId="1">
    <w:nsid w:val="7A9152AE"/>
    <w:multiLevelType w:val="multilevel"/>
    <w:tmpl w:val="7A9152AE"/>
    <w:lvl w:ilvl="0" w:tentative="0">
      <w:start w:val="1"/>
      <w:numFmt w:val="decimal"/>
      <w:lvlText w:val="（%1）"/>
      <w:lvlJc w:val="left"/>
      <w:pPr>
        <w:tabs>
          <w:tab w:val="left" w:pos="0"/>
        </w:tabs>
        <w:ind w:left="865" w:hanging="865"/>
      </w:pPr>
      <w:rPr>
        <w:rFonts w:hint="default" w:cs="Times New Roman"/>
        <w:lang w:val="en-US"/>
      </w:rPr>
    </w:lvl>
    <w:lvl w:ilvl="1" w:tentative="0">
      <w:start w:val="1"/>
      <w:numFmt w:val="lowerLetter"/>
      <w:lvlText w:val="%2)"/>
      <w:lvlJc w:val="left"/>
      <w:pPr>
        <w:tabs>
          <w:tab w:val="left" w:pos="1848"/>
        </w:tabs>
        <w:ind w:left="1848" w:hanging="420"/>
      </w:pPr>
    </w:lvl>
    <w:lvl w:ilvl="2" w:tentative="0">
      <w:start w:val="1"/>
      <w:numFmt w:val="lowerRoman"/>
      <w:lvlText w:val="%3."/>
      <w:lvlJc w:val="right"/>
      <w:pPr>
        <w:tabs>
          <w:tab w:val="left" w:pos="2268"/>
        </w:tabs>
        <w:ind w:left="2268" w:hanging="420"/>
      </w:pPr>
    </w:lvl>
    <w:lvl w:ilvl="3" w:tentative="0">
      <w:start w:val="1"/>
      <w:numFmt w:val="decimal"/>
      <w:lvlText w:val="%4."/>
      <w:lvlJc w:val="left"/>
      <w:pPr>
        <w:tabs>
          <w:tab w:val="left" w:pos="2688"/>
        </w:tabs>
        <w:ind w:left="2688" w:hanging="420"/>
      </w:pPr>
    </w:lvl>
    <w:lvl w:ilvl="4" w:tentative="0">
      <w:start w:val="1"/>
      <w:numFmt w:val="lowerLetter"/>
      <w:lvlText w:val="%5)"/>
      <w:lvlJc w:val="left"/>
      <w:pPr>
        <w:tabs>
          <w:tab w:val="left" w:pos="3108"/>
        </w:tabs>
        <w:ind w:left="3108" w:hanging="420"/>
      </w:pPr>
    </w:lvl>
    <w:lvl w:ilvl="5" w:tentative="0">
      <w:start w:val="1"/>
      <w:numFmt w:val="lowerRoman"/>
      <w:lvlText w:val="%6."/>
      <w:lvlJc w:val="right"/>
      <w:pPr>
        <w:tabs>
          <w:tab w:val="left" w:pos="3528"/>
        </w:tabs>
        <w:ind w:left="3528" w:hanging="420"/>
      </w:pPr>
    </w:lvl>
    <w:lvl w:ilvl="6" w:tentative="0">
      <w:start w:val="1"/>
      <w:numFmt w:val="decimal"/>
      <w:lvlText w:val="%7."/>
      <w:lvlJc w:val="left"/>
      <w:pPr>
        <w:tabs>
          <w:tab w:val="left" w:pos="3948"/>
        </w:tabs>
        <w:ind w:left="3948" w:hanging="420"/>
      </w:pPr>
    </w:lvl>
    <w:lvl w:ilvl="7" w:tentative="0">
      <w:start w:val="1"/>
      <w:numFmt w:val="lowerLetter"/>
      <w:lvlText w:val="%8)"/>
      <w:lvlJc w:val="left"/>
      <w:pPr>
        <w:tabs>
          <w:tab w:val="left" w:pos="4368"/>
        </w:tabs>
        <w:ind w:left="4368" w:hanging="420"/>
      </w:pPr>
    </w:lvl>
    <w:lvl w:ilvl="8" w:tentative="0">
      <w:start w:val="1"/>
      <w:numFmt w:val="lowerRoman"/>
      <w:lvlText w:val="%9."/>
      <w:lvlJc w:val="right"/>
      <w:pPr>
        <w:tabs>
          <w:tab w:val="left" w:pos="4788"/>
        </w:tabs>
        <w:ind w:left="47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F2152E"/>
    <w:rsid w:val="00005F61"/>
    <w:rsid w:val="001D4D62"/>
    <w:rsid w:val="001F4EFD"/>
    <w:rsid w:val="002123C9"/>
    <w:rsid w:val="002232B2"/>
    <w:rsid w:val="00293F38"/>
    <w:rsid w:val="002C703E"/>
    <w:rsid w:val="002E61B5"/>
    <w:rsid w:val="00344D86"/>
    <w:rsid w:val="00351808"/>
    <w:rsid w:val="00395705"/>
    <w:rsid w:val="00410F48"/>
    <w:rsid w:val="0045577A"/>
    <w:rsid w:val="00455AD1"/>
    <w:rsid w:val="00467572"/>
    <w:rsid w:val="00480219"/>
    <w:rsid w:val="004E2402"/>
    <w:rsid w:val="00500E57"/>
    <w:rsid w:val="0055515F"/>
    <w:rsid w:val="005A198B"/>
    <w:rsid w:val="005E0EE2"/>
    <w:rsid w:val="00615818"/>
    <w:rsid w:val="00645BAC"/>
    <w:rsid w:val="0066623E"/>
    <w:rsid w:val="006962EE"/>
    <w:rsid w:val="006B38FE"/>
    <w:rsid w:val="006C603B"/>
    <w:rsid w:val="00740927"/>
    <w:rsid w:val="00766985"/>
    <w:rsid w:val="00767C00"/>
    <w:rsid w:val="00816840"/>
    <w:rsid w:val="0082564E"/>
    <w:rsid w:val="00826386"/>
    <w:rsid w:val="0086074B"/>
    <w:rsid w:val="008D17CF"/>
    <w:rsid w:val="00934EED"/>
    <w:rsid w:val="00986D38"/>
    <w:rsid w:val="00991EE3"/>
    <w:rsid w:val="009B308A"/>
    <w:rsid w:val="009C4135"/>
    <w:rsid w:val="00A6596E"/>
    <w:rsid w:val="00A65A61"/>
    <w:rsid w:val="00AA655D"/>
    <w:rsid w:val="00AE1E3C"/>
    <w:rsid w:val="00AE7561"/>
    <w:rsid w:val="00B01409"/>
    <w:rsid w:val="00B71DD2"/>
    <w:rsid w:val="00B92429"/>
    <w:rsid w:val="00BA15DA"/>
    <w:rsid w:val="00C37D89"/>
    <w:rsid w:val="00C6208A"/>
    <w:rsid w:val="00CF3DA4"/>
    <w:rsid w:val="00D91D67"/>
    <w:rsid w:val="00DF2BE4"/>
    <w:rsid w:val="00E65ABF"/>
    <w:rsid w:val="00E912AE"/>
    <w:rsid w:val="00EB4399"/>
    <w:rsid w:val="00EF4B69"/>
    <w:rsid w:val="00EF5EF5"/>
    <w:rsid w:val="00F2152E"/>
    <w:rsid w:val="00F24692"/>
    <w:rsid w:val="00F412E6"/>
    <w:rsid w:val="00F81994"/>
    <w:rsid w:val="00FC2743"/>
    <w:rsid w:val="00FD1681"/>
    <w:rsid w:val="03A85C7C"/>
    <w:rsid w:val="0D10137A"/>
    <w:rsid w:val="0FB571CF"/>
    <w:rsid w:val="7F7D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3"/>
    <w:qFormat/>
    <w:uiPriority w:val="99"/>
    <w:pPr>
      <w:spacing w:after="120"/>
    </w:pPr>
    <w:rPr>
      <w:rFonts w:cs="Times New Roman"/>
      <w:szCs w:val="24"/>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5"/>
    <w:qFormat/>
    <w:uiPriority w:val="0"/>
    <w:pPr>
      <w:adjustRightInd w:val="0"/>
      <w:snapToGrid w:val="0"/>
      <w:spacing w:line="420" w:lineRule="atLeast"/>
      <w:ind w:firstLine="454"/>
      <w:jc w:val="left"/>
      <w:textAlignment w:val="baseline"/>
    </w:pPr>
    <w:rPr>
      <w:rFonts w:cs="Times New Roman"/>
      <w:kern w:val="0"/>
      <w:sz w:val="18"/>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Arial"/>
      <w:color w:val="0000FF"/>
      <w:kern w:val="0"/>
      <w:sz w:val="24"/>
      <w:szCs w:val="24"/>
    </w:rPr>
  </w:style>
  <w:style w:type="table" w:styleId="11">
    <w:name w:val="Table Grid"/>
    <w:basedOn w:val="10"/>
    <w:qFormat/>
    <w:uiPriority w:val="0"/>
    <w:pPr>
      <w:widowControl w:val="0"/>
      <w:jc w:val="both"/>
    </w:pPr>
    <w:rPr>
      <w:rFont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otnote reference"/>
    <w:qFormat/>
    <w:uiPriority w:val="0"/>
    <w:rPr>
      <w:vertAlign w:val="superscript"/>
    </w:rPr>
  </w:style>
  <w:style w:type="character" w:customStyle="1" w:styleId="14">
    <w:name w:val="标题 1 字符"/>
    <w:basedOn w:val="12"/>
    <w:link w:val="2"/>
    <w:qFormat/>
    <w:uiPriority w:val="0"/>
    <w:rPr>
      <w:rFonts w:cs="Times New Roman"/>
      <w:b/>
      <w:bCs/>
      <w:kern w:val="44"/>
      <w:sz w:val="44"/>
      <w:szCs w:val="44"/>
    </w:rPr>
  </w:style>
  <w:style w:type="character" w:customStyle="1" w:styleId="15">
    <w:name w:val="脚注文本 字符"/>
    <w:basedOn w:val="12"/>
    <w:link w:val="8"/>
    <w:qFormat/>
    <w:uiPriority w:val="0"/>
    <w:rPr>
      <w:rFonts w:cs="Times New Roman"/>
      <w:kern w:val="0"/>
      <w:sz w:val="18"/>
      <w:szCs w:val="20"/>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character" w:customStyle="1" w:styleId="18">
    <w:name w:val="font161"/>
    <w:qFormat/>
    <w:uiPriority w:val="99"/>
    <w:rPr>
      <w:b/>
      <w:bCs/>
      <w:sz w:val="32"/>
      <w:szCs w:val="32"/>
    </w:rPr>
  </w:style>
  <w:style w:type="character" w:customStyle="1" w:styleId="19">
    <w:name w:val="脚注文本 字符2"/>
    <w:qFormat/>
    <w:uiPriority w:val="99"/>
    <w:rPr>
      <w:sz w:val="18"/>
    </w:rPr>
  </w:style>
  <w:style w:type="character" w:customStyle="1" w:styleId="20">
    <w:name w:val="页脚 字符1"/>
    <w:qFormat/>
    <w:uiPriority w:val="0"/>
    <w:rPr>
      <w:kern w:val="2"/>
      <w:sz w:val="18"/>
      <w:szCs w:val="18"/>
    </w:rPr>
  </w:style>
  <w:style w:type="paragraph" w:customStyle="1" w:styleId="21">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lang w:val="zh-CN" w:eastAsia="zh-CN"/>
    </w:rPr>
  </w:style>
  <w:style w:type="character" w:customStyle="1" w:styleId="22">
    <w:name w:val="标题 3 字符"/>
    <w:basedOn w:val="12"/>
    <w:link w:val="4"/>
    <w:semiHidden/>
    <w:qFormat/>
    <w:uiPriority w:val="9"/>
    <w:rPr>
      <w:b/>
      <w:bCs/>
      <w:sz w:val="32"/>
      <w:szCs w:val="32"/>
    </w:rPr>
  </w:style>
  <w:style w:type="character" w:customStyle="1" w:styleId="23">
    <w:name w:val="正文文本 字符"/>
    <w:basedOn w:val="12"/>
    <w:link w:val="5"/>
    <w:qFormat/>
    <w:uiPriority w:val="0"/>
    <w:rPr>
      <w:rFonts w:cs="Times New Roman"/>
      <w:szCs w:val="24"/>
    </w:rPr>
  </w:style>
  <w:style w:type="character" w:customStyle="1" w:styleId="24">
    <w:name w:val="正文文本 字符1"/>
    <w:qFormat/>
    <w:uiPriority w:val="0"/>
    <w:rPr>
      <w:kern w:val="2"/>
      <w:sz w:val="21"/>
      <w:szCs w:val="24"/>
    </w:rPr>
  </w:style>
  <w:style w:type="character" w:customStyle="1" w:styleId="25">
    <w:name w:val="font11"/>
    <w:basedOn w:val="12"/>
    <w:qFormat/>
    <w:uiPriority w:val="0"/>
    <w:rPr>
      <w:rFonts w:hint="default" w:ascii="Times New Roman" w:hAnsi="Times New Roman" w:cs="Times New Roman"/>
      <w:color w:val="000000"/>
      <w:sz w:val="21"/>
      <w:szCs w:val="21"/>
      <w:u w:val="none"/>
    </w:rPr>
  </w:style>
  <w:style w:type="character" w:customStyle="1" w:styleId="26">
    <w:name w:val="font01"/>
    <w:basedOn w:val="12"/>
    <w:qFormat/>
    <w:uiPriority w:val="0"/>
    <w:rPr>
      <w:rFonts w:hint="eastAsia" w:ascii="宋体" w:hAnsi="宋体" w:eastAsia="宋体" w:cs="宋体"/>
      <w:color w:val="000000"/>
      <w:sz w:val="21"/>
      <w:szCs w:val="21"/>
      <w:u w:val="none"/>
    </w:rPr>
  </w:style>
  <w:style w:type="character" w:customStyle="1" w:styleId="27">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8">
    <w:name w:val="Default Char"/>
    <w:link w:val="29"/>
    <w:qFormat/>
    <w:uiPriority w:val="99"/>
    <w:rPr>
      <w:rFonts w:ascii="宋体"/>
      <w:color w:val="000000"/>
      <w:sz w:val="24"/>
      <w:szCs w:val="24"/>
    </w:rPr>
  </w:style>
  <w:style w:type="paragraph" w:customStyle="1" w:styleId="29">
    <w:name w:val="Default"/>
    <w:link w:val="28"/>
    <w:qFormat/>
    <w:uiPriority w:val="99"/>
    <w:pPr>
      <w:widowControl w:val="0"/>
      <w:autoSpaceDE w:val="0"/>
      <w:autoSpaceDN w:val="0"/>
      <w:adjustRightInd w:val="0"/>
    </w:pPr>
    <w:rPr>
      <w:rFonts w:ascii="宋体" w:hAnsi="Times New Roman" w:eastAsia="宋体" w:cstheme="minorBidi"/>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1520</Words>
  <Characters>8667</Characters>
  <Lines>72</Lines>
  <Paragraphs>20</Paragraphs>
  <TotalTime>1</TotalTime>
  <ScaleCrop>false</ScaleCrop>
  <LinksUpToDate>false</LinksUpToDate>
  <CharactersWithSpaces>10167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2020-06-18T15:11:00Z</dcterms:created>
  <dc:creator>作者</dc:creator>
  <cp:lastModifiedBy>&amp;</cp:lastModifiedBy>
  <cp:lastPrinted>2021-11-03T07:14:00Z</cp:lastPrinted>
  <dcterms:modified xsi:type="dcterms:W3CDTF">2023-06-02T02:04:40Z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7DA1012CF7B54C6795A9657D3CBCCA23_12</vt:lpwstr>
  </property>
</Properties>
</file>