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cs="宋体"/>
          <w:b/>
          <w:kern w:val="0"/>
          <w:sz w:val="32"/>
          <w:szCs w:val="32"/>
          <w:u w:val="single"/>
        </w:rPr>
      </w:pPr>
      <w:r>
        <w:rPr>
          <w:rFonts w:hint="eastAsia" w:ascii="宋体" w:hAnsi="宋体" w:cs="宋体"/>
          <w:b/>
          <w:kern w:val="0"/>
          <w:sz w:val="32"/>
          <w:szCs w:val="32"/>
          <w:u w:val="single"/>
        </w:rPr>
        <w:t>长治高速公路管理有限公司2023年</w:t>
      </w:r>
      <w:r>
        <w:rPr>
          <w:rFonts w:hint="eastAsia" w:ascii="宋体" w:hAnsi="宋体" w:cs="宋体"/>
          <w:b/>
          <w:kern w:val="0"/>
          <w:sz w:val="32"/>
          <w:szCs w:val="32"/>
          <w:u w:val="single"/>
          <w:lang w:val="en-US" w:eastAsia="zh-CN"/>
        </w:rPr>
        <w:t>-</w:t>
      </w:r>
      <w:r>
        <w:rPr>
          <w:rFonts w:hint="eastAsia" w:ascii="宋体" w:hAnsi="宋体" w:cs="宋体"/>
          <w:b/>
          <w:kern w:val="0"/>
          <w:sz w:val="32"/>
          <w:szCs w:val="32"/>
          <w:u w:val="single"/>
        </w:rPr>
        <w:t>2025年周期性集中养护工程设计施工总承包项目（项目名称）</w:t>
      </w:r>
      <w:r>
        <w:rPr>
          <w:rFonts w:hint="eastAsia" w:ascii="宋体" w:hAnsi="宋体" w:cs="宋体"/>
          <w:b/>
          <w:kern w:val="0"/>
          <w:sz w:val="32"/>
          <w:szCs w:val="32"/>
        </w:rPr>
        <w:t>招标关键内容公开</w:t>
      </w:r>
    </w:p>
    <w:p>
      <w:pPr>
        <w:widowControl/>
        <w:spacing w:line="360" w:lineRule="auto"/>
        <w:ind w:firstLine="602" w:firstLineChars="200"/>
        <w:jc w:val="left"/>
        <w:rPr>
          <w:b/>
          <w:sz w:val="30"/>
          <w:szCs w:val="30"/>
        </w:rPr>
      </w:pPr>
      <w:r>
        <w:rPr>
          <w:rFonts w:hint="eastAsia"/>
          <w:b/>
          <w:sz w:val="30"/>
          <w:szCs w:val="30"/>
        </w:rPr>
        <w:t>一、项目概况</w:t>
      </w:r>
    </w:p>
    <w:p>
      <w:pPr>
        <w:widowControl/>
        <w:spacing w:line="360" w:lineRule="auto"/>
        <w:ind w:firstLine="480" w:firstLineChars="200"/>
        <w:jc w:val="left"/>
        <w:rPr>
          <w:bCs/>
          <w:sz w:val="24"/>
        </w:rPr>
      </w:pPr>
      <w:r>
        <w:rPr>
          <w:rFonts w:hint="eastAsia"/>
          <w:bCs/>
          <w:sz w:val="24"/>
        </w:rPr>
        <w:t>长治高速公路管理有限公司2023年</w:t>
      </w:r>
      <w:r>
        <w:rPr>
          <w:rFonts w:hint="eastAsia"/>
          <w:bCs/>
          <w:sz w:val="24"/>
          <w:lang w:val="en-US" w:eastAsia="zh-CN"/>
        </w:rPr>
        <w:t>-</w:t>
      </w:r>
      <w:r>
        <w:rPr>
          <w:rFonts w:hint="eastAsia"/>
          <w:bCs/>
          <w:sz w:val="24"/>
        </w:rPr>
        <w:t>2025年周期性集中养护工程设计施工总承包项目（招标项目编号：M1401000155101116001），已由长治高速公路管理有限公司总经理办公会纪要〔2023〕第6次批准，项目资金来源为企业自有，招标人为长治高速公路管理有限公司，招标代理为山西交科开发经营有限公司。本项目已具备招标条件，现对本项目设计施工总承包进行公开招标。</w:t>
      </w:r>
    </w:p>
    <w:p>
      <w:pPr>
        <w:widowControl/>
        <w:spacing w:line="360" w:lineRule="auto"/>
        <w:ind w:firstLine="602" w:firstLineChars="200"/>
        <w:jc w:val="left"/>
        <w:rPr>
          <w:b/>
          <w:sz w:val="30"/>
          <w:szCs w:val="30"/>
        </w:rPr>
      </w:pPr>
      <w:r>
        <w:rPr>
          <w:rFonts w:hint="eastAsia"/>
          <w:b/>
          <w:sz w:val="30"/>
          <w:szCs w:val="30"/>
        </w:rPr>
        <w:t>二、对申请人或者投标人的资格条件要求</w:t>
      </w:r>
    </w:p>
    <w:p>
      <w:pPr>
        <w:widowControl/>
        <w:spacing w:line="360" w:lineRule="auto"/>
        <w:ind w:firstLine="480" w:firstLineChars="200"/>
        <w:jc w:val="left"/>
        <w:rPr>
          <w:rFonts w:hint="eastAsia"/>
          <w:bCs/>
          <w:sz w:val="24"/>
        </w:rPr>
      </w:pPr>
      <w:r>
        <w:rPr>
          <w:rFonts w:hint="eastAsia"/>
          <w:bCs/>
          <w:sz w:val="24"/>
        </w:rPr>
        <w:t>001标段:</w:t>
      </w:r>
    </w:p>
    <w:p>
      <w:pPr>
        <w:widowControl/>
        <w:spacing w:line="360" w:lineRule="auto"/>
        <w:ind w:firstLine="480" w:firstLineChars="200"/>
        <w:jc w:val="left"/>
        <w:rPr>
          <w:rFonts w:hint="eastAsia"/>
          <w:bCs/>
          <w:sz w:val="24"/>
        </w:rPr>
      </w:pPr>
      <w:r>
        <w:rPr>
          <w:rFonts w:hint="eastAsia"/>
          <w:bCs/>
          <w:sz w:val="24"/>
        </w:rPr>
        <w:t>3.1投标人必须是中国境内注册，具有独立的法人资格，并持有合法有效的营业执照；</w:t>
      </w:r>
    </w:p>
    <w:p>
      <w:pPr>
        <w:widowControl/>
        <w:spacing w:line="360" w:lineRule="auto"/>
        <w:ind w:firstLine="480" w:firstLineChars="200"/>
        <w:jc w:val="left"/>
        <w:rPr>
          <w:rFonts w:hint="eastAsia"/>
          <w:bCs/>
          <w:sz w:val="24"/>
        </w:rPr>
      </w:pPr>
      <w:r>
        <w:rPr>
          <w:rFonts w:hint="eastAsia"/>
          <w:bCs/>
          <w:sz w:val="24"/>
        </w:rPr>
        <w:t>3.2投标人应具有良好的商业信誉和健全的财务会计制度；</w:t>
      </w:r>
    </w:p>
    <w:p>
      <w:pPr>
        <w:widowControl/>
        <w:spacing w:line="360" w:lineRule="auto"/>
        <w:ind w:firstLine="480" w:firstLineChars="200"/>
        <w:jc w:val="left"/>
        <w:rPr>
          <w:rFonts w:hint="eastAsia"/>
          <w:bCs/>
          <w:sz w:val="24"/>
        </w:rPr>
      </w:pPr>
      <w:r>
        <w:rPr>
          <w:rFonts w:hint="eastAsia"/>
          <w:bCs/>
          <w:sz w:val="24"/>
        </w:rPr>
        <w:t>3.3投标人须同时具有主管部门颁发的下列资质，并且合法有效：</w:t>
      </w:r>
    </w:p>
    <w:p>
      <w:pPr>
        <w:widowControl/>
        <w:spacing w:line="360" w:lineRule="auto"/>
        <w:ind w:firstLine="480" w:firstLineChars="200"/>
        <w:jc w:val="left"/>
        <w:rPr>
          <w:rFonts w:hint="eastAsia"/>
          <w:bCs/>
          <w:sz w:val="24"/>
        </w:rPr>
      </w:pPr>
      <w:r>
        <w:rPr>
          <w:rFonts w:hint="eastAsia"/>
          <w:bCs/>
          <w:sz w:val="24"/>
        </w:rPr>
        <w:t>（1）设计资质:具备工程设计综合资质甲级或工程设计公路行业甲级资质，同时应进入交通运输部“全国公路建设市场信用信息管理系统”中的公路工程设计企业名录，且投标人名称和该名录中的相应企业名称和资质完全一致；</w:t>
      </w:r>
    </w:p>
    <w:p>
      <w:pPr>
        <w:widowControl/>
        <w:spacing w:line="360" w:lineRule="auto"/>
        <w:ind w:firstLine="480" w:firstLineChars="200"/>
        <w:jc w:val="left"/>
        <w:rPr>
          <w:rFonts w:hint="eastAsia"/>
          <w:bCs/>
          <w:sz w:val="24"/>
        </w:rPr>
      </w:pPr>
      <w:r>
        <w:rPr>
          <w:rFonts w:hint="eastAsia"/>
          <w:bCs/>
          <w:sz w:val="24"/>
        </w:rPr>
        <w:t>（2）施工资质:具备山西省交通运输主管部门核发或核准的公路养护工程二类甲级资质（或同时具备交通运输主管部门颁发的路基路面养护甲级资质和交通安全设施养护资质），具备建设行政主管部门颁发的有效的建筑施工企业安全生产许可证。</w:t>
      </w:r>
    </w:p>
    <w:p>
      <w:pPr>
        <w:widowControl/>
        <w:spacing w:line="360" w:lineRule="auto"/>
        <w:ind w:firstLine="480" w:firstLineChars="200"/>
        <w:jc w:val="left"/>
        <w:rPr>
          <w:rFonts w:hint="eastAsia"/>
          <w:bCs/>
          <w:sz w:val="24"/>
        </w:rPr>
      </w:pPr>
      <w:r>
        <w:rPr>
          <w:rFonts w:hint="eastAsia"/>
          <w:bCs/>
          <w:sz w:val="24"/>
        </w:rPr>
        <w:t>3.4业绩要求：</w:t>
      </w:r>
    </w:p>
    <w:p>
      <w:pPr>
        <w:widowControl/>
        <w:spacing w:line="360" w:lineRule="auto"/>
        <w:ind w:firstLine="480" w:firstLineChars="200"/>
        <w:jc w:val="left"/>
        <w:rPr>
          <w:rFonts w:hint="eastAsia"/>
          <w:bCs/>
          <w:sz w:val="24"/>
        </w:rPr>
      </w:pPr>
      <w:r>
        <w:rPr>
          <w:rFonts w:hint="eastAsia"/>
          <w:bCs/>
          <w:sz w:val="24"/>
        </w:rPr>
        <w:t>（1）投标人近五年（2018年5月至投标文件递交截止之日，以初步设计或施工图设计批复时间或合同签订时间为准）至少独立完成过2项高速公路养护工程设计业绩，其中至少1项业绩包含路面养护工程设计；</w:t>
      </w:r>
    </w:p>
    <w:p>
      <w:pPr>
        <w:widowControl/>
        <w:spacing w:line="360" w:lineRule="auto"/>
        <w:ind w:firstLine="480" w:firstLineChars="200"/>
        <w:jc w:val="left"/>
        <w:rPr>
          <w:rFonts w:hint="eastAsia"/>
          <w:bCs/>
          <w:sz w:val="24"/>
        </w:rPr>
      </w:pPr>
      <w:r>
        <w:rPr>
          <w:rFonts w:hint="eastAsia"/>
          <w:bCs/>
          <w:sz w:val="24"/>
        </w:rPr>
        <w:t>（2）投标人近五年（2018年5月至投标文件递交截止之日，以交工或竣工时间为准）至少独立完成过1项高速公路养护工程施工业绩。</w:t>
      </w:r>
    </w:p>
    <w:p>
      <w:pPr>
        <w:widowControl/>
        <w:spacing w:line="360" w:lineRule="auto"/>
        <w:ind w:firstLine="480" w:firstLineChars="200"/>
        <w:jc w:val="left"/>
        <w:rPr>
          <w:rFonts w:hint="eastAsia"/>
          <w:bCs/>
          <w:sz w:val="24"/>
        </w:rPr>
      </w:pPr>
      <w:r>
        <w:rPr>
          <w:rFonts w:hint="eastAsia"/>
          <w:bCs/>
          <w:sz w:val="24"/>
        </w:rPr>
        <w:t>3.5人员资格要求：</w:t>
      </w:r>
    </w:p>
    <w:p>
      <w:pPr>
        <w:widowControl/>
        <w:spacing w:line="360" w:lineRule="auto"/>
        <w:ind w:firstLine="480" w:firstLineChars="200"/>
        <w:jc w:val="left"/>
        <w:rPr>
          <w:rFonts w:hint="eastAsia"/>
          <w:bCs/>
          <w:sz w:val="24"/>
        </w:rPr>
      </w:pPr>
      <w:r>
        <w:rPr>
          <w:rFonts w:hint="eastAsia"/>
          <w:bCs/>
          <w:sz w:val="24"/>
        </w:rPr>
        <w:t>（1）拟任项目经理：具备高级工程师及以上职称（公路相关专业），作为项目经理或项目负责人近五年（2018年5月至投标文件递交截止之日，以初步设计或施工图设计批复时间或合同签订时间为准）至少完成过1项高速公路养护工程设计施工总承包业绩或高速公路养护工程设计（至少包含路面工程设计）业绩。联合体形式投标的,拟任项目经理须由联合体牵头人提供。</w:t>
      </w:r>
    </w:p>
    <w:p>
      <w:pPr>
        <w:widowControl/>
        <w:spacing w:line="360" w:lineRule="auto"/>
        <w:ind w:firstLine="480" w:firstLineChars="200"/>
        <w:jc w:val="left"/>
        <w:rPr>
          <w:rFonts w:hint="eastAsia"/>
          <w:bCs/>
          <w:sz w:val="24"/>
        </w:rPr>
      </w:pPr>
      <w:r>
        <w:rPr>
          <w:rFonts w:hint="eastAsia"/>
          <w:bCs/>
          <w:sz w:val="24"/>
        </w:rPr>
        <w:t>（2）拟任设计负责人：具备高级工程师及以上职称（公路相关专业），作为技术负责人或项目负责人近五年（2018年5月至投标文件递交截止之日，以初步设计或施工图设计批复时间或合同签订时间为准）至少完成过1项高速公路养护工程设计施工总承包业绩或高速公路养护工程设计（至少包含路面工程设计）业绩。</w:t>
      </w:r>
    </w:p>
    <w:p>
      <w:pPr>
        <w:widowControl/>
        <w:spacing w:line="360" w:lineRule="auto"/>
        <w:ind w:firstLine="480" w:firstLineChars="200"/>
        <w:jc w:val="left"/>
        <w:rPr>
          <w:rFonts w:hint="eastAsia"/>
          <w:bCs/>
          <w:sz w:val="24"/>
        </w:rPr>
      </w:pPr>
      <w:r>
        <w:rPr>
          <w:rFonts w:hint="eastAsia"/>
          <w:bCs/>
          <w:sz w:val="24"/>
        </w:rPr>
        <w:t>（3）拟任施工负责人：具备工程师及以上职称（公路相关专业）且持有一级建造师注册证书（公路工程专业）和有效的安全生产考核合格B证（注册登记单位应与投标人名称一致），且未担任其他在建工程项目的项目经理，作为施工负责人或项目经理近五年（2018年5月至投标文件递交截止之日，以交工或竣工时间为准）至少完成过1项高速公路养护工程设计施工总承包业绩或高速公路养护工程施工业绩。</w:t>
      </w:r>
    </w:p>
    <w:p>
      <w:pPr>
        <w:widowControl/>
        <w:spacing w:line="360" w:lineRule="auto"/>
        <w:ind w:firstLine="480" w:firstLineChars="200"/>
        <w:jc w:val="left"/>
        <w:rPr>
          <w:rFonts w:hint="eastAsia"/>
          <w:bCs/>
          <w:sz w:val="24"/>
        </w:rPr>
      </w:pPr>
      <w:r>
        <w:rPr>
          <w:rFonts w:hint="eastAsia"/>
          <w:bCs/>
          <w:sz w:val="24"/>
        </w:rPr>
        <w:t>（4）拟任施工技术负责人：具备高级工程师及以上职称（公路相关专业）且持有有效的安全生产考核合格B证（注册登记单位应与投标人名称一致），且未担任其他在建工程项目的技术负责人，作为施工项目总工或项目技术负责人近五年（2018年5月至投标文件递交截止之日，以交工或竣工时间为准）至少完成过1项高速公路养护工程设计施工总承包业绩或高速公路养护工程施工业绩。</w:t>
      </w:r>
    </w:p>
    <w:p>
      <w:pPr>
        <w:widowControl/>
        <w:spacing w:line="360" w:lineRule="auto"/>
        <w:ind w:firstLine="480" w:firstLineChars="200"/>
        <w:jc w:val="left"/>
        <w:rPr>
          <w:rFonts w:hint="eastAsia"/>
          <w:bCs/>
          <w:sz w:val="24"/>
        </w:rPr>
      </w:pPr>
      <w:r>
        <w:rPr>
          <w:rFonts w:hint="eastAsia"/>
          <w:bCs/>
          <w:sz w:val="24"/>
        </w:rPr>
        <w:t>（5）拟任专职安全员：持有有效的安全生产考核合格证书（C证）且登记单位必须与投标人名称一致；</w:t>
      </w:r>
    </w:p>
    <w:p>
      <w:pPr>
        <w:widowControl/>
        <w:spacing w:line="360" w:lineRule="auto"/>
        <w:ind w:firstLine="480" w:firstLineChars="200"/>
        <w:jc w:val="left"/>
        <w:rPr>
          <w:rFonts w:hint="eastAsia"/>
          <w:bCs/>
          <w:sz w:val="24"/>
        </w:rPr>
      </w:pPr>
      <w:r>
        <w:rPr>
          <w:rFonts w:hint="eastAsia"/>
          <w:bCs/>
          <w:sz w:val="24"/>
        </w:rPr>
        <w:t>3.6投标人在“信用中国”网站（http://www.creditchina.gov.cn/）中未被列入严重失信主体名单；</w:t>
      </w:r>
    </w:p>
    <w:p>
      <w:pPr>
        <w:widowControl/>
        <w:spacing w:line="360" w:lineRule="auto"/>
        <w:ind w:firstLine="480" w:firstLineChars="200"/>
        <w:jc w:val="left"/>
        <w:rPr>
          <w:rFonts w:hint="eastAsia"/>
          <w:bCs/>
          <w:sz w:val="24"/>
        </w:rPr>
      </w:pPr>
      <w:r>
        <w:rPr>
          <w:rFonts w:hint="eastAsia"/>
          <w:bCs/>
          <w:sz w:val="24"/>
        </w:rPr>
        <w:t>3.7投标人在“国家企业信用信息公示系统”（http://www.gsxt.gov.cn/）中未被列入严重违法失信企业名单（黑名单）；</w:t>
      </w:r>
    </w:p>
    <w:p>
      <w:pPr>
        <w:widowControl/>
        <w:spacing w:line="360" w:lineRule="auto"/>
        <w:ind w:firstLine="480" w:firstLineChars="200"/>
        <w:jc w:val="left"/>
        <w:rPr>
          <w:rFonts w:hint="eastAsia"/>
          <w:bCs/>
          <w:sz w:val="24"/>
        </w:rPr>
      </w:pPr>
      <w:r>
        <w:rPr>
          <w:rFonts w:hint="eastAsia"/>
          <w:bCs/>
          <w:sz w:val="24"/>
        </w:rPr>
        <w:t>3.8投标人、法定代表人、拟任项目经理、拟任设计负责人、拟任施工负责人在近三年内（2020年5月以来）无行贿犯罪行为；</w:t>
      </w:r>
    </w:p>
    <w:p>
      <w:pPr>
        <w:widowControl/>
        <w:spacing w:line="360" w:lineRule="auto"/>
        <w:ind w:firstLine="480" w:firstLineChars="200"/>
        <w:jc w:val="left"/>
        <w:rPr>
          <w:rFonts w:hint="eastAsia"/>
          <w:bCs/>
          <w:sz w:val="24"/>
        </w:rPr>
      </w:pPr>
      <w:r>
        <w:rPr>
          <w:rFonts w:hint="eastAsia"/>
          <w:bCs/>
          <w:sz w:val="24"/>
        </w:rPr>
        <w:t>3.9 投标人与招标人存在利害关系且可能影响招标公正性的法人、其他组织或个人，不得参加本项目的投标，否则投标无效。</w:t>
      </w:r>
    </w:p>
    <w:p>
      <w:pPr>
        <w:widowControl/>
        <w:spacing w:line="360" w:lineRule="auto"/>
        <w:ind w:firstLine="480" w:firstLineChars="200"/>
        <w:jc w:val="left"/>
        <w:rPr>
          <w:rFonts w:hint="eastAsia"/>
          <w:bCs/>
          <w:sz w:val="24"/>
        </w:rPr>
      </w:pPr>
      <w:r>
        <w:rPr>
          <w:rFonts w:hint="eastAsia"/>
          <w:bCs/>
          <w:sz w:val="24"/>
        </w:rPr>
        <w:t>3.10存在以下关联关系的投标人不得同时对本项目投标，否则相关投标均无效：</w:t>
      </w:r>
    </w:p>
    <w:p>
      <w:pPr>
        <w:widowControl/>
        <w:spacing w:line="360" w:lineRule="auto"/>
        <w:ind w:firstLine="480" w:firstLineChars="200"/>
        <w:jc w:val="left"/>
        <w:rPr>
          <w:rFonts w:hint="eastAsia"/>
          <w:bCs/>
          <w:sz w:val="24"/>
        </w:rPr>
      </w:pPr>
      <w:r>
        <w:rPr>
          <w:rFonts w:hint="eastAsia"/>
          <w:bCs/>
          <w:sz w:val="24"/>
        </w:rPr>
        <w:t>（1）单位负责人为同一人或者存在控股、管理关系的不同单位；</w:t>
      </w:r>
    </w:p>
    <w:p>
      <w:pPr>
        <w:widowControl/>
        <w:spacing w:line="360" w:lineRule="auto"/>
        <w:ind w:firstLine="480" w:firstLineChars="200"/>
        <w:jc w:val="left"/>
        <w:rPr>
          <w:rFonts w:hint="eastAsia"/>
          <w:bCs/>
          <w:sz w:val="24"/>
        </w:rPr>
      </w:pPr>
      <w:r>
        <w:rPr>
          <w:rFonts w:hint="eastAsia"/>
          <w:bCs/>
          <w:sz w:val="24"/>
        </w:rPr>
        <w:t>（2）具有投资参股关系的关联企业；</w:t>
      </w:r>
    </w:p>
    <w:p>
      <w:pPr>
        <w:widowControl/>
        <w:spacing w:line="360" w:lineRule="auto"/>
        <w:ind w:firstLine="480" w:firstLineChars="200"/>
        <w:jc w:val="left"/>
        <w:rPr>
          <w:rFonts w:hint="eastAsia"/>
          <w:bCs/>
          <w:sz w:val="24"/>
        </w:rPr>
      </w:pPr>
      <w:r>
        <w:rPr>
          <w:rFonts w:hint="eastAsia"/>
          <w:bCs/>
          <w:sz w:val="24"/>
        </w:rPr>
        <w:t>（3）董事、监事、总经理、副总经理和财务负责人相互兼职的关联企业；</w:t>
      </w:r>
    </w:p>
    <w:p>
      <w:pPr>
        <w:widowControl/>
        <w:spacing w:line="360" w:lineRule="auto"/>
        <w:ind w:firstLine="480" w:firstLineChars="200"/>
        <w:jc w:val="left"/>
        <w:rPr>
          <w:rFonts w:hint="eastAsia"/>
          <w:bCs/>
          <w:sz w:val="24"/>
        </w:rPr>
      </w:pPr>
      <w:r>
        <w:rPr>
          <w:rFonts w:hint="eastAsia"/>
          <w:bCs/>
          <w:sz w:val="24"/>
        </w:rPr>
        <w:t>（4）法律法规等规定的具有关联关系的其他情形；</w:t>
      </w:r>
    </w:p>
    <w:p>
      <w:pPr>
        <w:widowControl/>
        <w:spacing w:line="360" w:lineRule="auto"/>
        <w:ind w:firstLine="480" w:firstLineChars="200"/>
        <w:jc w:val="left"/>
        <w:rPr>
          <w:rFonts w:hint="eastAsia"/>
          <w:bCs/>
          <w:sz w:val="24"/>
        </w:rPr>
      </w:pPr>
      <w:r>
        <w:rPr>
          <w:rFonts w:hint="eastAsia"/>
          <w:bCs/>
          <w:sz w:val="24"/>
        </w:rPr>
        <w:t>3.11凡被交通运输部或山西省交通运输厅取消或暂停公路工程投标资格的企业，在处罚期内无资格参与本项目的投标。</w:t>
      </w:r>
    </w:p>
    <w:p>
      <w:pPr>
        <w:widowControl/>
        <w:spacing w:line="360" w:lineRule="auto"/>
        <w:ind w:firstLine="480" w:firstLineChars="200"/>
        <w:jc w:val="left"/>
        <w:rPr>
          <w:rFonts w:hint="eastAsia"/>
          <w:bCs/>
          <w:sz w:val="24"/>
        </w:rPr>
      </w:pPr>
      <w:r>
        <w:rPr>
          <w:rFonts w:hint="eastAsia"/>
          <w:bCs/>
          <w:sz w:val="24"/>
        </w:rPr>
        <w:t>凡在交通运输部或山西省公路建设市场信用评价的考核定级中，被评价为D级的单位，在处罚期内无资格参与本项目的投标；</w:t>
      </w:r>
    </w:p>
    <w:p>
      <w:pPr>
        <w:widowControl/>
        <w:spacing w:line="360" w:lineRule="auto"/>
        <w:ind w:firstLine="480" w:firstLineChars="200"/>
        <w:jc w:val="left"/>
        <w:rPr>
          <w:rFonts w:hint="eastAsia"/>
          <w:bCs/>
          <w:sz w:val="24"/>
        </w:rPr>
      </w:pPr>
      <w:r>
        <w:rPr>
          <w:rFonts w:hint="eastAsia"/>
          <w:bCs/>
          <w:sz w:val="24"/>
        </w:rPr>
        <w:t>3.12本项目接受联合体投标，联合体成员数量最多2家单位，联合体投标的应满足下列要求：</w:t>
      </w:r>
    </w:p>
    <w:p>
      <w:pPr>
        <w:widowControl/>
        <w:spacing w:line="360" w:lineRule="auto"/>
        <w:ind w:firstLine="480" w:firstLineChars="200"/>
        <w:jc w:val="left"/>
        <w:rPr>
          <w:rFonts w:hint="eastAsia"/>
          <w:bCs/>
          <w:sz w:val="24"/>
        </w:rPr>
      </w:pPr>
      <w:r>
        <w:rPr>
          <w:rFonts w:hint="eastAsia"/>
          <w:bCs/>
          <w:sz w:val="24"/>
        </w:rPr>
        <w:t>①联合体牵头人应为具有设计资质的单位，项目经理由牵头人提供，且联合体各成员方应签署具有法律效力的联合体协议书；</w:t>
      </w:r>
    </w:p>
    <w:p>
      <w:pPr>
        <w:widowControl/>
        <w:spacing w:line="360" w:lineRule="auto"/>
        <w:ind w:firstLine="480" w:firstLineChars="200"/>
        <w:jc w:val="left"/>
        <w:rPr>
          <w:rFonts w:hint="eastAsia"/>
          <w:bCs/>
          <w:sz w:val="24"/>
        </w:rPr>
      </w:pPr>
      <w:r>
        <w:rPr>
          <w:rFonts w:hint="eastAsia"/>
          <w:bCs/>
          <w:sz w:val="24"/>
        </w:rPr>
        <w:t>②联合体成员中若同时存在同一专业，按照资质等级较低的单位确定资质等级。联合体各方不得再以自己名义单独或加入其他联合体在本项目中参加投标，否则相关投标均无效；</w:t>
      </w:r>
    </w:p>
    <w:p>
      <w:pPr>
        <w:widowControl/>
        <w:spacing w:line="360" w:lineRule="auto"/>
        <w:ind w:firstLine="480" w:firstLineChars="200"/>
        <w:jc w:val="left"/>
        <w:rPr>
          <w:rFonts w:hint="eastAsia"/>
          <w:bCs/>
          <w:sz w:val="24"/>
        </w:rPr>
      </w:pPr>
      <w:r>
        <w:rPr>
          <w:rFonts w:hint="eastAsia"/>
          <w:bCs/>
          <w:sz w:val="24"/>
        </w:rPr>
        <w:t>③联合体中标后，联合体各方共同与招标人签订合同，为履行合同向招标人承担连带责任；</w:t>
      </w:r>
    </w:p>
    <w:p>
      <w:pPr>
        <w:widowControl/>
        <w:spacing w:line="360" w:lineRule="auto"/>
        <w:ind w:firstLine="480" w:firstLineChars="200"/>
        <w:jc w:val="left"/>
        <w:rPr>
          <w:bCs/>
          <w:sz w:val="24"/>
        </w:rPr>
      </w:pPr>
      <w:r>
        <w:rPr>
          <w:rFonts w:hint="eastAsia"/>
          <w:bCs/>
          <w:sz w:val="24"/>
        </w:rPr>
        <w:t>④联合体协议书中应明确联合体所有成员方的有关责任与义务，各方并就合同条款共同分担合同的义务。</w:t>
      </w:r>
    </w:p>
    <w:p>
      <w:pPr>
        <w:widowControl/>
        <w:spacing w:line="360" w:lineRule="auto"/>
        <w:ind w:firstLine="602" w:firstLineChars="200"/>
        <w:jc w:val="left"/>
        <w:rPr>
          <w:b/>
          <w:sz w:val="30"/>
          <w:szCs w:val="30"/>
        </w:rPr>
      </w:pPr>
      <w:r>
        <w:rPr>
          <w:rFonts w:hint="eastAsia"/>
          <w:b/>
          <w:sz w:val="30"/>
          <w:szCs w:val="30"/>
        </w:rPr>
        <w:t>三、资格审查办法或评标办法</w:t>
      </w:r>
    </w:p>
    <w:p>
      <w:pPr>
        <w:widowControl/>
        <w:spacing w:line="360" w:lineRule="auto"/>
        <w:ind w:firstLine="602" w:firstLineChars="200"/>
        <w:jc w:val="left"/>
        <w:rPr>
          <w:rFonts w:hint="eastAsia"/>
          <w:b/>
          <w:sz w:val="30"/>
          <w:szCs w:val="30"/>
        </w:rPr>
      </w:pPr>
      <w:r>
        <w:rPr>
          <w:rFonts w:hint="eastAsia"/>
          <w:b/>
          <w:sz w:val="30"/>
          <w:szCs w:val="30"/>
        </w:rPr>
        <w:t>双信封综合评分法</w:t>
      </w:r>
    </w:p>
    <w:p>
      <w:pPr>
        <w:jc w:val="center"/>
        <w:rPr>
          <w:rFonts w:ascii="宋体" w:hAnsi="宋体" w:cs="宋体"/>
          <w:b/>
          <w:bCs/>
          <w:color w:val="000000" w:themeColor="text1"/>
          <w:sz w:val="36"/>
          <w:szCs w:val="44"/>
          <w:highlight w:val="none"/>
          <w14:textFill>
            <w14:solidFill>
              <w14:schemeClr w14:val="tx1"/>
            </w14:solidFill>
          </w14:textFill>
        </w:rPr>
      </w:pPr>
      <w:bookmarkStart w:id="25" w:name="_GoBack"/>
      <w:bookmarkEnd w:id="25"/>
      <w:r>
        <w:rPr>
          <w:rFonts w:hint="eastAsia" w:ascii="宋体" w:hAnsi="宋体" w:cs="宋体"/>
          <w:b/>
          <w:bCs/>
          <w:color w:val="000000" w:themeColor="text1"/>
          <w:sz w:val="36"/>
          <w:szCs w:val="44"/>
          <w:highlight w:val="none"/>
          <w14:textFill>
            <w14:solidFill>
              <w14:schemeClr w14:val="tx1"/>
            </w14:solidFill>
          </w14:textFill>
        </w:rPr>
        <w:t>评标办法前附表</w:t>
      </w:r>
    </w:p>
    <w:tbl>
      <w:tblPr>
        <w:tblStyle w:val="7"/>
        <w:tblW w:w="9638" w:type="dxa"/>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
      <w:tblGrid>
        <w:gridCol w:w="809"/>
        <w:gridCol w:w="1153"/>
        <w:gridCol w:w="1824"/>
        <w:gridCol w:w="659"/>
        <w:gridCol w:w="519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196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条款号</w:t>
            </w: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评审因素</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547"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评标办法</w:t>
            </w: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中标候选人</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排序方法</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推荐原则：综合得分最高的为推荐的中标候选人，若综合得分相等时，以投标人报价低的优先；若投标人报价仍相等时，以投标人技术评分高者优先；若技术评分也相等时，以电子平台上传投标文件时间较早的投标人优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2.1.1</w:t>
            </w:r>
          </w:p>
        </w:tc>
        <w:tc>
          <w:tcPr>
            <w:tcW w:w="115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第一个</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信封</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形式评审</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标准</w:t>
            </w: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投标人名称</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与营业执照、资质证书</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安全生产许可证</w:t>
            </w:r>
            <w:r>
              <w:rPr>
                <w:rFonts w:hint="eastAsia" w:ascii="宋体" w:hAnsi="宋体" w:cs="宋体"/>
                <w:color w:val="000000" w:themeColor="text1"/>
                <w:highlight w:val="none"/>
                <w14:textFill>
                  <w14:solidFill>
                    <w14:schemeClr w14:val="tx1"/>
                  </w14:solidFill>
                </w14:textFill>
              </w:rPr>
              <w:t>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投标文件</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签字盖章</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投标文件上法定代表人的电子签名、投标人单位的电子签章齐全，符合招标文件规定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投标文件格式</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符合第六章“投标文件格式”的要求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联合体投标人</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提交联合体协议书，并明确联合体牵头人</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电子投标文件</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符合第二章“投标人须知前附表”第10.3（1）项规定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备选投标方案</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投标人未提交备选投标方案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2.1.1</w:t>
            </w:r>
          </w:p>
        </w:tc>
        <w:tc>
          <w:tcPr>
            <w:tcW w:w="115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第二个</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信封</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形式评审</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标准</w:t>
            </w: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投标人名称</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与营业执照</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资质证书</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安全生产许可证</w:t>
            </w:r>
            <w:r>
              <w:rPr>
                <w:rFonts w:hint="eastAsia" w:ascii="宋体" w:hAnsi="宋体" w:cs="宋体"/>
                <w:color w:val="000000" w:themeColor="text1"/>
                <w:highlight w:val="none"/>
                <w14:textFill>
                  <w14:solidFill>
                    <w14:schemeClr w14:val="tx1"/>
                  </w14:solidFill>
                </w14:textFill>
              </w:rPr>
              <w:t>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报价函签字盖章</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法定代表人的电子签名、投标人单位的电子签章齐全，符合招标文件规定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投标文件格式</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符合第六章“投标文件格式”的规定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电子投标文件</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符合第二章“投标人须知前附表”第10.3（1）项规定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2.1.2</w:t>
            </w:r>
          </w:p>
        </w:tc>
        <w:tc>
          <w:tcPr>
            <w:tcW w:w="115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资格评审</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标准</w:t>
            </w: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营业执照</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符合第二章“投标人须知”第3.5.1项规定，具备有效的营业执照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资质要求</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财务要求</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业绩要求</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信誉要求</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人员要求</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不存在禁止投标</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的情形</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符合第二章“投标人须知”第1.4.2项及第1.4.3项规定的任何一种情形</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其他要求</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bCs/>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投标文件未附有招标人不能接受的其他条件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2.1.3</w:t>
            </w:r>
          </w:p>
        </w:tc>
        <w:tc>
          <w:tcPr>
            <w:tcW w:w="115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第一个</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信封</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响应性</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评审</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标准</w:t>
            </w: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投标内容</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符合第二章“投标人须知”第1.3.1项规定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工期</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符合第二章“投标人须知”第1.3.2项规定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工程质量</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符合第二章“投标人须知”第1.3.3项规定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安全目标</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符合第二章“投标人须知”第1.3.4项规定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投标有效期</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符合第二章“投标人须知”第3.3.1项规定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outset" w:color="auto" w:sz="6" w:space="0"/>
              <w:right w:val="outset" w:color="auto" w:sz="6"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single" w:color="auto" w:sz="4" w:space="0"/>
              <w:left w:val="outset" w:color="auto" w:sz="6" w:space="0"/>
              <w:bottom w:val="outset" w:color="auto" w:sz="6" w:space="0"/>
              <w:right w:val="single" w:color="auto" w:sz="4"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投标保证金</w:t>
            </w:r>
          </w:p>
        </w:tc>
        <w:tc>
          <w:tcPr>
            <w:tcW w:w="585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符合第二章“投标人须知”第3.4.1项规定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restart"/>
            <w:tcBorders>
              <w:top w:val="outset" w:color="auto" w:sz="6" w:space="0"/>
              <w:left w:val="outset" w:color="auto" w:sz="6" w:space="0"/>
              <w:bottom w:val="outset" w:color="auto" w:sz="6" w:space="0"/>
              <w:right w:val="outset" w:color="auto" w:sz="6"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2.1.3</w:t>
            </w:r>
          </w:p>
        </w:tc>
        <w:tc>
          <w:tcPr>
            <w:tcW w:w="1153" w:type="dxa"/>
            <w:vMerge w:val="restart"/>
            <w:tcBorders>
              <w:top w:val="outset" w:color="auto" w:sz="6" w:space="0"/>
              <w:left w:val="outset" w:color="auto" w:sz="6" w:space="0"/>
              <w:bottom w:val="outset" w:color="auto" w:sz="6" w:space="0"/>
              <w:right w:val="outset" w:color="auto" w:sz="6"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第二个</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信封</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响应性</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评审</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标准</w:t>
            </w:r>
          </w:p>
        </w:tc>
        <w:tc>
          <w:tcPr>
            <w:tcW w:w="1824" w:type="dxa"/>
            <w:tcBorders>
              <w:top w:val="single" w:color="auto" w:sz="4" w:space="0"/>
              <w:left w:val="outset" w:color="auto" w:sz="6" w:space="0"/>
              <w:bottom w:val="outset" w:color="auto" w:sz="6" w:space="0"/>
              <w:right w:val="outset" w:color="auto" w:sz="6"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投标函</w:t>
            </w:r>
          </w:p>
        </w:tc>
        <w:tc>
          <w:tcPr>
            <w:tcW w:w="5852" w:type="dxa"/>
            <w:gridSpan w:val="2"/>
            <w:tcBorders>
              <w:top w:val="single" w:color="auto" w:sz="4" w:space="0"/>
              <w:left w:val="outset" w:color="auto" w:sz="6" w:space="0"/>
              <w:bottom w:val="outset" w:color="auto" w:sz="6" w:space="0"/>
              <w:right w:val="outset" w:color="auto" w:sz="6" w:space="0"/>
            </w:tcBorders>
            <w:vAlign w:val="center"/>
          </w:tcPr>
          <w:p>
            <w:pPr>
              <w:spacing w:line="240" w:lineRule="exact"/>
              <w:ind w:left="79"/>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按招标文件规定填报了项目名称、补遗书编号（如有）、投标价（包括大写金额和小写金额）；</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outset" w:color="auto" w:sz="6" w:space="0"/>
              <w:left w:val="outset" w:color="auto" w:sz="6" w:space="0"/>
              <w:bottom w:val="outset" w:color="auto" w:sz="6" w:space="0"/>
              <w:right w:val="outset" w:color="auto" w:sz="6"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outset" w:color="auto" w:sz="6" w:space="0"/>
              <w:left w:val="outset" w:color="auto" w:sz="6" w:space="0"/>
              <w:bottom w:val="outset" w:color="auto" w:sz="6" w:space="0"/>
              <w:right w:val="outset" w:color="auto" w:sz="6"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outset" w:color="auto" w:sz="6" w:space="0"/>
              <w:left w:val="outset" w:color="auto" w:sz="6" w:space="0"/>
              <w:bottom w:val="outset" w:color="auto" w:sz="6" w:space="0"/>
              <w:right w:val="outset" w:color="auto" w:sz="6"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投标报价</w:t>
            </w:r>
          </w:p>
        </w:tc>
        <w:tc>
          <w:tcPr>
            <w:tcW w:w="5852" w:type="dxa"/>
            <w:gridSpan w:val="2"/>
            <w:tcBorders>
              <w:top w:val="outset" w:color="auto" w:sz="6" w:space="0"/>
              <w:left w:val="outset" w:color="auto" w:sz="6" w:space="0"/>
              <w:bottom w:val="outset" w:color="auto" w:sz="6" w:space="0"/>
              <w:right w:val="outset" w:color="auto" w:sz="6"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符合第二章“投标人须知”第3.2款规定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57" w:hRule="atLeast"/>
          <w:jc w:val="center"/>
        </w:trPr>
        <w:tc>
          <w:tcPr>
            <w:tcW w:w="809" w:type="dxa"/>
            <w:vMerge w:val="continue"/>
            <w:tcBorders>
              <w:top w:val="outset" w:color="auto" w:sz="6" w:space="0"/>
              <w:left w:val="outset" w:color="auto" w:sz="6" w:space="0"/>
              <w:bottom w:val="outset" w:color="auto" w:sz="6" w:space="0"/>
              <w:right w:val="outset" w:color="auto" w:sz="6"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outset" w:color="auto" w:sz="6" w:space="0"/>
              <w:left w:val="outset" w:color="auto" w:sz="6" w:space="0"/>
              <w:bottom w:val="outset" w:color="auto" w:sz="6" w:space="0"/>
              <w:right w:val="outset" w:color="auto" w:sz="6"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outset" w:color="auto" w:sz="6" w:space="0"/>
              <w:left w:val="outset" w:color="auto" w:sz="6" w:space="0"/>
              <w:bottom w:val="outset" w:color="auto" w:sz="6" w:space="0"/>
              <w:right w:val="outset" w:color="auto" w:sz="6"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选择性报价</w:t>
            </w:r>
          </w:p>
        </w:tc>
        <w:tc>
          <w:tcPr>
            <w:tcW w:w="5852" w:type="dxa"/>
            <w:gridSpan w:val="2"/>
            <w:tcBorders>
              <w:top w:val="outset" w:color="auto" w:sz="6" w:space="0"/>
              <w:left w:val="outset" w:color="auto" w:sz="6" w:space="0"/>
              <w:bottom w:val="outset" w:color="auto" w:sz="6" w:space="0"/>
              <w:right w:val="outset" w:color="auto" w:sz="6"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同一投标人未提交两个以上不同的投标报价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57" w:hRule="atLeast"/>
          <w:jc w:val="center"/>
        </w:trPr>
        <w:tc>
          <w:tcPr>
            <w:tcW w:w="809" w:type="dxa"/>
            <w:vMerge w:val="continue"/>
            <w:tcBorders>
              <w:top w:val="outset" w:color="auto" w:sz="6" w:space="0"/>
              <w:left w:val="outset" w:color="auto" w:sz="6" w:space="0"/>
              <w:bottom w:val="outset" w:color="auto" w:sz="6" w:space="0"/>
              <w:right w:val="outset" w:color="auto" w:sz="6"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153" w:type="dxa"/>
            <w:vMerge w:val="continue"/>
            <w:tcBorders>
              <w:top w:val="outset" w:color="auto" w:sz="6" w:space="0"/>
              <w:left w:val="outset" w:color="auto" w:sz="6" w:space="0"/>
              <w:bottom w:val="outset" w:color="auto" w:sz="6" w:space="0"/>
              <w:right w:val="outset" w:color="auto" w:sz="6"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p>
        </w:tc>
        <w:tc>
          <w:tcPr>
            <w:tcW w:w="1824" w:type="dxa"/>
            <w:tcBorders>
              <w:top w:val="outset" w:color="auto" w:sz="6" w:space="0"/>
              <w:left w:val="outset" w:color="auto" w:sz="6" w:space="0"/>
              <w:bottom w:val="outset" w:color="auto" w:sz="6" w:space="0"/>
              <w:right w:val="outset" w:color="auto" w:sz="6"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其他要求</w:t>
            </w:r>
          </w:p>
        </w:tc>
        <w:tc>
          <w:tcPr>
            <w:tcW w:w="5852" w:type="dxa"/>
            <w:gridSpan w:val="2"/>
            <w:tcBorders>
              <w:top w:val="outset" w:color="auto" w:sz="6" w:space="0"/>
              <w:left w:val="outset" w:color="auto" w:sz="6" w:space="0"/>
              <w:bottom w:val="outset" w:color="auto" w:sz="6" w:space="0"/>
              <w:right w:val="outset" w:color="auto" w:sz="6"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投标文件未附有招标人不能接受的其他条件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415" w:hRule="atLeast"/>
          <w:jc w:val="center"/>
        </w:trPr>
        <w:tc>
          <w:tcPr>
            <w:tcW w:w="1962" w:type="dxa"/>
            <w:gridSpan w:val="2"/>
            <w:tcBorders>
              <w:top w:val="outset" w:color="auto" w:sz="6" w:space="0"/>
              <w:left w:val="outset" w:color="auto" w:sz="6" w:space="0"/>
              <w:bottom w:val="outset" w:color="auto" w:sz="6" w:space="0"/>
              <w:right w:val="outset" w:color="auto" w:sz="6"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2.2.1</w:t>
            </w:r>
          </w:p>
        </w:tc>
        <w:tc>
          <w:tcPr>
            <w:tcW w:w="1824" w:type="dxa"/>
            <w:tcBorders>
              <w:top w:val="outset" w:color="auto" w:sz="6" w:space="0"/>
              <w:left w:val="outset" w:color="auto" w:sz="6" w:space="0"/>
              <w:bottom w:val="outset" w:color="auto" w:sz="6" w:space="0"/>
              <w:right w:val="outset" w:color="auto" w:sz="6"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分值构成</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（总分100分）</w:t>
            </w:r>
          </w:p>
        </w:tc>
        <w:tc>
          <w:tcPr>
            <w:tcW w:w="5852" w:type="dxa"/>
            <w:gridSpan w:val="2"/>
            <w:tcBorders>
              <w:top w:val="outset" w:color="auto" w:sz="6" w:space="0"/>
              <w:left w:val="outset" w:color="auto" w:sz="6" w:space="0"/>
              <w:bottom w:val="outset" w:color="auto" w:sz="6" w:space="0"/>
              <w:right w:val="outset" w:color="auto" w:sz="6" w:space="0"/>
            </w:tcBorders>
            <w:vAlign w:val="center"/>
          </w:tcPr>
          <w:p>
            <w:pPr>
              <w:snapToGrid w:val="0"/>
              <w:spacing w:line="288" w:lineRule="auto"/>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第一信封（商务及技术文件）评分分值构成：</w:t>
            </w:r>
          </w:p>
          <w:p>
            <w:pPr>
              <w:spacing w:line="240" w:lineRule="atLeast"/>
              <w:ind w:right="105" w:rightChars="50"/>
              <w:rPr>
                <w:rFonts w:asciiTheme="minorEastAsia" w:hAnsiTheme="minorEastAsia"/>
                <w:bCs/>
                <w:color w:val="000000" w:themeColor="text1"/>
                <w:szCs w:val="21"/>
                <w:highlight w:val="none"/>
                <w14:textFill>
                  <w14:solidFill>
                    <w14:schemeClr w14:val="tx1"/>
                  </w14:solidFill>
                </w14:textFill>
              </w:rPr>
            </w:pPr>
            <w:r>
              <w:rPr>
                <w:rFonts w:hint="eastAsia" w:asciiTheme="minorEastAsia" w:hAnsiTheme="minorEastAsia"/>
                <w:bCs/>
                <w:color w:val="000000" w:themeColor="text1"/>
                <w:szCs w:val="21"/>
                <w:highlight w:val="none"/>
                <w14:textFill>
                  <w14:solidFill>
                    <w14:schemeClr w14:val="tx1"/>
                  </w14:solidFill>
                </w14:textFill>
              </w:rPr>
              <w:t>技术建议书：</w:t>
            </w:r>
            <w:r>
              <w:rPr>
                <w:rFonts w:hint="eastAsia" w:asciiTheme="minorEastAsia" w:hAnsiTheme="minorEastAsia"/>
                <w:bCs/>
                <w:color w:val="000000" w:themeColor="text1"/>
                <w:szCs w:val="21"/>
                <w:highlight w:val="none"/>
                <w:u w:val="single"/>
                <w14:textFill>
                  <w14:solidFill>
                    <w14:schemeClr w14:val="tx1"/>
                  </w14:solidFill>
                </w14:textFill>
              </w:rPr>
              <w:t>10</w:t>
            </w:r>
            <w:r>
              <w:rPr>
                <w:rFonts w:hint="eastAsia" w:asciiTheme="minorEastAsia" w:hAnsiTheme="minorEastAsia"/>
                <w:bCs/>
                <w:color w:val="000000" w:themeColor="text1"/>
                <w:szCs w:val="21"/>
                <w:highlight w:val="none"/>
                <w14:textFill>
                  <w14:solidFill>
                    <w14:schemeClr w14:val="tx1"/>
                  </w14:solidFill>
                </w14:textFill>
              </w:rPr>
              <w:t>分</w:t>
            </w:r>
          </w:p>
          <w:p>
            <w:pPr>
              <w:spacing w:line="240" w:lineRule="atLeast"/>
              <w:ind w:right="105" w:rightChars="50"/>
              <w:rPr>
                <w:rFonts w:asciiTheme="minorEastAsia" w:hAnsiTheme="minorEastAsia"/>
                <w:bCs/>
                <w:color w:val="000000" w:themeColor="text1"/>
                <w:szCs w:val="21"/>
                <w:highlight w:val="none"/>
                <w14:textFill>
                  <w14:solidFill>
                    <w14:schemeClr w14:val="tx1"/>
                  </w14:solidFill>
                </w14:textFill>
              </w:rPr>
            </w:pPr>
            <w:r>
              <w:rPr>
                <w:rFonts w:hint="eastAsia" w:asciiTheme="minorEastAsia" w:hAnsiTheme="minorEastAsia"/>
                <w:bCs/>
                <w:color w:val="000000" w:themeColor="text1"/>
                <w:szCs w:val="21"/>
                <w:highlight w:val="none"/>
                <w14:textFill>
                  <w14:solidFill>
                    <w14:schemeClr w14:val="tx1"/>
                  </w14:solidFill>
                </w14:textFill>
              </w:rPr>
              <w:t>主要人员：</w:t>
            </w:r>
            <w:r>
              <w:rPr>
                <w:rFonts w:hint="eastAsia" w:asciiTheme="minorEastAsia" w:hAnsiTheme="minorEastAsia"/>
                <w:bCs/>
                <w:color w:val="000000" w:themeColor="text1"/>
                <w:szCs w:val="21"/>
                <w:highlight w:val="none"/>
                <w:u w:val="single"/>
                <w14:textFill>
                  <w14:solidFill>
                    <w14:schemeClr w14:val="tx1"/>
                  </w14:solidFill>
                </w14:textFill>
              </w:rPr>
              <w:t>35</w:t>
            </w:r>
            <w:r>
              <w:rPr>
                <w:rFonts w:hint="eastAsia" w:asciiTheme="minorEastAsia" w:hAnsiTheme="minorEastAsia"/>
                <w:bCs/>
                <w:color w:val="000000" w:themeColor="text1"/>
                <w:szCs w:val="21"/>
                <w:highlight w:val="none"/>
                <w14:textFill>
                  <w14:solidFill>
                    <w14:schemeClr w14:val="tx1"/>
                  </w14:solidFill>
                </w14:textFill>
              </w:rPr>
              <w:t xml:space="preserve">分 </w:t>
            </w:r>
          </w:p>
          <w:p>
            <w:pPr>
              <w:spacing w:line="240" w:lineRule="atLeast"/>
              <w:ind w:right="105" w:rightChars="50"/>
              <w:rPr>
                <w:rFonts w:asciiTheme="minorEastAsia" w:hAnsiTheme="minorEastAsia"/>
                <w:bCs/>
                <w:color w:val="000000" w:themeColor="text1"/>
                <w:szCs w:val="21"/>
                <w:highlight w:val="none"/>
                <w14:textFill>
                  <w14:solidFill>
                    <w14:schemeClr w14:val="tx1"/>
                  </w14:solidFill>
                </w14:textFill>
              </w:rPr>
            </w:pPr>
            <w:r>
              <w:rPr>
                <w:rFonts w:hint="eastAsia" w:asciiTheme="minorEastAsia" w:hAnsiTheme="minorEastAsia"/>
                <w:bCs/>
                <w:color w:val="000000" w:themeColor="text1"/>
                <w:szCs w:val="21"/>
                <w:highlight w:val="none"/>
                <w14:textFill>
                  <w14:solidFill>
                    <w14:schemeClr w14:val="tx1"/>
                  </w14:solidFill>
                </w14:textFill>
              </w:rPr>
              <w:t>企业业绩：</w:t>
            </w:r>
            <w:r>
              <w:rPr>
                <w:rFonts w:hint="eastAsia" w:asciiTheme="minorEastAsia" w:hAnsiTheme="minorEastAsia"/>
                <w:bCs/>
                <w:color w:val="000000" w:themeColor="text1"/>
                <w:szCs w:val="21"/>
                <w:highlight w:val="none"/>
                <w:u w:val="single"/>
                <w14:textFill>
                  <w14:solidFill>
                    <w14:schemeClr w14:val="tx1"/>
                  </w14:solidFill>
                </w14:textFill>
              </w:rPr>
              <w:t>35</w:t>
            </w:r>
            <w:r>
              <w:rPr>
                <w:rFonts w:hint="eastAsia" w:asciiTheme="minorEastAsia" w:hAnsiTheme="minorEastAsia"/>
                <w:bCs/>
                <w:color w:val="000000" w:themeColor="text1"/>
                <w:szCs w:val="21"/>
                <w:highlight w:val="none"/>
                <w14:textFill>
                  <w14:solidFill>
                    <w14:schemeClr w14:val="tx1"/>
                  </w14:solidFill>
                </w14:textFill>
              </w:rPr>
              <w:t xml:space="preserve">分 </w:t>
            </w:r>
          </w:p>
          <w:p>
            <w:pPr>
              <w:spacing w:line="240" w:lineRule="atLeast"/>
              <w:ind w:right="105" w:rightChars="50"/>
              <w:rPr>
                <w:rFonts w:asciiTheme="minorEastAsia" w:hAnsiTheme="minorEastAsia"/>
                <w:bCs/>
                <w:color w:val="000000" w:themeColor="text1"/>
                <w:szCs w:val="21"/>
                <w:highlight w:val="none"/>
                <w14:textFill>
                  <w14:solidFill>
                    <w14:schemeClr w14:val="tx1"/>
                  </w14:solidFill>
                </w14:textFill>
              </w:rPr>
            </w:pPr>
            <w:r>
              <w:rPr>
                <w:rFonts w:hint="eastAsia" w:asciiTheme="minorEastAsia" w:hAnsiTheme="minorEastAsia"/>
                <w:bCs/>
                <w:color w:val="000000" w:themeColor="text1"/>
                <w:szCs w:val="21"/>
                <w:highlight w:val="none"/>
                <w14:textFill>
                  <w14:solidFill>
                    <w14:schemeClr w14:val="tx1"/>
                  </w14:solidFill>
                </w14:textFill>
              </w:rPr>
              <w:t>履约信誉：</w:t>
            </w:r>
            <w:r>
              <w:rPr>
                <w:rFonts w:hint="eastAsia" w:asciiTheme="minorEastAsia" w:hAnsiTheme="minorEastAsia"/>
                <w:bCs/>
                <w:color w:val="000000" w:themeColor="text1"/>
                <w:szCs w:val="21"/>
                <w:highlight w:val="none"/>
                <w:u w:val="single"/>
                <w14:textFill>
                  <w14:solidFill>
                    <w14:schemeClr w14:val="tx1"/>
                  </w14:solidFill>
                </w14:textFill>
              </w:rPr>
              <w:t>10</w:t>
            </w:r>
            <w:r>
              <w:rPr>
                <w:rFonts w:hint="eastAsia" w:asciiTheme="minorEastAsia" w:hAnsiTheme="minorEastAsia"/>
                <w:bCs/>
                <w:color w:val="000000" w:themeColor="text1"/>
                <w:szCs w:val="21"/>
                <w:highlight w:val="none"/>
                <w14:textFill>
                  <w14:solidFill>
                    <w14:schemeClr w14:val="tx1"/>
                  </w14:solidFill>
                </w14:textFill>
              </w:rPr>
              <w:t>分</w:t>
            </w:r>
          </w:p>
          <w:p>
            <w:pPr>
              <w:snapToGrid w:val="0"/>
              <w:spacing w:line="288" w:lineRule="auto"/>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第二信封（报价文件）评分分值构成：</w:t>
            </w:r>
          </w:p>
          <w:p>
            <w:pPr>
              <w:spacing w:line="240" w:lineRule="exact"/>
              <w:jc w:val="left"/>
              <w:rPr>
                <w:rFonts w:ascii="宋体" w:hAnsi="宋体" w:cs="宋体"/>
                <w:color w:val="000000" w:themeColor="text1"/>
                <w:highlight w:val="none"/>
                <w14:textFill>
                  <w14:solidFill>
                    <w14:schemeClr w14:val="tx1"/>
                  </w14:solidFill>
                </w14:textFill>
              </w:rPr>
            </w:pPr>
            <w:r>
              <w:rPr>
                <w:rFonts w:hint="eastAsia" w:asciiTheme="minorEastAsia" w:hAnsiTheme="minorEastAsia"/>
                <w:bCs/>
                <w:color w:val="000000" w:themeColor="text1"/>
                <w:szCs w:val="21"/>
                <w:highlight w:val="none"/>
                <w14:textFill>
                  <w14:solidFill>
                    <w14:schemeClr w14:val="tx1"/>
                  </w14:solidFill>
                </w14:textFill>
              </w:rPr>
              <w:t>投标报价：</w:t>
            </w:r>
            <w:r>
              <w:rPr>
                <w:rFonts w:hint="eastAsia" w:asciiTheme="minorEastAsia" w:hAnsiTheme="minorEastAsia"/>
                <w:bCs/>
                <w:color w:val="000000" w:themeColor="text1"/>
                <w:szCs w:val="21"/>
                <w:highlight w:val="none"/>
                <w:u w:val="single"/>
                <w14:textFill>
                  <w14:solidFill>
                    <w14:schemeClr w14:val="tx1"/>
                  </w14:solidFill>
                </w14:textFill>
              </w:rPr>
              <w:t>10分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711" w:hRule="atLeast"/>
          <w:jc w:val="center"/>
        </w:trPr>
        <w:tc>
          <w:tcPr>
            <w:tcW w:w="1962" w:type="dxa"/>
            <w:gridSpan w:val="2"/>
            <w:tcBorders>
              <w:top w:val="outset" w:color="auto" w:sz="6" w:space="0"/>
              <w:left w:val="outset" w:color="auto" w:sz="6" w:space="0"/>
              <w:bottom w:val="outset" w:color="auto" w:sz="6" w:space="0"/>
              <w:right w:val="outset" w:color="auto" w:sz="6" w:space="0"/>
            </w:tcBorders>
            <w:vAlign w:val="center"/>
          </w:tcPr>
          <w:p>
            <w:pPr>
              <w:pStyle w:val="2"/>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2.2.2</w:t>
            </w:r>
          </w:p>
        </w:tc>
        <w:tc>
          <w:tcPr>
            <w:tcW w:w="1824" w:type="dxa"/>
            <w:tcBorders>
              <w:top w:val="outset" w:color="auto" w:sz="6" w:space="0"/>
              <w:left w:val="outset" w:color="auto" w:sz="6" w:space="0"/>
              <w:bottom w:val="outset" w:color="auto" w:sz="6" w:space="0"/>
              <w:right w:val="outset" w:color="auto" w:sz="6"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评标基准价</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计算方法</w:t>
            </w:r>
          </w:p>
        </w:tc>
        <w:tc>
          <w:tcPr>
            <w:tcW w:w="5852" w:type="dxa"/>
            <w:gridSpan w:val="2"/>
            <w:tcBorders>
              <w:top w:val="outset" w:color="auto" w:sz="6" w:space="0"/>
              <w:left w:val="outset" w:color="auto" w:sz="6" w:space="0"/>
              <w:bottom w:val="outset" w:color="auto" w:sz="6" w:space="0"/>
              <w:right w:val="outset" w:color="auto" w:sz="6" w:space="0"/>
            </w:tcBorders>
            <w:vAlign w:val="center"/>
          </w:tcPr>
          <w:p>
            <w:pPr>
              <w:pStyle w:val="13"/>
              <w:spacing w:before="1"/>
              <w:ind w:left="10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评标基准价的计算：</w:t>
            </w:r>
          </w:p>
          <w:p>
            <w:pPr>
              <w:pStyle w:val="13"/>
              <w:spacing w:before="57"/>
              <w:ind w:left="10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（1）评标价的确定：</w:t>
            </w:r>
          </w:p>
          <w:p>
            <w:pPr>
              <w:pStyle w:val="13"/>
              <w:spacing w:before="57" w:line="290" w:lineRule="auto"/>
              <w:ind w:left="106" w:right="98"/>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有效评标价＝第二个信封开标现场未被宣布为无效投标的投标报价函文字报价</w:t>
            </w:r>
          </w:p>
          <w:p>
            <w:pPr>
              <w:pStyle w:val="13"/>
              <w:spacing w:before="4"/>
              <w:ind w:left="10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出现第二章“投标人须知”第 5.2.4 项所规定情况的投标文件，应做投标无效处理，其投标报价视为无效报价，不参与任何计算。</w:t>
            </w:r>
          </w:p>
          <w:p>
            <w:pPr>
              <w:pStyle w:val="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确定最终控制价上限 G2</w:t>
            </w:r>
          </w:p>
          <w:p>
            <w:pPr>
              <w:pStyle w:val="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第一个信封开标现场随机抽取投标控制价上限的下浮系数 X1。</w:t>
            </w:r>
          </w:p>
          <w:p>
            <w:pPr>
              <w:pStyle w:val="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（X1 为 0.5%、1%、1.5%、2%、2.5%、3%六个数值中的一个）。最终控制价上限 G2=G1×（1-X1）</w:t>
            </w:r>
          </w:p>
          <w:p>
            <w:pPr>
              <w:pStyle w:val="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G1=各标段最高投标限价（含暂列金额）。</w:t>
            </w:r>
          </w:p>
          <w:p>
            <w:pPr>
              <w:pStyle w:val="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如投标人评标价高于本标段的 G2，则视其为超出招标人的支付能力，将不再参与后续任何计算，按投标无效处理。</w:t>
            </w:r>
          </w:p>
          <w:p>
            <w:pPr>
              <w:pStyle w:val="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确定理论成本价 LC</w:t>
            </w:r>
          </w:p>
          <w:p>
            <w:pPr>
              <w:pStyle w:val="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所有不高于 G2 的有效评标价的算术平均值的 50%（当有效评标价有 5 个及以上时，应去掉其中的最高值和最低值）与 G2 的 50%相加后，乘以成本价系数 Z 所得数值为该标段的理论成本价。</w:t>
            </w:r>
          </w:p>
          <w:p>
            <w:pPr>
              <w:pStyle w:val="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LC=（0.5×G2+0.5×SP1 ）×0.85</w:t>
            </w:r>
          </w:p>
          <w:p>
            <w:pPr>
              <w:pStyle w:val="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SP1——该标段所有不高于 G2 的有效评标价的算术平均值（当有效评标价有 5 个及以上时，应去掉其中的最高值和最低值）</w:t>
            </w:r>
          </w:p>
          <w:p>
            <w:pPr>
              <w:pStyle w:val="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确定评标基准价JZ</w:t>
            </w:r>
          </w:p>
          <w:p>
            <w:pPr>
              <w:pStyle w:val="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评标基准价＝［最终投标控制价上限×加权系数＋有效评标价算术平均值</w:t>
            </w:r>
          </w:p>
          <w:p>
            <w:pPr>
              <w:pStyle w:val="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×（1-加权系数）］×评标基准价系数</w:t>
            </w:r>
          </w:p>
          <w:p>
            <w:pPr>
              <w:pStyle w:val="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式中：加权系数（X2）应从 0.3、0.35、0.4 中选取，评标基准价系数（X3） 应从 0.96、0.97、0.98、0.99 中选取，均在开标现场随机抽取确定。</w:t>
            </w:r>
          </w:p>
          <w:p>
            <w:pPr>
              <w:pStyle w:val="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有效评标价指介于理论成本价（含）与最终投标控制价上限（含）范围内的评标价。当有效评标价数量大于 5 时，应去掉其中的最高和最低值，再进行有效评标价算术平均值计算。</w:t>
            </w:r>
          </w:p>
          <w:p>
            <w:pPr>
              <w:pStyle w:val="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在评标过程中，评标委员会应对招标人计算的评标基准价进行复核，存在计算错误的应予以修正并在评标报告中作出说明。除此之外，评标基准价在整个评标期间保持不变，不随任何因素发生变化。</w:t>
            </w:r>
          </w:p>
          <w:p>
            <w:pPr>
              <w:pStyle w:val="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上述相关系数（X1、X2、X3）在开标现场按标段随机抽取。</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1962" w:type="dxa"/>
            <w:gridSpan w:val="2"/>
            <w:tcBorders>
              <w:top w:val="outset" w:color="auto" w:sz="6" w:space="0"/>
              <w:left w:val="outset" w:color="auto" w:sz="6" w:space="0"/>
              <w:bottom w:val="outset" w:color="auto" w:sz="6" w:space="0"/>
              <w:right w:val="outset" w:color="auto" w:sz="6" w:space="0"/>
            </w:tcBorders>
            <w:vAlign w:val="center"/>
          </w:tcPr>
          <w:p>
            <w:pPr>
              <w:pStyle w:val="2"/>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2.2.3</w:t>
            </w:r>
          </w:p>
        </w:tc>
        <w:tc>
          <w:tcPr>
            <w:tcW w:w="1824" w:type="dxa"/>
            <w:tcBorders>
              <w:top w:val="outset" w:color="auto" w:sz="6" w:space="0"/>
              <w:left w:val="outset" w:color="auto" w:sz="6" w:space="0"/>
              <w:bottom w:val="outset" w:color="auto" w:sz="6" w:space="0"/>
              <w:right w:val="outset" w:color="auto" w:sz="6"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投标报价的偏差率计算公式</w:t>
            </w:r>
          </w:p>
        </w:tc>
        <w:tc>
          <w:tcPr>
            <w:tcW w:w="5852" w:type="dxa"/>
            <w:gridSpan w:val="2"/>
            <w:tcBorders>
              <w:top w:val="outset" w:color="auto" w:sz="6" w:space="0"/>
              <w:left w:val="outset" w:color="auto" w:sz="6" w:space="0"/>
              <w:bottom w:val="outset" w:color="auto" w:sz="6" w:space="0"/>
              <w:right w:val="outset" w:color="auto" w:sz="6" w:space="0"/>
            </w:tcBorders>
            <w:vAlign w:val="center"/>
          </w:tcPr>
          <w:p>
            <w:pPr>
              <w:spacing w:line="240" w:lineRule="exact"/>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偏差率=100%×（投标人评标价-评标基准价）/评标基准价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tcBorders>
              <w:top w:val="outset" w:color="auto" w:sz="6" w:space="0"/>
              <w:left w:val="outset" w:color="auto" w:sz="6" w:space="0"/>
              <w:bottom w:val="single" w:color="auto" w:sz="4" w:space="0"/>
              <w:right w:val="outset" w:color="auto" w:sz="6" w:space="0"/>
            </w:tcBorders>
            <w:vAlign w:val="center"/>
          </w:tcPr>
          <w:p>
            <w:pPr>
              <w:pStyle w:val="2"/>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条款号</w:t>
            </w:r>
          </w:p>
        </w:tc>
        <w:tc>
          <w:tcPr>
            <w:tcW w:w="1153" w:type="dxa"/>
            <w:tcBorders>
              <w:top w:val="outset" w:color="auto" w:sz="6" w:space="0"/>
              <w:left w:val="outset" w:color="auto" w:sz="6" w:space="0"/>
              <w:bottom w:val="single" w:color="auto" w:sz="4" w:space="0"/>
              <w:right w:val="outset" w:color="auto" w:sz="6" w:space="0"/>
            </w:tcBorders>
            <w:vAlign w:val="center"/>
          </w:tcPr>
          <w:p>
            <w:pPr>
              <w:pStyle w:val="2"/>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评分因素</w:t>
            </w:r>
          </w:p>
        </w:tc>
        <w:tc>
          <w:tcPr>
            <w:tcW w:w="1824" w:type="dxa"/>
            <w:tcBorders>
              <w:top w:val="outset" w:color="auto" w:sz="6" w:space="0"/>
              <w:left w:val="outset" w:color="auto" w:sz="6" w:space="0"/>
              <w:bottom w:val="single" w:color="auto" w:sz="4" w:space="0"/>
              <w:right w:val="outset" w:color="auto" w:sz="6"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各评分因素细分项</w:t>
            </w:r>
          </w:p>
        </w:tc>
        <w:tc>
          <w:tcPr>
            <w:tcW w:w="659" w:type="dxa"/>
            <w:tcBorders>
              <w:top w:val="outset" w:color="auto" w:sz="6" w:space="0"/>
              <w:left w:val="outset" w:color="auto" w:sz="6" w:space="0"/>
              <w:bottom w:val="single" w:color="auto" w:sz="4" w:space="0"/>
              <w:right w:val="outset" w:color="auto" w:sz="6"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分值</w:t>
            </w:r>
          </w:p>
        </w:tc>
        <w:tc>
          <w:tcPr>
            <w:tcW w:w="5193" w:type="dxa"/>
            <w:tcBorders>
              <w:top w:val="outset" w:color="auto" w:sz="6" w:space="0"/>
              <w:left w:val="outset" w:color="auto" w:sz="6" w:space="0"/>
              <w:bottom w:val="single" w:color="auto" w:sz="4" w:space="0"/>
              <w:right w:val="outset" w:color="auto" w:sz="6"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评分标准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51" w:hRule="atLeast"/>
          <w:jc w:val="center"/>
        </w:trPr>
        <w:tc>
          <w:tcPr>
            <w:tcW w:w="809" w:type="dxa"/>
            <w:vMerge w:val="restart"/>
            <w:tcBorders>
              <w:top w:val="single" w:color="auto" w:sz="4" w:space="0"/>
              <w:left w:val="single" w:color="auto" w:sz="4" w:space="0"/>
              <w:right w:val="single" w:color="auto" w:sz="4" w:space="0"/>
            </w:tcBorders>
            <w:vAlign w:val="center"/>
          </w:tcPr>
          <w:p>
            <w:pPr>
              <w:pStyle w:val="2"/>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2.2.4（1）</w:t>
            </w:r>
          </w:p>
        </w:tc>
        <w:tc>
          <w:tcPr>
            <w:tcW w:w="1153" w:type="dxa"/>
            <w:vMerge w:val="restart"/>
            <w:tcBorders>
              <w:top w:val="single" w:color="auto" w:sz="4" w:space="0"/>
              <w:left w:val="single" w:color="auto" w:sz="4" w:space="0"/>
              <w:right w:val="single" w:color="auto" w:sz="4" w:space="0"/>
            </w:tcBorders>
            <w:vAlign w:val="center"/>
          </w:tcPr>
          <w:p>
            <w:pPr>
              <w:spacing w:line="26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技术建议书</w:t>
            </w:r>
          </w:p>
          <w:p>
            <w:pPr>
              <w:spacing w:line="260" w:lineRule="exact"/>
              <w:jc w:val="center"/>
              <w:rPr>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（10分）</w:t>
            </w:r>
          </w:p>
          <w:p>
            <w:pPr>
              <w:pStyle w:val="2"/>
              <w:jc w:val="center"/>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对招标项目的理解和总体思路</w:t>
            </w:r>
          </w:p>
        </w:tc>
        <w:tc>
          <w:tcPr>
            <w:tcW w:w="6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2分</w:t>
            </w:r>
          </w:p>
        </w:tc>
        <w:tc>
          <w:tcPr>
            <w:tcW w:w="5193"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60" w:lineRule="exact"/>
              <w:rPr>
                <w:color w:val="000000" w:themeColor="text1"/>
                <w:spacing w:val="9"/>
                <w:szCs w:val="21"/>
                <w:highlight w:val="none"/>
                <w14:textFill>
                  <w14:solidFill>
                    <w14:schemeClr w14:val="tx1"/>
                  </w14:solidFill>
                </w14:textFill>
              </w:rPr>
            </w:pPr>
            <w:r>
              <w:rPr>
                <w:color w:val="000000" w:themeColor="text1"/>
                <w:spacing w:val="3"/>
                <w:szCs w:val="21"/>
                <w:highlight w:val="none"/>
                <w14:textFill>
                  <w14:solidFill>
                    <w14:schemeClr w14:val="tx1"/>
                  </w14:solidFill>
                </w14:textFill>
              </w:rPr>
              <w:t>对项目的</w:t>
            </w:r>
            <w:r>
              <w:rPr>
                <w:color w:val="000000" w:themeColor="text1"/>
                <w:spacing w:val="17"/>
                <w:szCs w:val="21"/>
                <w:highlight w:val="none"/>
                <w14:textFill>
                  <w14:solidFill>
                    <w14:schemeClr w14:val="tx1"/>
                  </w14:solidFill>
                </w14:textFill>
              </w:rPr>
              <w:t>理</w:t>
            </w:r>
            <w:r>
              <w:rPr>
                <w:color w:val="000000" w:themeColor="text1"/>
                <w:spacing w:val="9"/>
                <w:szCs w:val="21"/>
                <w:highlight w:val="none"/>
                <w14:textFill>
                  <w14:solidFill>
                    <w14:schemeClr w14:val="tx1"/>
                  </w14:solidFill>
                </w14:textFill>
              </w:rPr>
              <w:t>解和项目公路建设条件的认识准确</w:t>
            </w:r>
            <w:r>
              <w:rPr>
                <w:rFonts w:hint="eastAsia"/>
                <w:color w:val="000000" w:themeColor="text1"/>
                <w:spacing w:val="9"/>
                <w:szCs w:val="21"/>
                <w:highlight w:val="none"/>
                <w14:textFill>
                  <w14:solidFill>
                    <w14:schemeClr w14:val="tx1"/>
                  </w14:solidFill>
                </w14:textFill>
              </w:rPr>
              <w:t>，得1.2分；</w:t>
            </w:r>
          </w:p>
          <w:p>
            <w:pPr>
              <w:numPr>
                <w:ilvl w:val="0"/>
                <w:numId w:val="1"/>
              </w:numPr>
              <w:spacing w:line="260" w:lineRule="exact"/>
              <w:rPr>
                <w:rFonts w:ascii="宋体" w:hAnsi="宋体" w:cs="宋体"/>
                <w:color w:val="000000" w:themeColor="text1"/>
                <w:highlight w:val="none"/>
                <w14:textFill>
                  <w14:solidFill>
                    <w14:schemeClr w14:val="tx1"/>
                  </w14:solidFill>
                </w14:textFill>
              </w:rPr>
            </w:pPr>
            <w:r>
              <w:rPr>
                <w:rFonts w:hint="eastAsia"/>
                <w:color w:val="000000" w:themeColor="text1"/>
                <w:spacing w:val="9"/>
                <w:szCs w:val="21"/>
                <w:highlight w:val="none"/>
                <w14:textFill>
                  <w14:solidFill>
                    <w14:schemeClr w14:val="tx1"/>
                  </w14:solidFill>
                </w14:textFill>
              </w:rPr>
              <w:t>内容</w:t>
            </w:r>
            <w:r>
              <w:rPr>
                <w:color w:val="000000" w:themeColor="text1"/>
                <w:spacing w:val="9"/>
                <w:szCs w:val="21"/>
                <w:highlight w:val="none"/>
                <w14:textFill>
                  <w14:solidFill>
                    <w14:schemeClr w14:val="tx1"/>
                  </w14:solidFill>
                </w14:textFill>
              </w:rPr>
              <w:t>合面、总体设计思路和设计理念合理，</w:t>
            </w:r>
            <w:r>
              <w:rPr>
                <w:rFonts w:hint="eastAsia"/>
                <w:color w:val="000000" w:themeColor="text1"/>
                <w:szCs w:val="21"/>
                <w:highlight w:val="none"/>
                <w14:textFill>
                  <w14:solidFill>
                    <w14:schemeClr w14:val="tx1"/>
                  </w14:solidFill>
                </w14:textFill>
              </w:rPr>
              <w:t>酌情加分，最高加0.8分。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246" w:hRule="atLeast"/>
          <w:jc w:val="center"/>
        </w:trPr>
        <w:tc>
          <w:tcPr>
            <w:tcW w:w="809" w:type="dxa"/>
            <w:vMerge w:val="continue"/>
            <w:tcBorders>
              <w:left w:val="single" w:color="auto" w:sz="4" w:space="0"/>
              <w:right w:val="single" w:color="auto" w:sz="4" w:space="0"/>
            </w:tcBorders>
            <w:vAlign w:val="center"/>
          </w:tcPr>
          <w:p>
            <w:pPr>
              <w:pStyle w:val="2"/>
              <w:rPr>
                <w:rFonts w:ascii="宋体" w:hAnsi="宋体" w:cs="宋体"/>
                <w:color w:val="000000" w:themeColor="text1"/>
                <w:highlight w:val="none"/>
                <w14:textFill>
                  <w14:solidFill>
                    <w14:schemeClr w14:val="tx1"/>
                  </w14:solidFill>
                </w14:textFill>
              </w:rPr>
            </w:pPr>
          </w:p>
        </w:tc>
        <w:tc>
          <w:tcPr>
            <w:tcW w:w="1153" w:type="dxa"/>
            <w:vMerge w:val="continue"/>
            <w:tcBorders>
              <w:left w:val="single" w:color="auto" w:sz="4" w:space="0"/>
              <w:right w:val="single" w:color="auto" w:sz="4" w:space="0"/>
            </w:tcBorders>
            <w:vAlign w:val="center"/>
          </w:tcPr>
          <w:p>
            <w:pPr>
              <w:pStyle w:val="2"/>
              <w:jc w:val="center"/>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themeColor="text1"/>
                <w:highlight w:val="none"/>
                <w14:textFill>
                  <w14:solidFill>
                    <w14:schemeClr w14:val="tx1"/>
                  </w14:solidFill>
                </w14:textFill>
              </w:rPr>
            </w:pPr>
            <w:r>
              <w:rPr>
                <w:color w:val="000000" w:themeColor="text1"/>
                <w:spacing w:val="-5"/>
                <w:szCs w:val="21"/>
                <w:highlight w:val="none"/>
                <w14:textFill>
                  <w14:solidFill>
                    <w14:schemeClr w14:val="tx1"/>
                  </w14:solidFill>
                </w14:textFill>
              </w:rPr>
              <w:t>招</w:t>
            </w:r>
            <w:r>
              <w:rPr>
                <w:color w:val="000000" w:themeColor="text1"/>
                <w:spacing w:val="-3"/>
                <w:szCs w:val="21"/>
                <w:highlight w:val="none"/>
                <w14:textFill>
                  <w14:solidFill>
                    <w14:schemeClr w14:val="tx1"/>
                  </w14:solidFill>
                </w14:textFill>
              </w:rPr>
              <w:t>标项目勘察</w:t>
            </w:r>
            <w:r>
              <w:rPr>
                <w:color w:val="000000" w:themeColor="text1"/>
                <w:spacing w:val="9"/>
                <w:szCs w:val="21"/>
                <w:highlight w:val="none"/>
                <w14:textFill>
                  <w14:solidFill>
                    <w14:schemeClr w14:val="tx1"/>
                  </w14:solidFill>
                </w14:textFill>
              </w:rPr>
              <w:t>设计的特点、</w:t>
            </w:r>
            <w:r>
              <w:rPr>
                <w:color w:val="000000" w:themeColor="text1"/>
                <w:spacing w:val="7"/>
                <w:szCs w:val="21"/>
                <w:highlight w:val="none"/>
                <w14:textFill>
                  <w14:solidFill>
                    <w14:schemeClr w14:val="tx1"/>
                  </w14:solidFill>
                </w14:textFill>
              </w:rPr>
              <w:t>关</w:t>
            </w:r>
            <w:r>
              <w:rPr>
                <w:color w:val="000000" w:themeColor="text1"/>
                <w:spacing w:val="9"/>
                <w:szCs w:val="21"/>
                <w:highlight w:val="none"/>
                <w14:textFill>
                  <w14:solidFill>
                    <w14:schemeClr w14:val="tx1"/>
                  </w14:solidFill>
                </w14:textFill>
              </w:rPr>
              <w:t>键技术问题的</w:t>
            </w:r>
            <w:r>
              <w:rPr>
                <w:color w:val="000000" w:themeColor="text1"/>
                <w:spacing w:val="7"/>
                <w:szCs w:val="21"/>
                <w:highlight w:val="none"/>
                <w14:textFill>
                  <w14:solidFill>
                    <w14:schemeClr w14:val="tx1"/>
                  </w14:solidFill>
                </w14:textFill>
              </w:rPr>
              <w:t>认</w:t>
            </w:r>
            <w:r>
              <w:rPr>
                <w:color w:val="000000" w:themeColor="text1"/>
                <w:spacing w:val="9"/>
                <w:szCs w:val="21"/>
                <w:highlight w:val="none"/>
                <w14:textFill>
                  <w14:solidFill>
                    <w14:schemeClr w14:val="tx1"/>
                  </w14:solidFill>
                </w14:textFill>
              </w:rPr>
              <w:t>识及其对策措</w:t>
            </w:r>
            <w:r>
              <w:rPr>
                <w:color w:val="000000" w:themeColor="text1"/>
                <w:spacing w:val="7"/>
                <w:szCs w:val="21"/>
                <w:highlight w:val="none"/>
                <w14:textFill>
                  <w14:solidFill>
                    <w14:schemeClr w14:val="tx1"/>
                  </w14:solidFill>
                </w14:textFill>
              </w:rPr>
              <w:t>施</w:t>
            </w:r>
          </w:p>
        </w:tc>
        <w:tc>
          <w:tcPr>
            <w:tcW w:w="6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2分</w:t>
            </w:r>
          </w:p>
        </w:tc>
        <w:tc>
          <w:tcPr>
            <w:tcW w:w="5193" w:type="dxa"/>
            <w:tcBorders>
              <w:top w:val="single" w:color="auto" w:sz="4" w:space="0"/>
              <w:left w:val="single" w:color="auto" w:sz="4" w:space="0"/>
              <w:bottom w:val="single" w:color="auto" w:sz="4" w:space="0"/>
              <w:right w:val="single" w:color="auto" w:sz="4" w:space="0"/>
            </w:tcBorders>
            <w:vAlign w:val="center"/>
          </w:tcPr>
          <w:p>
            <w:pPr>
              <w:spacing w:line="260" w:lineRule="exact"/>
              <w:rPr>
                <w:color w:val="000000" w:themeColor="text1"/>
                <w:spacing w:val="9"/>
                <w:szCs w:val="21"/>
                <w:highlight w:val="none"/>
                <w14:textFill>
                  <w14:solidFill>
                    <w14:schemeClr w14:val="tx1"/>
                  </w14:solidFill>
                </w14:textFill>
              </w:rPr>
            </w:pPr>
            <w:r>
              <w:rPr>
                <w:rFonts w:hint="eastAsia"/>
                <w:color w:val="000000" w:themeColor="text1"/>
                <w:spacing w:val="9"/>
                <w:szCs w:val="21"/>
                <w:highlight w:val="none"/>
                <w14:textFill>
                  <w14:solidFill>
                    <w14:schemeClr w14:val="tx1"/>
                  </w14:solidFill>
                </w14:textFill>
              </w:rPr>
              <w:t>1、项目特点描述准确，有相关技术措施方案，得1.2分；</w:t>
            </w:r>
          </w:p>
          <w:p>
            <w:pPr>
              <w:spacing w:line="260" w:lineRule="exact"/>
              <w:rPr>
                <w:rFonts w:ascii="宋体" w:hAnsi="宋体" w:cs="宋体"/>
                <w:color w:val="000000" w:themeColor="text1"/>
                <w:highlight w:val="none"/>
                <w14:textFill>
                  <w14:solidFill>
                    <w14:schemeClr w14:val="tx1"/>
                  </w14:solidFill>
                </w14:textFill>
              </w:rPr>
            </w:pPr>
            <w:r>
              <w:rPr>
                <w:rFonts w:hint="eastAsia"/>
                <w:color w:val="000000" w:themeColor="text1"/>
                <w:spacing w:val="9"/>
                <w:szCs w:val="21"/>
                <w:highlight w:val="none"/>
                <w14:textFill>
                  <w14:solidFill>
                    <w14:schemeClr w14:val="tx1"/>
                  </w14:solidFill>
                </w14:textFill>
              </w:rPr>
              <w:t>2、</w:t>
            </w:r>
            <w:r>
              <w:rPr>
                <w:color w:val="000000" w:themeColor="text1"/>
                <w:spacing w:val="9"/>
                <w:szCs w:val="21"/>
                <w:highlight w:val="none"/>
                <w14:textFill>
                  <w14:solidFill>
                    <w14:schemeClr w14:val="tx1"/>
                  </w14:solidFill>
                </w14:textFill>
              </w:rPr>
              <w:t>针对结构安全性、经济性、耐久性</w:t>
            </w:r>
            <w:r>
              <w:rPr>
                <w:color w:val="000000" w:themeColor="text1"/>
                <w:spacing w:val="17"/>
                <w:szCs w:val="21"/>
                <w:highlight w:val="none"/>
                <w14:textFill>
                  <w14:solidFill>
                    <w14:schemeClr w14:val="tx1"/>
                  </w14:solidFill>
                </w14:textFill>
              </w:rPr>
              <w:t>等</w:t>
            </w:r>
            <w:r>
              <w:rPr>
                <w:color w:val="000000" w:themeColor="text1"/>
                <w:spacing w:val="9"/>
                <w:szCs w:val="21"/>
                <w:highlight w:val="none"/>
                <w14:textFill>
                  <w14:solidFill>
                    <w14:schemeClr w14:val="tx1"/>
                  </w14:solidFill>
                </w14:textFill>
              </w:rPr>
              <w:t>的措施可行性、措施准确透彻、措施优</w:t>
            </w:r>
            <w:r>
              <w:rPr>
                <w:color w:val="000000" w:themeColor="text1"/>
                <w:spacing w:val="10"/>
                <w:szCs w:val="21"/>
                <w:highlight w:val="none"/>
                <w14:textFill>
                  <w14:solidFill>
                    <w14:schemeClr w14:val="tx1"/>
                  </w14:solidFill>
                </w14:textFill>
              </w:rPr>
              <w:t>越</w:t>
            </w:r>
            <w:r>
              <w:rPr>
                <w:color w:val="000000" w:themeColor="text1"/>
                <w:spacing w:val="6"/>
                <w:szCs w:val="21"/>
                <w:highlight w:val="none"/>
                <w14:textFill>
                  <w14:solidFill>
                    <w14:schemeClr w14:val="tx1"/>
                  </w14:solidFill>
                </w14:textFill>
              </w:rPr>
              <w:t>程度，</w:t>
            </w:r>
            <w:r>
              <w:rPr>
                <w:rFonts w:hint="eastAsia"/>
                <w:color w:val="000000" w:themeColor="text1"/>
                <w:szCs w:val="21"/>
                <w:highlight w:val="none"/>
                <w14:textFill>
                  <w14:solidFill>
                    <w14:schemeClr w14:val="tx1"/>
                  </w14:solidFill>
                </w14:textFill>
              </w:rPr>
              <w:t>酌情加分，最高加0.8分。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316" w:hRule="atLeast"/>
          <w:jc w:val="center"/>
        </w:trPr>
        <w:tc>
          <w:tcPr>
            <w:tcW w:w="809" w:type="dxa"/>
            <w:vMerge w:val="continue"/>
            <w:tcBorders>
              <w:left w:val="single" w:color="auto" w:sz="4" w:space="0"/>
              <w:right w:val="single" w:color="auto" w:sz="4" w:space="0"/>
            </w:tcBorders>
            <w:vAlign w:val="center"/>
          </w:tcPr>
          <w:p>
            <w:pPr>
              <w:pStyle w:val="2"/>
              <w:rPr>
                <w:rFonts w:ascii="宋体" w:hAnsi="宋体" w:cs="宋体"/>
                <w:color w:val="000000" w:themeColor="text1"/>
                <w:highlight w:val="none"/>
                <w14:textFill>
                  <w14:solidFill>
                    <w14:schemeClr w14:val="tx1"/>
                  </w14:solidFill>
                </w14:textFill>
              </w:rPr>
            </w:pPr>
          </w:p>
        </w:tc>
        <w:tc>
          <w:tcPr>
            <w:tcW w:w="1153" w:type="dxa"/>
            <w:vMerge w:val="continue"/>
            <w:tcBorders>
              <w:left w:val="single" w:color="auto" w:sz="4" w:space="0"/>
              <w:right w:val="single" w:color="auto" w:sz="4" w:space="0"/>
            </w:tcBorders>
            <w:vAlign w:val="center"/>
          </w:tcPr>
          <w:p>
            <w:pPr>
              <w:pStyle w:val="2"/>
              <w:jc w:val="center"/>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项目实施方案与施工进度计划</w:t>
            </w:r>
          </w:p>
        </w:tc>
        <w:tc>
          <w:tcPr>
            <w:tcW w:w="6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2分</w:t>
            </w:r>
          </w:p>
        </w:tc>
        <w:tc>
          <w:tcPr>
            <w:tcW w:w="5193" w:type="dxa"/>
            <w:tcBorders>
              <w:top w:val="single" w:color="auto" w:sz="4" w:space="0"/>
              <w:left w:val="single" w:color="auto" w:sz="4" w:space="0"/>
              <w:bottom w:val="single" w:color="auto" w:sz="4" w:space="0"/>
              <w:right w:val="single" w:color="auto" w:sz="4" w:space="0"/>
            </w:tcBorders>
            <w:vAlign w:val="center"/>
          </w:tcPr>
          <w:p>
            <w:pPr>
              <w:spacing w:line="26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1、对本项目实施方案、施工进度计划的科学性、合理性，与项目实际结合的紧密程度等进行评审，内容完整的得1.2分；</w:t>
            </w:r>
          </w:p>
          <w:p>
            <w:pPr>
              <w:spacing w:line="260" w:lineRule="exact"/>
              <w:rPr>
                <w:rFonts w:ascii="宋体" w:hAnsi="宋体" w:cs="宋体"/>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2、内容全面且合理可行，酌情加分，最高加0.8分。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401" w:hRule="atLeast"/>
          <w:jc w:val="center"/>
        </w:trPr>
        <w:tc>
          <w:tcPr>
            <w:tcW w:w="809" w:type="dxa"/>
            <w:vMerge w:val="continue"/>
            <w:tcBorders>
              <w:left w:val="single" w:color="auto" w:sz="4" w:space="0"/>
              <w:right w:val="single" w:color="auto" w:sz="4" w:space="0"/>
            </w:tcBorders>
            <w:vAlign w:val="center"/>
          </w:tcPr>
          <w:p>
            <w:pPr>
              <w:pStyle w:val="2"/>
              <w:rPr>
                <w:rFonts w:ascii="宋体" w:hAnsi="宋体" w:cs="宋体"/>
                <w:color w:val="000000" w:themeColor="text1"/>
                <w:highlight w:val="none"/>
                <w14:textFill>
                  <w14:solidFill>
                    <w14:schemeClr w14:val="tx1"/>
                  </w14:solidFill>
                </w14:textFill>
              </w:rPr>
            </w:pPr>
          </w:p>
        </w:tc>
        <w:tc>
          <w:tcPr>
            <w:tcW w:w="1153" w:type="dxa"/>
            <w:vMerge w:val="continue"/>
            <w:tcBorders>
              <w:left w:val="single" w:color="auto" w:sz="4" w:space="0"/>
              <w:right w:val="single" w:color="auto" w:sz="4" w:space="0"/>
            </w:tcBorders>
            <w:vAlign w:val="center"/>
          </w:tcPr>
          <w:p>
            <w:pPr>
              <w:pStyle w:val="2"/>
              <w:jc w:val="center"/>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工期、工程质量、安全生产管理体系及保证措施</w:t>
            </w:r>
          </w:p>
        </w:tc>
        <w:tc>
          <w:tcPr>
            <w:tcW w:w="6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2分</w:t>
            </w:r>
          </w:p>
        </w:tc>
        <w:tc>
          <w:tcPr>
            <w:tcW w:w="5193" w:type="dxa"/>
            <w:tcBorders>
              <w:top w:val="single" w:color="auto" w:sz="4" w:space="0"/>
              <w:left w:val="single" w:color="auto" w:sz="4" w:space="0"/>
              <w:bottom w:val="single" w:color="auto" w:sz="4" w:space="0"/>
              <w:right w:val="single" w:color="auto" w:sz="4" w:space="0"/>
            </w:tcBorders>
            <w:vAlign w:val="center"/>
          </w:tcPr>
          <w:p>
            <w:pPr>
              <w:spacing w:line="26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1、对工期、质量、安全生产是否满足要求、质量管理体系、安全生产管理体系是否健全、制度是否完善、合理可行等进行评审，内容基本完整的得1.2分；</w:t>
            </w:r>
          </w:p>
          <w:p>
            <w:pPr>
              <w:spacing w:line="260" w:lineRule="exact"/>
              <w:rPr>
                <w:rFonts w:ascii="宋体" w:hAnsi="宋体" w:cs="宋体"/>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2、内容全面、合理可行，酌情加分，最高加0.8分。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876" w:hRule="atLeast"/>
          <w:jc w:val="center"/>
        </w:trPr>
        <w:tc>
          <w:tcPr>
            <w:tcW w:w="809" w:type="dxa"/>
            <w:vMerge w:val="continue"/>
            <w:tcBorders>
              <w:left w:val="single" w:color="auto" w:sz="4" w:space="0"/>
              <w:bottom w:val="single" w:color="auto" w:sz="4" w:space="0"/>
              <w:right w:val="single" w:color="auto" w:sz="4" w:space="0"/>
            </w:tcBorders>
            <w:vAlign w:val="center"/>
          </w:tcPr>
          <w:p>
            <w:pPr>
              <w:pStyle w:val="2"/>
              <w:rPr>
                <w:rFonts w:ascii="宋体" w:hAnsi="宋体" w:cs="宋体"/>
                <w:color w:val="000000" w:themeColor="text1"/>
                <w:highlight w:val="none"/>
                <w14:textFill>
                  <w14:solidFill>
                    <w14:schemeClr w14:val="tx1"/>
                  </w14:solidFill>
                </w14:textFill>
              </w:rPr>
            </w:pPr>
          </w:p>
        </w:tc>
        <w:tc>
          <w:tcPr>
            <w:tcW w:w="1153" w:type="dxa"/>
            <w:vMerge w:val="continue"/>
            <w:tcBorders>
              <w:left w:val="single" w:color="auto" w:sz="4" w:space="0"/>
              <w:bottom w:val="single" w:color="auto" w:sz="4" w:space="0"/>
              <w:right w:val="single" w:color="auto" w:sz="4" w:space="0"/>
            </w:tcBorders>
            <w:vAlign w:val="center"/>
          </w:tcPr>
          <w:p>
            <w:pPr>
              <w:pStyle w:val="2"/>
              <w:jc w:val="center"/>
              <w:rPr>
                <w:rFonts w:ascii="宋体" w:hAnsi="宋体" w:cs="宋体"/>
                <w:color w:val="000000" w:themeColor="text1"/>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themeColor="text1"/>
                <w:highlight w:val="none"/>
                <w14:textFill>
                  <w14:solidFill>
                    <w14:schemeClr w14:val="tx1"/>
                  </w14:solidFill>
                </w14:textFill>
              </w:rPr>
            </w:pPr>
            <w:r>
              <w:rPr>
                <w:color w:val="000000" w:themeColor="text1"/>
                <w:spacing w:val="-4"/>
                <w:szCs w:val="21"/>
                <w:highlight w:val="none"/>
                <w14:textFill>
                  <w14:solidFill>
                    <w14:schemeClr w14:val="tx1"/>
                  </w14:solidFill>
                </w14:textFill>
              </w:rPr>
              <w:t>后续服务的安</w:t>
            </w:r>
            <w:r>
              <w:rPr>
                <w:color w:val="000000" w:themeColor="text1"/>
                <w:spacing w:val="9"/>
                <w:szCs w:val="21"/>
                <w:highlight w:val="none"/>
                <w14:textFill>
                  <w14:solidFill>
                    <w14:schemeClr w14:val="tx1"/>
                  </w14:solidFill>
                </w14:textFill>
              </w:rPr>
              <w:t>排</w:t>
            </w:r>
            <w:r>
              <w:rPr>
                <w:color w:val="000000" w:themeColor="text1"/>
                <w:spacing w:val="8"/>
                <w:szCs w:val="21"/>
                <w:highlight w:val="none"/>
                <w14:textFill>
                  <w14:solidFill>
                    <w14:schemeClr w14:val="tx1"/>
                  </w14:solidFill>
                </w14:textFill>
              </w:rPr>
              <w:t>及保证措施</w:t>
            </w:r>
          </w:p>
        </w:tc>
        <w:tc>
          <w:tcPr>
            <w:tcW w:w="6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2分</w:t>
            </w:r>
          </w:p>
        </w:tc>
        <w:tc>
          <w:tcPr>
            <w:tcW w:w="5193"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260" w:lineRule="exact"/>
              <w:rPr>
                <w:color w:val="000000" w:themeColor="text1"/>
                <w:spacing w:val="9"/>
                <w:szCs w:val="21"/>
                <w:highlight w:val="none"/>
                <w14:textFill>
                  <w14:solidFill>
                    <w14:schemeClr w14:val="tx1"/>
                  </w14:solidFill>
                </w14:textFill>
              </w:rPr>
            </w:pPr>
            <w:r>
              <w:rPr>
                <w:rFonts w:hint="eastAsia"/>
                <w:color w:val="000000" w:themeColor="text1"/>
                <w:spacing w:val="9"/>
                <w:szCs w:val="21"/>
                <w:highlight w:val="none"/>
                <w14:textFill>
                  <w14:solidFill>
                    <w14:schemeClr w14:val="tx1"/>
                  </w14:solidFill>
                </w14:textFill>
              </w:rPr>
              <w:t>满足招标文件基本要求，得1.2分；</w:t>
            </w:r>
          </w:p>
          <w:p>
            <w:pPr>
              <w:numPr>
                <w:ilvl w:val="0"/>
                <w:numId w:val="2"/>
              </w:numPr>
              <w:spacing w:line="260" w:lineRule="exact"/>
              <w:rPr>
                <w:rFonts w:ascii="宋体" w:hAnsi="宋体" w:cs="宋体"/>
                <w:color w:val="000000" w:themeColor="text1"/>
                <w:highlight w:val="none"/>
                <w14:textFill>
                  <w14:solidFill>
                    <w14:schemeClr w14:val="tx1"/>
                  </w14:solidFill>
                </w14:textFill>
              </w:rPr>
            </w:pPr>
            <w:r>
              <w:rPr>
                <w:color w:val="000000" w:themeColor="text1"/>
                <w:spacing w:val="9"/>
                <w:szCs w:val="21"/>
                <w:highlight w:val="none"/>
                <w14:textFill>
                  <w14:solidFill>
                    <w14:schemeClr w14:val="tx1"/>
                  </w14:solidFill>
                </w14:textFill>
              </w:rPr>
              <w:t>后续服务全面细致、特点突出、措</w:t>
            </w:r>
            <w:r>
              <w:rPr>
                <w:color w:val="000000" w:themeColor="text1"/>
                <w:spacing w:val="14"/>
                <w:szCs w:val="21"/>
                <w:highlight w:val="none"/>
                <w14:textFill>
                  <w14:solidFill>
                    <w14:schemeClr w14:val="tx1"/>
                  </w14:solidFill>
                </w14:textFill>
              </w:rPr>
              <w:t>施</w:t>
            </w:r>
            <w:r>
              <w:rPr>
                <w:rFonts w:hint="eastAsia"/>
                <w:color w:val="000000" w:themeColor="text1"/>
                <w:spacing w:val="14"/>
                <w:szCs w:val="21"/>
                <w:highlight w:val="none"/>
                <w14:textFill>
                  <w14:solidFill>
                    <w14:schemeClr w14:val="tx1"/>
                  </w14:solidFill>
                </w14:textFill>
              </w:rPr>
              <w:t>详细，</w:t>
            </w:r>
            <w:r>
              <w:rPr>
                <w:rFonts w:hint="eastAsia"/>
                <w:color w:val="000000" w:themeColor="text1"/>
                <w:szCs w:val="21"/>
                <w:highlight w:val="none"/>
                <w14:textFill>
                  <w14:solidFill>
                    <w14:schemeClr w14:val="tx1"/>
                  </w14:solidFill>
                </w14:textFill>
              </w:rPr>
              <w:t>酌情加分，最高加0.8分。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635" w:hRule="atLeast"/>
          <w:jc w:val="center"/>
        </w:trPr>
        <w:tc>
          <w:tcPr>
            <w:tcW w:w="809"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2.2.4（2）</w:t>
            </w:r>
          </w:p>
        </w:tc>
        <w:tc>
          <w:tcPr>
            <w:tcW w:w="1153" w:type="dxa"/>
            <w:vMerge w:val="restart"/>
            <w:tcBorders>
              <w:top w:val="single" w:color="auto" w:sz="4" w:space="0"/>
              <w:left w:val="single" w:color="auto" w:sz="4" w:space="0"/>
              <w:right w:val="single" w:color="auto" w:sz="4" w:space="0"/>
            </w:tcBorders>
            <w:vAlign w:val="center"/>
          </w:tcPr>
          <w:p>
            <w:pPr>
              <w:spacing w:line="26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主要</w:t>
            </w:r>
          </w:p>
          <w:p>
            <w:pPr>
              <w:spacing w:line="24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人员</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（35分）</w:t>
            </w:r>
          </w:p>
        </w:tc>
        <w:tc>
          <w:tcPr>
            <w:tcW w:w="182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themeColor="text1"/>
                <w:sz w:val="22"/>
                <w:szCs w:val="22"/>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项目经理</w:t>
            </w:r>
          </w:p>
        </w:tc>
        <w:tc>
          <w:tcPr>
            <w:tcW w:w="6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themeColor="text1"/>
                <w:highlight w:val="none"/>
                <w14:textFill>
                  <w14:solidFill>
                    <w14:schemeClr w14:val="tx1"/>
                  </w14:solidFill>
                </w14:textFill>
              </w:rPr>
            </w:pPr>
            <w:r>
              <w:rPr>
                <w:color w:val="000000" w:themeColor="text1"/>
                <w:szCs w:val="21"/>
                <w:highlight w:val="none"/>
                <w14:textFill>
                  <w14:solidFill>
                    <w14:schemeClr w14:val="tx1"/>
                  </w14:solidFill>
                </w14:textFill>
              </w:rPr>
              <w:t>15</w:t>
            </w:r>
            <w:r>
              <w:rPr>
                <w:rFonts w:hint="eastAsia"/>
                <w:color w:val="000000" w:themeColor="text1"/>
                <w:szCs w:val="21"/>
                <w:highlight w:val="none"/>
                <w14:textFill>
                  <w14:solidFill>
                    <w14:schemeClr w14:val="tx1"/>
                  </w14:solidFill>
                </w14:textFill>
              </w:rPr>
              <w:t>分</w:t>
            </w:r>
          </w:p>
        </w:tc>
        <w:tc>
          <w:tcPr>
            <w:tcW w:w="5193" w:type="dxa"/>
            <w:tcBorders>
              <w:top w:val="single" w:color="auto" w:sz="4" w:space="0"/>
              <w:left w:val="single" w:color="auto" w:sz="4" w:space="0"/>
              <w:bottom w:val="single" w:color="auto" w:sz="4" w:space="0"/>
              <w:right w:val="single" w:color="auto" w:sz="4" w:space="0"/>
            </w:tcBorders>
            <w:vAlign w:val="center"/>
          </w:tcPr>
          <w:p>
            <w:pPr>
              <w:spacing w:line="2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满足附录4资格审查条件最低要求得</w:t>
            </w:r>
            <w:r>
              <w:rPr>
                <w:color w:val="000000" w:themeColor="text1"/>
                <w:highlight w:val="none"/>
                <w14:textFill>
                  <w14:solidFill>
                    <w14:schemeClr w14:val="tx1"/>
                  </w14:solidFill>
                </w14:textFill>
              </w:rPr>
              <w:t>9</w:t>
            </w:r>
            <w:r>
              <w:rPr>
                <w:rFonts w:hint="eastAsia"/>
                <w:color w:val="000000" w:themeColor="text1"/>
                <w:highlight w:val="none"/>
                <w14:textFill>
                  <w14:solidFill>
                    <w14:schemeClr w14:val="tx1"/>
                  </w14:solidFill>
                </w14:textFill>
              </w:rPr>
              <w:t>分；</w:t>
            </w:r>
          </w:p>
          <w:p>
            <w:pPr>
              <w:pStyle w:val="4"/>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1、具有正高级工程师称职加3分。</w:t>
            </w:r>
          </w:p>
          <w:p>
            <w:pPr>
              <w:spacing w:line="2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2、作为项目经理或</w:t>
            </w:r>
            <w:r>
              <w:rPr>
                <w:rFonts w:hint="eastAsia"/>
                <w:color w:val="000000" w:themeColor="text1"/>
                <w:highlight w:val="none"/>
                <w:lang w:val="en-US" w:eastAsia="zh-CN"/>
                <w14:textFill>
                  <w14:solidFill>
                    <w14:schemeClr w14:val="tx1"/>
                  </w14:solidFill>
                </w14:textFill>
              </w:rPr>
              <w:t>项目</w:t>
            </w:r>
            <w:r>
              <w:rPr>
                <w:rFonts w:hint="eastAsia"/>
                <w:color w:val="000000" w:themeColor="text1"/>
                <w:highlight w:val="none"/>
                <w14:textFill>
                  <w14:solidFill>
                    <w14:schemeClr w14:val="tx1"/>
                  </w14:solidFill>
                </w14:textFill>
              </w:rPr>
              <w:t>负责人近五年（2018年</w:t>
            </w: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月至投标文件递交截止之日，以初步设计或施工图设计批复时间或合同签订时间为准）每增加1项高速公路养护工程设计施工总承包业绩或高速公路</w:t>
            </w:r>
            <w:r>
              <w:rPr>
                <w:rFonts w:hint="eastAsia"/>
                <w:color w:val="000000" w:themeColor="text1"/>
                <w:highlight w:val="none"/>
                <w:lang w:val="en-US" w:eastAsia="zh-CN"/>
                <w14:textFill>
                  <w14:solidFill>
                    <w14:schemeClr w14:val="tx1"/>
                  </w14:solidFill>
                </w14:textFill>
              </w:rPr>
              <w:t>养护</w:t>
            </w:r>
            <w:r>
              <w:rPr>
                <w:rFonts w:hint="eastAsia"/>
                <w:color w:val="000000" w:themeColor="text1"/>
                <w:highlight w:val="none"/>
                <w14:textFill>
                  <w14:solidFill>
                    <w14:schemeClr w14:val="tx1"/>
                  </w14:solidFill>
                </w14:textFill>
              </w:rPr>
              <w:t>工程设计业绩加3分，此项最高加3分。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0" w:hRule="atLeast"/>
          <w:jc w:val="center"/>
        </w:trPr>
        <w:tc>
          <w:tcPr>
            <w:tcW w:w="809" w:type="dxa"/>
            <w:vMerge w:val="continue"/>
            <w:tcBorders>
              <w:left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p>
        </w:tc>
        <w:tc>
          <w:tcPr>
            <w:tcW w:w="1153" w:type="dxa"/>
            <w:vMerge w:val="continue"/>
            <w:tcBorders>
              <w:left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p>
        </w:tc>
        <w:tc>
          <w:tcPr>
            <w:tcW w:w="1824" w:type="dxa"/>
            <w:tcBorders>
              <w:top w:val="outset" w:color="auto" w:sz="6" w:space="0"/>
              <w:left w:val="outset" w:color="auto" w:sz="6" w:space="0"/>
              <w:right w:val="outset" w:color="auto" w:sz="6" w:space="0"/>
            </w:tcBorders>
            <w:vAlign w:val="center"/>
          </w:tcPr>
          <w:p>
            <w:pPr>
              <w:spacing w:line="260" w:lineRule="exact"/>
              <w:jc w:val="center"/>
              <w:rPr>
                <w:rFonts w:ascii="宋体" w:hAnsi="宋体" w:cs="宋体"/>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设计负责人</w:t>
            </w:r>
          </w:p>
        </w:tc>
        <w:tc>
          <w:tcPr>
            <w:tcW w:w="659" w:type="dxa"/>
            <w:tcBorders>
              <w:top w:val="outset" w:color="auto" w:sz="6" w:space="0"/>
              <w:left w:val="outset" w:color="auto" w:sz="6" w:space="0"/>
              <w:bottom w:val="single" w:color="auto" w:sz="4" w:space="0"/>
              <w:right w:val="outset" w:color="auto" w:sz="6" w:space="0"/>
            </w:tcBorders>
            <w:vAlign w:val="center"/>
          </w:tcPr>
          <w:p>
            <w:pPr>
              <w:spacing w:line="260" w:lineRule="exact"/>
              <w:jc w:val="center"/>
              <w:rPr>
                <w:rFonts w:ascii="宋体" w:hAnsi="宋体" w:cs="宋体"/>
                <w:color w:val="000000" w:themeColor="text1"/>
                <w:highlight w:val="none"/>
                <w14:textFill>
                  <w14:solidFill>
                    <w14:schemeClr w14:val="tx1"/>
                  </w14:solidFill>
                </w14:textFill>
              </w:rPr>
            </w:pPr>
            <w:r>
              <w:rPr>
                <w:color w:val="000000" w:themeColor="text1"/>
                <w:szCs w:val="21"/>
                <w:highlight w:val="none"/>
                <w14:textFill>
                  <w14:solidFill>
                    <w14:schemeClr w14:val="tx1"/>
                  </w14:solidFill>
                </w14:textFill>
              </w:rPr>
              <w:t>10</w:t>
            </w:r>
            <w:r>
              <w:rPr>
                <w:rFonts w:hint="eastAsia"/>
                <w:color w:val="000000" w:themeColor="text1"/>
                <w:szCs w:val="21"/>
                <w:highlight w:val="none"/>
                <w14:textFill>
                  <w14:solidFill>
                    <w14:schemeClr w14:val="tx1"/>
                  </w14:solidFill>
                </w14:textFill>
              </w:rPr>
              <w:t>分</w:t>
            </w:r>
          </w:p>
        </w:tc>
        <w:tc>
          <w:tcPr>
            <w:tcW w:w="5193" w:type="dxa"/>
            <w:tcBorders>
              <w:top w:val="single" w:color="auto" w:sz="4" w:space="0"/>
              <w:left w:val="single" w:color="auto" w:sz="4" w:space="0"/>
              <w:bottom w:val="single" w:color="auto" w:sz="4" w:space="0"/>
              <w:right w:val="single" w:color="auto" w:sz="4" w:space="0"/>
            </w:tcBorders>
            <w:vAlign w:val="center"/>
          </w:tcPr>
          <w:p>
            <w:pPr>
              <w:spacing w:line="26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满足</w:t>
            </w:r>
            <w:r>
              <w:rPr>
                <w:rFonts w:hint="eastAsia"/>
                <w:color w:val="000000" w:themeColor="text1"/>
                <w:highlight w:val="none"/>
                <w14:textFill>
                  <w14:solidFill>
                    <w14:schemeClr w14:val="tx1"/>
                  </w14:solidFill>
                </w14:textFill>
              </w:rPr>
              <w:t>附录4</w:t>
            </w:r>
            <w:r>
              <w:rPr>
                <w:rFonts w:hint="eastAsia"/>
                <w:color w:val="000000" w:themeColor="text1"/>
                <w:szCs w:val="21"/>
                <w:highlight w:val="none"/>
                <w14:textFill>
                  <w14:solidFill>
                    <w14:schemeClr w14:val="tx1"/>
                  </w14:solidFill>
                </w14:textFill>
              </w:rPr>
              <w:t>资格审查条件最低要求得</w:t>
            </w:r>
            <w:r>
              <w:rPr>
                <w:color w:val="000000" w:themeColor="text1"/>
                <w:szCs w:val="21"/>
                <w:highlight w:val="none"/>
                <w14:textFill>
                  <w14:solidFill>
                    <w14:schemeClr w14:val="tx1"/>
                  </w14:solidFill>
                </w14:textFill>
              </w:rPr>
              <w:t>6</w:t>
            </w:r>
            <w:r>
              <w:rPr>
                <w:rFonts w:hint="eastAsia"/>
                <w:color w:val="000000" w:themeColor="text1"/>
                <w:szCs w:val="21"/>
                <w:highlight w:val="none"/>
                <w14:textFill>
                  <w14:solidFill>
                    <w14:schemeClr w14:val="tx1"/>
                  </w14:solidFill>
                </w14:textFill>
              </w:rPr>
              <w:t>分；</w:t>
            </w:r>
          </w:p>
          <w:p>
            <w:pPr>
              <w:pStyle w:val="4"/>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1、具有正高级工程师称职加</w:t>
            </w:r>
            <w:r>
              <w:rPr>
                <w:color w:val="000000" w:themeColor="text1"/>
                <w:szCs w:val="21"/>
                <w:highlight w:val="none"/>
                <w14:textFill>
                  <w14:solidFill>
                    <w14:schemeClr w14:val="tx1"/>
                  </w14:solidFill>
                </w14:textFill>
              </w:rPr>
              <w:t>2</w:t>
            </w:r>
            <w:r>
              <w:rPr>
                <w:rFonts w:hint="eastAsia"/>
                <w:color w:val="000000" w:themeColor="text1"/>
                <w:szCs w:val="21"/>
                <w:highlight w:val="none"/>
                <w14:textFill>
                  <w14:solidFill>
                    <w14:schemeClr w14:val="tx1"/>
                  </w14:solidFill>
                </w14:textFill>
              </w:rPr>
              <w:t>分。</w:t>
            </w:r>
          </w:p>
          <w:p>
            <w:pPr>
              <w:spacing w:line="260" w:lineRule="exact"/>
              <w:rPr>
                <w:rFonts w:ascii="宋体" w:hAnsi="宋体" w:cs="宋体"/>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2、作为</w:t>
            </w:r>
            <w:r>
              <w:rPr>
                <w:rFonts w:hint="eastAsia"/>
                <w:color w:val="000000" w:themeColor="text1"/>
                <w:szCs w:val="21"/>
                <w:highlight w:val="none"/>
                <w:lang w:val="en-US" w:eastAsia="zh-CN"/>
                <w14:textFill>
                  <w14:solidFill>
                    <w14:schemeClr w14:val="tx1"/>
                  </w14:solidFill>
                </w14:textFill>
              </w:rPr>
              <w:t>项目技术负责人</w:t>
            </w:r>
            <w:r>
              <w:rPr>
                <w:rFonts w:hint="eastAsia"/>
                <w:color w:val="000000" w:themeColor="text1"/>
                <w:szCs w:val="21"/>
                <w:highlight w:val="none"/>
                <w14:textFill>
                  <w14:solidFill>
                    <w14:schemeClr w14:val="tx1"/>
                  </w14:solidFill>
                </w14:textFill>
              </w:rPr>
              <w:t>或项目负责人</w:t>
            </w:r>
            <w:r>
              <w:rPr>
                <w:rFonts w:hint="eastAsia" w:ascii="宋体" w:hAnsi="宋体" w:cs="宋体"/>
                <w:color w:val="000000" w:themeColor="text1"/>
                <w:highlight w:val="none"/>
                <w14:textFill>
                  <w14:solidFill>
                    <w14:schemeClr w14:val="tx1"/>
                  </w14:solidFill>
                </w14:textFill>
              </w:rPr>
              <w:t>近五年（2018年</w:t>
            </w:r>
            <w:r>
              <w:rPr>
                <w:rFonts w:hint="eastAsia" w:ascii="宋体" w:hAnsi="宋体" w:cs="宋体"/>
                <w:color w:val="000000" w:themeColor="text1"/>
                <w:highlight w:val="none"/>
                <w:lang w:val="en-US" w:eastAsia="zh-CN"/>
                <w14:textFill>
                  <w14:solidFill>
                    <w14:schemeClr w14:val="tx1"/>
                  </w14:solidFill>
                </w14:textFill>
              </w:rPr>
              <w:t>5</w:t>
            </w:r>
            <w:r>
              <w:rPr>
                <w:rFonts w:hint="eastAsia" w:ascii="宋体" w:hAnsi="宋体" w:cs="宋体"/>
                <w:color w:val="000000" w:themeColor="text1"/>
                <w:highlight w:val="none"/>
                <w14:textFill>
                  <w14:solidFill>
                    <w14:schemeClr w14:val="tx1"/>
                  </w14:solidFill>
                </w14:textFill>
              </w:rPr>
              <w:t>月</w:t>
            </w:r>
            <w:r>
              <w:rPr>
                <w:rFonts w:hint="eastAsia" w:ascii="宋体" w:hAnsi="宋体" w:cs="宋体"/>
                <w:color w:val="000000" w:themeColor="text1"/>
                <w:szCs w:val="21"/>
                <w:highlight w:val="none"/>
                <w14:textFill>
                  <w14:solidFill>
                    <w14:schemeClr w14:val="tx1"/>
                  </w14:solidFill>
                </w14:textFill>
              </w:rPr>
              <w:t>至投标文件递交截止之日，以初步设计或施工图设计批复时间或合同签订时间为准）每增加1项高速公路养护工程设计施工总承包业绩或高速公路</w:t>
            </w:r>
            <w:r>
              <w:rPr>
                <w:rFonts w:hint="eastAsia" w:ascii="宋体" w:hAnsi="宋体" w:cs="宋体"/>
                <w:color w:val="000000" w:themeColor="text1"/>
                <w:szCs w:val="21"/>
                <w:highlight w:val="none"/>
                <w:lang w:val="en-US" w:eastAsia="zh-CN"/>
                <w14:textFill>
                  <w14:solidFill>
                    <w14:schemeClr w14:val="tx1"/>
                  </w14:solidFill>
                </w14:textFill>
              </w:rPr>
              <w:t>养护</w:t>
            </w:r>
            <w:r>
              <w:rPr>
                <w:rFonts w:hint="eastAsia" w:ascii="宋体" w:hAnsi="宋体" w:cs="宋体"/>
                <w:color w:val="000000" w:themeColor="text1"/>
                <w:szCs w:val="21"/>
                <w:highlight w:val="none"/>
                <w14:textFill>
                  <w14:solidFill>
                    <w14:schemeClr w14:val="tx1"/>
                  </w14:solidFill>
                </w14:textFill>
              </w:rPr>
              <w:t>工程设计业绩加2分，此项最高加2分。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0" w:hRule="atLeast"/>
          <w:jc w:val="center"/>
        </w:trPr>
        <w:tc>
          <w:tcPr>
            <w:tcW w:w="809" w:type="dxa"/>
            <w:vMerge w:val="continue"/>
            <w:tcBorders>
              <w:left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p>
        </w:tc>
        <w:tc>
          <w:tcPr>
            <w:tcW w:w="1153" w:type="dxa"/>
            <w:vMerge w:val="continue"/>
            <w:tcBorders>
              <w:left w:val="single" w:color="auto" w:sz="4" w:space="0"/>
              <w:right w:val="single" w:color="auto" w:sz="4" w:space="0"/>
            </w:tcBorders>
            <w:vAlign w:val="center"/>
          </w:tcPr>
          <w:p>
            <w:pPr>
              <w:spacing w:line="240" w:lineRule="exact"/>
              <w:jc w:val="center"/>
              <w:rPr>
                <w:rFonts w:ascii="宋体" w:hAnsi="宋体" w:cs="宋体"/>
                <w:color w:val="000000" w:themeColor="text1"/>
                <w:szCs w:val="21"/>
                <w:highlight w:val="none"/>
                <w14:textFill>
                  <w14:solidFill>
                    <w14:schemeClr w14:val="tx1"/>
                  </w14:solidFill>
                </w14:textFill>
              </w:rPr>
            </w:pPr>
          </w:p>
        </w:tc>
        <w:tc>
          <w:tcPr>
            <w:tcW w:w="1824" w:type="dxa"/>
            <w:tcBorders>
              <w:top w:val="outset" w:color="auto" w:sz="6" w:space="0"/>
              <w:left w:val="outset" w:color="auto" w:sz="6" w:space="0"/>
              <w:bottom w:val="outset" w:color="auto" w:sz="6" w:space="0"/>
              <w:right w:val="outset" w:color="auto" w:sz="6" w:space="0"/>
            </w:tcBorders>
            <w:vAlign w:val="center"/>
          </w:tcPr>
          <w:p>
            <w:pPr>
              <w:spacing w:line="260" w:lineRule="exact"/>
              <w:jc w:val="center"/>
              <w:rPr>
                <w:rFonts w:ascii="宋体" w:hAnsi="宋体" w:cs="宋体"/>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施工负责人</w:t>
            </w:r>
          </w:p>
        </w:tc>
        <w:tc>
          <w:tcPr>
            <w:tcW w:w="659" w:type="dxa"/>
            <w:tcBorders>
              <w:top w:val="single" w:color="auto" w:sz="4" w:space="0"/>
              <w:left w:val="outset" w:color="auto" w:sz="6" w:space="0"/>
              <w:bottom w:val="outset" w:color="auto" w:sz="6" w:space="0"/>
              <w:right w:val="outset" w:color="auto" w:sz="6" w:space="0"/>
            </w:tcBorders>
            <w:vAlign w:val="center"/>
          </w:tcPr>
          <w:p>
            <w:pPr>
              <w:spacing w:line="260" w:lineRule="exact"/>
              <w:jc w:val="center"/>
              <w:rPr>
                <w:rFonts w:ascii="宋体" w:hAnsi="宋体" w:cs="宋体"/>
                <w:color w:val="000000" w:themeColor="text1"/>
                <w:highlight w:val="none"/>
                <w14:textFill>
                  <w14:solidFill>
                    <w14:schemeClr w14:val="tx1"/>
                  </w14:solidFill>
                </w14:textFill>
              </w:rPr>
            </w:pPr>
            <w:r>
              <w:rPr>
                <w:color w:val="000000" w:themeColor="text1"/>
                <w:szCs w:val="21"/>
                <w:highlight w:val="none"/>
                <w14:textFill>
                  <w14:solidFill>
                    <w14:schemeClr w14:val="tx1"/>
                  </w14:solidFill>
                </w14:textFill>
              </w:rPr>
              <w:t>10</w:t>
            </w:r>
            <w:r>
              <w:rPr>
                <w:rFonts w:hint="eastAsia"/>
                <w:color w:val="000000" w:themeColor="text1"/>
                <w:szCs w:val="21"/>
                <w:highlight w:val="none"/>
                <w14:textFill>
                  <w14:solidFill>
                    <w14:schemeClr w14:val="tx1"/>
                  </w14:solidFill>
                </w14:textFill>
              </w:rPr>
              <w:t>分</w:t>
            </w:r>
          </w:p>
        </w:tc>
        <w:tc>
          <w:tcPr>
            <w:tcW w:w="5193" w:type="dxa"/>
            <w:tcBorders>
              <w:top w:val="single" w:color="auto" w:sz="4" w:space="0"/>
              <w:left w:val="single" w:color="auto" w:sz="4" w:space="0"/>
              <w:bottom w:val="single" w:color="auto" w:sz="4" w:space="0"/>
              <w:right w:val="single" w:color="auto" w:sz="4" w:space="0"/>
            </w:tcBorders>
            <w:vAlign w:val="center"/>
          </w:tcPr>
          <w:p>
            <w:pPr>
              <w:spacing w:line="26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满足</w:t>
            </w:r>
            <w:r>
              <w:rPr>
                <w:rFonts w:hint="eastAsia"/>
                <w:color w:val="000000" w:themeColor="text1"/>
                <w:highlight w:val="none"/>
                <w14:textFill>
                  <w14:solidFill>
                    <w14:schemeClr w14:val="tx1"/>
                  </w14:solidFill>
                </w14:textFill>
              </w:rPr>
              <w:t>附录4</w:t>
            </w:r>
            <w:r>
              <w:rPr>
                <w:rFonts w:hint="eastAsia"/>
                <w:color w:val="000000" w:themeColor="text1"/>
                <w:szCs w:val="21"/>
                <w:highlight w:val="none"/>
                <w14:textFill>
                  <w14:solidFill>
                    <w14:schemeClr w14:val="tx1"/>
                  </w14:solidFill>
                </w14:textFill>
              </w:rPr>
              <w:t>资格审查条件最低要求得</w:t>
            </w:r>
            <w:r>
              <w:rPr>
                <w:color w:val="000000" w:themeColor="text1"/>
                <w:szCs w:val="21"/>
                <w:highlight w:val="none"/>
                <w14:textFill>
                  <w14:solidFill>
                    <w14:schemeClr w14:val="tx1"/>
                  </w14:solidFill>
                </w14:textFill>
              </w:rPr>
              <w:t>6</w:t>
            </w:r>
            <w:r>
              <w:rPr>
                <w:rFonts w:hint="eastAsia"/>
                <w:color w:val="000000" w:themeColor="text1"/>
                <w:szCs w:val="21"/>
                <w:highlight w:val="none"/>
                <w14:textFill>
                  <w14:solidFill>
                    <w14:schemeClr w14:val="tx1"/>
                  </w14:solidFill>
                </w14:textFill>
              </w:rPr>
              <w:t>分；</w:t>
            </w:r>
          </w:p>
          <w:p>
            <w:pPr>
              <w:spacing w:line="26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1、具有高级职称加</w:t>
            </w:r>
            <w:r>
              <w:rPr>
                <w:rFonts w:hint="eastAsia"/>
                <w:color w:val="000000" w:themeColor="text1"/>
                <w:szCs w:val="21"/>
                <w:highlight w:val="none"/>
                <w:lang w:val="en-US" w:eastAsia="zh-CN"/>
                <w14:textFill>
                  <w14:solidFill>
                    <w14:schemeClr w14:val="tx1"/>
                  </w14:solidFill>
                </w14:textFill>
              </w:rPr>
              <w:t>2</w:t>
            </w:r>
            <w:r>
              <w:rPr>
                <w:rFonts w:hint="eastAsia"/>
                <w:color w:val="000000" w:themeColor="text1"/>
                <w:szCs w:val="21"/>
                <w:highlight w:val="none"/>
                <w14:textFill>
                  <w14:solidFill>
                    <w14:schemeClr w14:val="tx1"/>
                  </w14:solidFill>
                </w14:textFill>
              </w:rPr>
              <w:t>分，此项最高加2分；</w:t>
            </w:r>
          </w:p>
          <w:p>
            <w:pPr>
              <w:spacing w:line="260" w:lineRule="exact"/>
              <w:rPr>
                <w:rFonts w:ascii="宋体" w:hAnsi="宋体" w:cs="宋体"/>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2、作为施工负责人或项目经理</w:t>
            </w:r>
            <w:r>
              <w:rPr>
                <w:rFonts w:hint="eastAsia" w:ascii="宋体" w:hAnsi="宋体" w:cs="宋体"/>
                <w:color w:val="000000" w:themeColor="text1"/>
                <w:highlight w:val="none"/>
                <w14:textFill>
                  <w14:solidFill>
                    <w14:schemeClr w14:val="tx1"/>
                  </w14:solidFill>
                </w14:textFill>
              </w:rPr>
              <w:t>近五年（2018年</w:t>
            </w:r>
            <w:r>
              <w:rPr>
                <w:rFonts w:hint="eastAsia" w:ascii="宋体" w:hAnsi="宋体" w:cs="宋体"/>
                <w:color w:val="000000" w:themeColor="text1"/>
                <w:highlight w:val="none"/>
                <w:lang w:val="en-US" w:eastAsia="zh-CN"/>
                <w14:textFill>
                  <w14:solidFill>
                    <w14:schemeClr w14:val="tx1"/>
                  </w14:solidFill>
                </w14:textFill>
              </w:rPr>
              <w:t>5</w:t>
            </w:r>
            <w:r>
              <w:rPr>
                <w:rFonts w:hint="eastAsia" w:ascii="宋体" w:hAnsi="宋体" w:cs="宋体"/>
                <w:color w:val="000000" w:themeColor="text1"/>
                <w:highlight w:val="none"/>
                <w14:textFill>
                  <w14:solidFill>
                    <w14:schemeClr w14:val="tx1"/>
                  </w14:solidFill>
                </w14:textFill>
              </w:rPr>
              <w:t>月</w:t>
            </w:r>
            <w:r>
              <w:rPr>
                <w:rFonts w:hint="eastAsia" w:ascii="宋体" w:hAnsi="宋体" w:cs="宋体"/>
                <w:color w:val="000000" w:themeColor="text1"/>
                <w:szCs w:val="21"/>
                <w:highlight w:val="none"/>
                <w14:textFill>
                  <w14:solidFill>
                    <w14:schemeClr w14:val="tx1"/>
                  </w14:solidFill>
                </w14:textFill>
              </w:rPr>
              <w:t>至投标文件递交截止之日</w:t>
            </w:r>
            <w:r>
              <w:rPr>
                <w:rFonts w:hint="eastAsia" w:ascii="宋体" w:hAnsi="宋体" w:cs="宋体"/>
                <w:color w:val="000000" w:themeColor="text1"/>
                <w:highlight w:val="none"/>
                <w14:textFill>
                  <w14:solidFill>
                    <w14:schemeClr w14:val="tx1"/>
                  </w14:solidFill>
                </w14:textFill>
              </w:rPr>
              <w:t>，以交工或竣工时间为准）</w:t>
            </w:r>
            <w:r>
              <w:rPr>
                <w:rFonts w:hint="eastAsia"/>
                <w:color w:val="000000" w:themeColor="text1"/>
                <w:szCs w:val="21"/>
                <w:highlight w:val="none"/>
                <w14:textFill>
                  <w14:solidFill>
                    <w14:schemeClr w14:val="tx1"/>
                  </w14:solidFill>
                </w14:textFill>
              </w:rPr>
              <w:t>每增加1项高速公路养护工程设计施工总承包业绩或高速公路养护工程施工业绩加</w:t>
            </w:r>
            <w:r>
              <w:rPr>
                <w:color w:val="000000" w:themeColor="text1"/>
                <w:szCs w:val="21"/>
                <w:highlight w:val="none"/>
                <w14:textFill>
                  <w14:solidFill>
                    <w14:schemeClr w14:val="tx1"/>
                  </w14:solidFill>
                </w14:textFill>
              </w:rPr>
              <w:t>2</w:t>
            </w:r>
            <w:r>
              <w:rPr>
                <w:rFonts w:hint="eastAsia"/>
                <w:color w:val="000000" w:themeColor="text1"/>
                <w:szCs w:val="21"/>
                <w:highlight w:val="none"/>
                <w14:textFill>
                  <w14:solidFill>
                    <w14:schemeClr w14:val="tx1"/>
                  </w14:solidFill>
                </w14:textFill>
              </w:rPr>
              <w:t>分，此项最高加</w:t>
            </w:r>
            <w:r>
              <w:rPr>
                <w:color w:val="000000" w:themeColor="text1"/>
                <w:szCs w:val="21"/>
                <w:highlight w:val="none"/>
                <w14:textFill>
                  <w14:solidFill>
                    <w14:schemeClr w14:val="tx1"/>
                  </w14:solidFill>
                </w14:textFill>
              </w:rPr>
              <w:t>2</w:t>
            </w:r>
            <w:r>
              <w:rPr>
                <w:rFonts w:hint="eastAsia"/>
                <w:color w:val="000000" w:themeColor="text1"/>
                <w:szCs w:val="21"/>
                <w:highlight w:val="none"/>
                <w14:textFill>
                  <w14:solidFill>
                    <w14:schemeClr w14:val="tx1"/>
                  </w14:solidFill>
                </w14:textFill>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tcBorders>
              <w:top w:val="outset" w:color="auto" w:sz="6"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2.2.4</w:t>
            </w:r>
          </w:p>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w:t>
            </w:r>
          </w:p>
        </w:tc>
        <w:tc>
          <w:tcPr>
            <w:tcW w:w="1153" w:type="dxa"/>
            <w:tcBorders>
              <w:top w:val="outset" w:color="auto" w:sz="6"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投标报价评分标准</w:t>
            </w:r>
          </w:p>
          <w:p>
            <w:pPr>
              <w:pStyle w:val="2"/>
              <w:spacing w:line="24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（10分）</w:t>
            </w:r>
          </w:p>
        </w:tc>
        <w:tc>
          <w:tcPr>
            <w:tcW w:w="1824" w:type="dxa"/>
            <w:tcBorders>
              <w:top w:val="outset" w:color="auto" w:sz="6" w:space="0"/>
              <w:left w:val="single" w:color="auto" w:sz="4" w:space="0"/>
              <w:bottom w:val="outset" w:color="auto" w:sz="6" w:space="0"/>
              <w:right w:val="outset" w:color="auto" w:sz="6"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投标报价评分</w:t>
            </w:r>
          </w:p>
        </w:tc>
        <w:tc>
          <w:tcPr>
            <w:tcW w:w="659" w:type="dxa"/>
            <w:tcBorders>
              <w:top w:val="outset" w:color="auto" w:sz="6" w:space="0"/>
              <w:left w:val="outset" w:color="auto" w:sz="6" w:space="0"/>
              <w:bottom w:val="outset" w:color="auto" w:sz="6" w:space="0"/>
              <w:right w:val="outset" w:color="auto" w:sz="6" w:space="0"/>
            </w:tcBorders>
            <w:vAlign w:val="center"/>
          </w:tcPr>
          <w:p>
            <w:pPr>
              <w:spacing w:line="2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w:t>
            </w:r>
          </w:p>
        </w:tc>
        <w:tc>
          <w:tcPr>
            <w:tcW w:w="5193" w:type="dxa"/>
            <w:tcBorders>
              <w:top w:val="single" w:color="auto" w:sz="4" w:space="0"/>
              <w:left w:val="outset" w:color="auto" w:sz="6" w:space="0"/>
              <w:bottom w:val="outset" w:color="auto" w:sz="6" w:space="0"/>
              <w:right w:val="outset" w:color="auto" w:sz="6" w:space="0"/>
            </w:tcBorders>
            <w:vAlign w:val="center"/>
          </w:tcPr>
          <w:p>
            <w:pPr>
              <w:spacing w:line="2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评标价得分计算公式示例：</w:t>
            </w:r>
          </w:p>
          <w:p>
            <w:pPr>
              <w:spacing w:line="2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（1）如果投标人的评标价＞评标基准价，则评标价得分=10-偏差率×100×E1；</w:t>
            </w:r>
          </w:p>
          <w:p>
            <w:pPr>
              <w:spacing w:line="2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 ）如果投标人的评标价≤评标基准价，则评标价得分=10+偏差率×100×E2；</w:t>
            </w:r>
          </w:p>
          <w:p>
            <w:pPr>
              <w:spacing w:line="2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其中：E1=1；E2=0.5</w:t>
            </w:r>
          </w:p>
          <w:p>
            <w:pPr>
              <w:spacing w:line="2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E1是评标价每高于评标基准价一个百分点的扣分值；E2是评标价每低于评标基准价一个百分点的扣分值。不足一个百分点按比例内插计算，得分保留三位小数。</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0" w:hRule="atLeast"/>
          <w:jc w:val="center"/>
        </w:trPr>
        <w:tc>
          <w:tcPr>
            <w:tcW w:w="809" w:type="dxa"/>
            <w:vMerge w:val="restart"/>
            <w:tcBorders>
              <w:top w:val="outset" w:color="auto" w:sz="6" w:space="0"/>
              <w:left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2.2.4（4）</w:t>
            </w:r>
          </w:p>
        </w:tc>
        <w:tc>
          <w:tcPr>
            <w:tcW w:w="1153" w:type="dxa"/>
            <w:vMerge w:val="restart"/>
            <w:tcBorders>
              <w:top w:val="outset" w:color="auto" w:sz="6" w:space="0"/>
              <w:left w:val="single" w:color="auto" w:sz="4" w:space="0"/>
              <w:right w:val="single" w:color="auto" w:sz="4" w:space="0"/>
            </w:tcBorders>
            <w:vAlign w:val="center"/>
          </w:tcPr>
          <w:p>
            <w:pPr>
              <w:spacing w:line="260" w:lineRule="exact"/>
              <w:rPr>
                <w:rFonts w:ascii="宋体" w:hAnsi="宋体" w:cs="宋体"/>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其他因素</w:t>
            </w:r>
          </w:p>
        </w:tc>
        <w:tc>
          <w:tcPr>
            <w:tcW w:w="1824" w:type="dxa"/>
            <w:tcBorders>
              <w:top w:val="outset" w:color="auto" w:sz="6" w:space="0"/>
              <w:left w:val="single" w:color="auto" w:sz="4" w:space="0"/>
              <w:bottom w:val="outset" w:color="auto" w:sz="6" w:space="0"/>
              <w:right w:val="outset" w:color="auto" w:sz="6" w:space="0"/>
            </w:tcBorders>
            <w:vAlign w:val="center"/>
          </w:tcPr>
          <w:p>
            <w:pPr>
              <w:spacing w:line="260" w:lineRule="exact"/>
              <w:jc w:val="center"/>
              <w:rPr>
                <w:rFonts w:ascii="宋体" w:hAnsi="宋体" w:cs="宋体"/>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企业业绩</w:t>
            </w:r>
          </w:p>
        </w:tc>
        <w:tc>
          <w:tcPr>
            <w:tcW w:w="659" w:type="dxa"/>
            <w:tcBorders>
              <w:top w:val="outset" w:color="auto" w:sz="6" w:space="0"/>
              <w:left w:val="outset" w:color="auto" w:sz="6" w:space="0"/>
              <w:bottom w:val="outset" w:color="auto" w:sz="6" w:space="0"/>
              <w:right w:val="outset" w:color="auto" w:sz="6" w:space="0"/>
            </w:tcBorders>
            <w:vAlign w:val="center"/>
          </w:tcPr>
          <w:p>
            <w:pPr>
              <w:spacing w:line="260" w:lineRule="exact"/>
              <w:jc w:val="center"/>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35分</w:t>
            </w:r>
          </w:p>
        </w:tc>
        <w:tc>
          <w:tcPr>
            <w:tcW w:w="5193" w:type="dxa"/>
            <w:tcBorders>
              <w:top w:val="single" w:color="auto" w:sz="4" w:space="0"/>
              <w:left w:val="outset" w:color="auto" w:sz="6" w:space="0"/>
              <w:bottom w:val="outset" w:color="auto" w:sz="6" w:space="0"/>
              <w:right w:val="outset" w:color="auto" w:sz="6" w:space="0"/>
            </w:tcBorders>
            <w:vAlign w:val="center"/>
          </w:tcPr>
          <w:p>
            <w:pPr>
              <w:spacing w:line="260" w:lineRule="exact"/>
            </w:pPr>
            <w:r>
              <w:t>满足</w:t>
            </w:r>
            <w:r>
              <w:rPr>
                <w:rFonts w:hint="eastAsia"/>
              </w:rPr>
              <w:t>附录3</w:t>
            </w:r>
            <w:r>
              <w:t>资格审查条件最低要求得21分；</w:t>
            </w:r>
          </w:p>
          <w:p>
            <w:pPr>
              <w:spacing w:line="260" w:lineRule="exact"/>
              <w:rPr>
                <w:highlight w:val="none"/>
              </w:rPr>
            </w:pPr>
            <w:r>
              <w:t>（</w:t>
            </w:r>
            <w:r>
              <w:rPr>
                <w:highlight w:val="none"/>
              </w:rPr>
              <w:t>1）投标人近5年（2018年</w:t>
            </w:r>
            <w:r>
              <w:rPr>
                <w:rFonts w:hint="eastAsia"/>
                <w:highlight w:val="none"/>
                <w:lang w:val="en-US" w:eastAsia="zh-CN"/>
              </w:rPr>
              <w:t>5</w:t>
            </w:r>
            <w:r>
              <w:rPr>
                <w:rFonts w:hint="eastAsia"/>
                <w:highlight w:val="none"/>
              </w:rPr>
              <w:t>月</w:t>
            </w:r>
            <w:r>
              <w:rPr>
                <w:highlight w:val="none"/>
              </w:rPr>
              <w:t>至投标文件递交截止之日，</w:t>
            </w:r>
            <w:r>
              <w:rPr>
                <w:rFonts w:hint="eastAsia" w:ascii="宋体" w:hAnsi="宋体" w:cs="宋体"/>
                <w:color w:val="000000" w:themeColor="text1"/>
                <w:szCs w:val="21"/>
                <w:highlight w:val="none"/>
                <w14:textFill>
                  <w14:solidFill>
                    <w14:schemeClr w14:val="tx1"/>
                  </w14:solidFill>
                </w14:textFill>
              </w:rPr>
              <w:t>以初步设计或施工图设计批复时间或合同签订时间为准</w:t>
            </w:r>
            <w:r>
              <w:rPr>
                <w:highlight w:val="none"/>
              </w:rPr>
              <w:t>）每增加1项高速公路</w:t>
            </w:r>
            <w:r>
              <w:rPr>
                <w:rFonts w:hint="eastAsia"/>
                <w:highlight w:val="none"/>
                <w:lang w:val="en-US" w:eastAsia="zh-CN"/>
              </w:rPr>
              <w:t>路面养护</w:t>
            </w:r>
            <w:r>
              <w:rPr>
                <w:highlight w:val="none"/>
              </w:rPr>
              <w:t>工程设计业绩</w:t>
            </w:r>
            <w:r>
              <w:rPr>
                <w:rFonts w:hint="eastAsia"/>
                <w:highlight w:val="none"/>
                <w:lang w:val="en-US" w:eastAsia="zh-CN"/>
              </w:rPr>
              <w:t>或1项</w:t>
            </w:r>
            <w:r>
              <w:rPr>
                <w:highlight w:val="none"/>
              </w:rPr>
              <w:t>高速公路</w:t>
            </w:r>
            <w:r>
              <w:rPr>
                <w:rFonts w:hint="eastAsia"/>
                <w:highlight w:val="none"/>
                <w:lang w:val="en-US" w:eastAsia="zh-CN"/>
              </w:rPr>
              <w:t>路面养护</w:t>
            </w:r>
            <w:r>
              <w:rPr>
                <w:highlight w:val="none"/>
              </w:rPr>
              <w:t>工程设计施工总承包业绩加</w:t>
            </w:r>
            <w:r>
              <w:rPr>
                <w:rFonts w:hint="eastAsia"/>
                <w:highlight w:val="none"/>
                <w:lang w:val="en-US" w:eastAsia="zh-CN"/>
              </w:rPr>
              <w:t>2</w:t>
            </w:r>
            <w:r>
              <w:rPr>
                <w:highlight w:val="none"/>
              </w:rPr>
              <w:t>分，此项最高加</w:t>
            </w:r>
            <w:r>
              <w:rPr>
                <w:rFonts w:hint="eastAsia"/>
                <w:highlight w:val="none"/>
                <w:lang w:val="en-US" w:eastAsia="zh-CN"/>
              </w:rPr>
              <w:t>6</w:t>
            </w:r>
            <w:r>
              <w:rPr>
                <w:highlight w:val="none"/>
              </w:rPr>
              <w:t>分；</w:t>
            </w:r>
          </w:p>
          <w:p>
            <w:pPr>
              <w:spacing w:line="260" w:lineRule="exact"/>
              <w:rPr>
                <w:highlight w:val="none"/>
              </w:rPr>
            </w:pPr>
            <w:r>
              <w:rPr>
                <w:highlight w:val="none"/>
              </w:rPr>
              <w:t>（2）投标人近5年（2018年</w:t>
            </w:r>
            <w:r>
              <w:rPr>
                <w:rFonts w:hint="eastAsia"/>
                <w:highlight w:val="none"/>
                <w:lang w:val="en-US" w:eastAsia="zh-CN"/>
              </w:rPr>
              <w:t>5</w:t>
            </w:r>
            <w:r>
              <w:rPr>
                <w:rFonts w:hint="eastAsia"/>
                <w:highlight w:val="none"/>
              </w:rPr>
              <w:t>月</w:t>
            </w:r>
            <w:r>
              <w:rPr>
                <w:highlight w:val="none"/>
              </w:rPr>
              <w:t>至投标文件递交截止之日，以交工或竣工时间为准）每增加1项高速公路养护工程施工业绩</w:t>
            </w:r>
            <w:r>
              <w:rPr>
                <w:rFonts w:hint="eastAsia"/>
                <w:highlight w:val="none"/>
                <w:lang w:val="en-US" w:eastAsia="zh-CN"/>
              </w:rPr>
              <w:t>或1项</w:t>
            </w:r>
            <w:r>
              <w:rPr>
                <w:highlight w:val="none"/>
              </w:rPr>
              <w:t>高速公路</w:t>
            </w:r>
            <w:r>
              <w:rPr>
                <w:rFonts w:hint="eastAsia"/>
                <w:highlight w:val="none"/>
                <w:lang w:val="en-US" w:eastAsia="zh-CN"/>
              </w:rPr>
              <w:t>养护</w:t>
            </w:r>
            <w:r>
              <w:rPr>
                <w:highlight w:val="none"/>
              </w:rPr>
              <w:t>工程设计施工总承包业绩加</w:t>
            </w:r>
            <w:r>
              <w:rPr>
                <w:rFonts w:hint="eastAsia"/>
                <w:highlight w:val="none"/>
                <w:lang w:val="en-US" w:eastAsia="zh-CN"/>
              </w:rPr>
              <w:t>2</w:t>
            </w:r>
            <w:r>
              <w:rPr>
                <w:highlight w:val="none"/>
              </w:rPr>
              <w:t>分，此项最高加</w:t>
            </w:r>
            <w:r>
              <w:rPr>
                <w:rFonts w:hint="eastAsia"/>
                <w:highlight w:val="none"/>
                <w:lang w:val="en-US" w:eastAsia="zh-CN"/>
              </w:rPr>
              <w:t>8</w:t>
            </w:r>
            <w:r>
              <w:rPr>
                <w:highlight w:val="none"/>
              </w:rPr>
              <w:t>分。</w:t>
            </w:r>
          </w:p>
          <w:p>
            <w:pPr>
              <w:pStyle w:val="2"/>
              <w:rPr>
                <w:rFonts w:hint="default" w:eastAsia="宋体"/>
                <w:lang w:val="en-US" w:eastAsia="zh-CN"/>
              </w:rPr>
            </w:pPr>
            <w:r>
              <w:rPr>
                <w:rFonts w:hint="eastAsia"/>
                <w:color w:val="000000" w:themeColor="text1"/>
                <w:szCs w:val="21"/>
                <w:highlight w:val="none"/>
                <w:lang w:val="en-US" w:eastAsia="zh-CN"/>
                <w14:textFill>
                  <w14:solidFill>
                    <w14:schemeClr w14:val="tx1"/>
                  </w14:solidFill>
                </w14:textFill>
              </w:rPr>
              <w:t>注：设计施工总承包业绩是指投标人独立完成的或作为联合体牵头人或联合体成员共同完成的，（1）和（2）中提供的同一设计施工总承包业绩不重复计分。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753" w:hRule="atLeast"/>
          <w:jc w:val="center"/>
        </w:trPr>
        <w:tc>
          <w:tcPr>
            <w:tcW w:w="80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themeColor="text1"/>
                <w:highlight w:val="none"/>
                <w14:textFill>
                  <w14:solidFill>
                    <w14:schemeClr w14:val="tx1"/>
                  </w14:solidFill>
                </w14:textFill>
              </w:rPr>
            </w:pPr>
          </w:p>
        </w:tc>
        <w:tc>
          <w:tcPr>
            <w:tcW w:w="1153" w:type="dxa"/>
            <w:vMerge w:val="continue"/>
            <w:tcBorders>
              <w:left w:val="single" w:color="auto" w:sz="4" w:space="0"/>
              <w:bottom w:val="single" w:color="auto" w:sz="4" w:space="0"/>
              <w:right w:val="single" w:color="auto" w:sz="4" w:space="0"/>
            </w:tcBorders>
            <w:vAlign w:val="center"/>
          </w:tcPr>
          <w:p>
            <w:pPr>
              <w:pStyle w:val="2"/>
              <w:spacing w:line="240" w:lineRule="exact"/>
              <w:rPr>
                <w:rFonts w:ascii="宋体" w:hAnsi="宋体" w:cs="宋体"/>
                <w:color w:val="000000" w:themeColor="text1"/>
                <w:highlight w:val="none"/>
                <w14:textFill>
                  <w14:solidFill>
                    <w14:schemeClr w14:val="tx1"/>
                  </w14:solidFill>
                </w14:textFill>
              </w:rPr>
            </w:pPr>
          </w:p>
        </w:tc>
        <w:tc>
          <w:tcPr>
            <w:tcW w:w="1824" w:type="dxa"/>
            <w:tcBorders>
              <w:top w:val="outset" w:color="auto" w:sz="6" w:space="0"/>
              <w:left w:val="single" w:color="auto" w:sz="4" w:space="0"/>
              <w:bottom w:val="outset" w:color="auto" w:sz="6" w:space="0"/>
              <w:right w:val="outset" w:color="auto" w:sz="6" w:space="0"/>
            </w:tcBorders>
            <w:vAlign w:val="center"/>
          </w:tcPr>
          <w:p>
            <w:pPr>
              <w:spacing w:line="260" w:lineRule="exact"/>
              <w:jc w:val="center"/>
              <w:rPr>
                <w:rFonts w:ascii="宋体" w:hAnsi="宋体" w:cs="宋体"/>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履约信誉</w:t>
            </w:r>
          </w:p>
        </w:tc>
        <w:tc>
          <w:tcPr>
            <w:tcW w:w="659" w:type="dxa"/>
            <w:tcBorders>
              <w:top w:val="outset" w:color="auto" w:sz="6" w:space="0"/>
              <w:left w:val="outset" w:color="auto" w:sz="6" w:space="0"/>
              <w:bottom w:val="outset" w:color="auto" w:sz="6" w:space="0"/>
              <w:right w:val="outset" w:color="auto" w:sz="6" w:space="0"/>
            </w:tcBorders>
            <w:vAlign w:val="center"/>
          </w:tcPr>
          <w:p>
            <w:pPr>
              <w:spacing w:line="260" w:lineRule="exact"/>
              <w:jc w:val="center"/>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10分</w:t>
            </w:r>
          </w:p>
        </w:tc>
        <w:tc>
          <w:tcPr>
            <w:tcW w:w="5193" w:type="dxa"/>
            <w:tcBorders>
              <w:top w:val="single" w:color="auto" w:sz="4" w:space="0"/>
              <w:left w:val="outset" w:color="auto" w:sz="6" w:space="0"/>
              <w:bottom w:val="outset" w:color="auto" w:sz="6" w:space="0"/>
              <w:right w:val="outset" w:color="auto" w:sz="6" w:space="0"/>
            </w:tcBorders>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满足</w:t>
            </w:r>
            <w:r>
              <w:rPr>
                <w:rFonts w:hint="eastAsia"/>
                <w:color w:val="000000" w:themeColor="text1"/>
                <w:highlight w:val="none"/>
                <w14:textFill>
                  <w14:solidFill>
                    <w14:schemeClr w14:val="tx1"/>
                  </w14:solidFill>
                </w14:textFill>
              </w:rPr>
              <w:t>附录5</w:t>
            </w:r>
            <w:r>
              <w:rPr>
                <w:color w:val="000000" w:themeColor="text1"/>
                <w:highlight w:val="none"/>
                <w14:textFill>
                  <w14:solidFill>
                    <w14:schemeClr w14:val="tx1"/>
                  </w14:solidFill>
                </w14:textFill>
              </w:rPr>
              <w:t>资格审查条件最低要求得</w:t>
            </w:r>
            <w:r>
              <w:rPr>
                <w:rFonts w:hint="eastAsia"/>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t>分；</w:t>
            </w:r>
          </w:p>
          <w:p>
            <w:pPr>
              <w:widowControl/>
              <w:kinsoku w:val="0"/>
              <w:autoSpaceDE w:val="0"/>
              <w:autoSpaceDN w:val="0"/>
              <w:adjustRightInd w:val="0"/>
              <w:snapToGrid w:val="0"/>
              <w:spacing w:before="34"/>
              <w:textAlignment w:val="baseline"/>
              <w:rPr>
                <w:rFonts w:hint="eastAsia"/>
              </w:rPr>
            </w:pPr>
            <w:r>
              <w:rPr>
                <w:rFonts w:hint="eastAsia"/>
                <w:lang w:eastAsia="zh-CN"/>
              </w:rPr>
              <w:t>（</w:t>
            </w:r>
            <w:r>
              <w:rPr>
                <w:rFonts w:hint="eastAsia"/>
                <w:lang w:val="en-US" w:eastAsia="zh-CN"/>
              </w:rPr>
              <w:t>1</w:t>
            </w:r>
            <w:r>
              <w:rPr>
                <w:rFonts w:hint="eastAsia"/>
                <w:lang w:eastAsia="zh-CN"/>
              </w:rPr>
              <w:t>）</w:t>
            </w:r>
            <w:r>
              <w:rPr>
                <w:rFonts w:hint="eastAsia"/>
              </w:rPr>
              <w:t>按照交通运输部或山西省交通运输厅公布的公路建设市场</w:t>
            </w:r>
            <w:r>
              <w:rPr>
                <w:rFonts w:hint="eastAsia"/>
                <w:lang w:val="en-US" w:eastAsia="zh-CN"/>
              </w:rPr>
              <w:t>设计或施工</w:t>
            </w:r>
            <w:r>
              <w:rPr>
                <w:rFonts w:hint="eastAsia"/>
              </w:rPr>
              <w:t>企业信用评价结果公告，对投标人近三年（按照网站公布的最新连续三年的</w:t>
            </w:r>
            <w:r>
              <w:rPr>
                <w:rFonts w:hint="eastAsia"/>
                <w:lang w:val="en-US" w:eastAsia="zh-CN"/>
              </w:rPr>
              <w:t>设计或施工</w:t>
            </w:r>
            <w:r>
              <w:rPr>
                <w:rFonts w:hint="eastAsia"/>
              </w:rPr>
              <w:t>企业信用评价计算）的信用等级评价进行评分，标准如下：</w:t>
            </w:r>
          </w:p>
          <w:p>
            <w:pPr>
              <w:widowControl/>
              <w:kinsoku w:val="0"/>
              <w:autoSpaceDE w:val="0"/>
              <w:autoSpaceDN w:val="0"/>
              <w:adjustRightInd w:val="0"/>
              <w:snapToGrid w:val="0"/>
              <w:spacing w:before="34"/>
              <w:ind w:firstLine="420" w:firstLineChars="200"/>
              <w:textAlignment w:val="baseline"/>
              <w:rPr>
                <w:rFonts w:hint="eastAsia"/>
              </w:rPr>
            </w:pPr>
            <w:r>
              <w:rPr>
                <w:rFonts w:hint="eastAsia"/>
                <w:lang w:val="en-US" w:eastAsia="zh-CN"/>
              </w:rPr>
              <w:t>a.</w:t>
            </w:r>
            <w:r>
              <w:rPr>
                <w:rFonts w:hint="eastAsia"/>
              </w:rPr>
              <w:t>连续三年被交通运输部或山西省交通运输厅评为AA级，加4分；</w:t>
            </w:r>
          </w:p>
          <w:p>
            <w:pPr>
              <w:widowControl/>
              <w:kinsoku w:val="0"/>
              <w:autoSpaceDE w:val="0"/>
              <w:autoSpaceDN w:val="0"/>
              <w:adjustRightInd w:val="0"/>
              <w:snapToGrid w:val="0"/>
              <w:spacing w:before="34"/>
              <w:ind w:firstLine="420" w:firstLineChars="200"/>
              <w:textAlignment w:val="baseline"/>
              <w:rPr>
                <w:rFonts w:hint="eastAsia"/>
              </w:rPr>
            </w:pPr>
            <w:r>
              <w:rPr>
                <w:rFonts w:hint="eastAsia"/>
                <w:lang w:val="en-US" w:eastAsia="zh-CN"/>
              </w:rPr>
              <w:t>b.</w:t>
            </w:r>
            <w:r>
              <w:rPr>
                <w:rFonts w:hint="eastAsia"/>
              </w:rPr>
              <w:t>连续两年被交通运输部或山西省交通运输厅评为AA级，加3分；</w:t>
            </w:r>
          </w:p>
          <w:p>
            <w:pPr>
              <w:widowControl/>
              <w:kinsoku w:val="0"/>
              <w:autoSpaceDE w:val="0"/>
              <w:autoSpaceDN w:val="0"/>
              <w:adjustRightInd w:val="0"/>
              <w:snapToGrid w:val="0"/>
              <w:spacing w:before="34"/>
              <w:ind w:firstLine="420" w:firstLineChars="200"/>
              <w:textAlignment w:val="baseline"/>
              <w:rPr>
                <w:rFonts w:hint="eastAsia"/>
              </w:rPr>
            </w:pPr>
            <w:r>
              <w:rPr>
                <w:rFonts w:hint="eastAsia"/>
                <w:lang w:val="en-US" w:eastAsia="zh-CN"/>
              </w:rPr>
              <w:t>c.</w:t>
            </w:r>
            <w:r>
              <w:rPr>
                <w:rFonts w:hint="eastAsia"/>
              </w:rPr>
              <w:t>仅一年被交通运输部或山西省交通运输厅评为AA级，加2分。</w:t>
            </w:r>
          </w:p>
          <w:p>
            <w:pPr>
              <w:widowControl/>
              <w:kinsoku w:val="0"/>
              <w:autoSpaceDE w:val="0"/>
              <w:autoSpaceDN w:val="0"/>
              <w:adjustRightInd w:val="0"/>
              <w:snapToGrid w:val="0"/>
              <w:spacing w:before="34"/>
              <w:ind w:firstLine="420" w:firstLineChars="200"/>
              <w:textAlignment w:val="baseline"/>
              <w:rPr>
                <w:color w:val="000000" w:themeColor="text1"/>
                <w:highlight w:val="none"/>
                <w14:textFill>
                  <w14:solidFill>
                    <w14:schemeClr w14:val="tx1"/>
                  </w14:solidFill>
                </w14:textFill>
              </w:rPr>
            </w:pPr>
            <w:r>
              <w:rPr>
                <w:rFonts w:hint="eastAsia"/>
                <w:lang w:val="en-US" w:eastAsia="zh-CN"/>
              </w:rPr>
              <w:t>d.</w:t>
            </w:r>
            <w:r>
              <w:rPr>
                <w:rFonts w:hint="eastAsia"/>
              </w:rPr>
              <w:t>连续三年被交通运输部或山西省交通运输厅评为A级，加1分</w:t>
            </w:r>
            <w:r>
              <w:rPr>
                <w:color w:val="000000" w:themeColor="text1"/>
                <w:highlight w:val="none"/>
                <w14:textFill>
                  <w14:solidFill>
                    <w14:schemeClr w14:val="tx1"/>
                  </w14:solidFill>
                </w14:textFill>
              </w:rPr>
              <w:t>。</w:t>
            </w:r>
          </w:p>
          <w:p>
            <w:pPr>
              <w:widowControl/>
              <w:kinsoku w:val="0"/>
              <w:autoSpaceDE w:val="0"/>
              <w:autoSpaceDN w:val="0"/>
              <w:adjustRightInd w:val="0"/>
              <w:snapToGrid w:val="0"/>
              <w:spacing w:before="34"/>
              <w:textAlignment w:val="baseline"/>
              <w:rPr>
                <w:rFonts w:hint="eastAsia"/>
              </w:rPr>
            </w:pPr>
            <w:r>
              <w:rPr>
                <w:rFonts w:hint="eastAsia"/>
              </w:rPr>
              <w:fldChar w:fldCharType="begin"/>
            </w:r>
            <w:r>
              <w:rPr>
                <w:rFonts w:hint="eastAsia"/>
              </w:rPr>
              <w:instrText xml:space="preserve"> = 1 \* GB3 \* MERGEFORMAT </w:instrText>
            </w:r>
            <w:r>
              <w:rPr>
                <w:rFonts w:hint="eastAsia"/>
              </w:rPr>
              <w:fldChar w:fldCharType="separate"/>
            </w:r>
            <w:r>
              <w:t>①</w:t>
            </w:r>
            <w:r>
              <w:rPr>
                <w:rFonts w:hint="eastAsia"/>
              </w:rPr>
              <w:fldChar w:fldCharType="end"/>
            </w:r>
            <w:r>
              <w:rPr>
                <w:rFonts w:hint="eastAsia"/>
              </w:rPr>
              <w:t>信用评价以“山西省交通运输厅信用评价结果”为准，若在山西未有信用评价的，信用评价以“交通运输部信用评价结果公示”为准，若交通运输部也没有信用评价的按B级对待，不得分。</w:t>
            </w:r>
          </w:p>
          <w:p>
            <w:pPr>
              <w:numPr>
                <w:ilvl w:val="0"/>
                <w:numId w:val="0"/>
              </w:numPr>
              <w:rPr>
                <w:color w:val="000000" w:themeColor="text1"/>
                <w:highlight w:val="none"/>
                <w14:textFill>
                  <w14:solidFill>
                    <w14:schemeClr w14:val="tx1"/>
                  </w14:solidFill>
                </w14:textFill>
              </w:rPr>
            </w:pPr>
            <w:r>
              <w:rPr>
                <w:rFonts w:hint="eastAsia"/>
              </w:rPr>
              <w:fldChar w:fldCharType="begin"/>
            </w:r>
            <w:r>
              <w:rPr>
                <w:rFonts w:hint="eastAsia"/>
              </w:rPr>
              <w:instrText xml:space="preserve"> = 2 \* GB3 \* MERGEFORMAT </w:instrText>
            </w:r>
            <w:r>
              <w:rPr>
                <w:rFonts w:hint="eastAsia"/>
              </w:rPr>
              <w:fldChar w:fldCharType="separate"/>
            </w:r>
            <w:r>
              <w:t>②</w:t>
            </w:r>
            <w:r>
              <w:rPr>
                <w:rFonts w:hint="eastAsia"/>
              </w:rPr>
              <w:fldChar w:fldCharType="end"/>
            </w:r>
            <w:r>
              <w:rPr>
                <w:rFonts w:hint="eastAsia"/>
              </w:rPr>
              <w:t>连续年度信用评价结果按同一交通运输主管部门的评价结果评分。</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独立投标以设计或施工信用评价最低的为准</w:t>
            </w:r>
            <w:r>
              <w:rPr>
                <w:rFonts w:hint="eastAsia"/>
                <w:color w:val="000000" w:themeColor="text1"/>
                <w:highlight w:val="none"/>
                <w14:textFill>
                  <w14:solidFill>
                    <w14:schemeClr w14:val="tx1"/>
                  </w14:solidFill>
                </w14:textFill>
              </w:rPr>
              <w:t>（如设计</w:t>
            </w:r>
            <w:r>
              <w:rPr>
                <w:color w:val="000000" w:themeColor="text1"/>
                <w:highlight w:val="none"/>
                <w14:textFill>
                  <w14:solidFill>
                    <w14:schemeClr w14:val="tx1"/>
                  </w14:solidFill>
                </w14:textFill>
              </w:rPr>
              <w:t>信用评价</w:t>
            </w:r>
            <w:r>
              <w:rPr>
                <w:rFonts w:hint="eastAsia"/>
                <w:color w:val="000000" w:themeColor="text1"/>
                <w:highlight w:val="none"/>
                <w14:textFill>
                  <w14:solidFill>
                    <w14:schemeClr w14:val="tx1"/>
                  </w14:solidFill>
                </w14:textFill>
              </w:rPr>
              <w:t>为AA</w:t>
            </w:r>
            <w:r>
              <w:rPr>
                <w:color w:val="000000" w:themeColor="text1"/>
                <w:highlight w:val="none"/>
                <w14:textFill>
                  <w14:solidFill>
                    <w14:schemeClr w14:val="tx1"/>
                  </w14:solidFill>
                </w14:textFill>
              </w:rPr>
              <w:t>级，</w:t>
            </w:r>
            <w:r>
              <w:rPr>
                <w:rFonts w:hint="eastAsia"/>
                <w:color w:val="000000" w:themeColor="text1"/>
                <w:highlight w:val="none"/>
                <w14:textFill>
                  <w14:solidFill>
                    <w14:schemeClr w14:val="tx1"/>
                  </w14:solidFill>
                </w14:textFill>
              </w:rPr>
              <w:t>施工</w:t>
            </w:r>
            <w:r>
              <w:rPr>
                <w:color w:val="000000" w:themeColor="text1"/>
                <w:highlight w:val="none"/>
                <w14:textFill>
                  <w14:solidFill>
                    <w14:schemeClr w14:val="tx1"/>
                  </w14:solidFill>
                </w14:textFill>
              </w:rPr>
              <w:t>信用评价</w:t>
            </w:r>
            <w:r>
              <w:rPr>
                <w:rFonts w:hint="eastAsia"/>
                <w:color w:val="000000" w:themeColor="text1"/>
                <w:highlight w:val="none"/>
                <w14:textFill>
                  <w14:solidFill>
                    <w14:schemeClr w14:val="tx1"/>
                  </w14:solidFill>
                </w14:textFill>
              </w:rPr>
              <w:t>为AA</w:t>
            </w:r>
            <w:r>
              <w:rPr>
                <w:color w:val="000000" w:themeColor="text1"/>
                <w:highlight w:val="none"/>
                <w14:textFill>
                  <w14:solidFill>
                    <w14:schemeClr w14:val="tx1"/>
                  </w14:solidFill>
                </w14:textFill>
              </w:rPr>
              <w:t>级</w:t>
            </w:r>
            <w:r>
              <w:rPr>
                <w:rFonts w:hint="eastAsia"/>
                <w:color w:val="000000" w:themeColor="text1"/>
                <w:highlight w:val="none"/>
                <w14:textFill>
                  <w14:solidFill>
                    <w14:schemeClr w14:val="tx1"/>
                  </w14:solidFill>
                </w14:textFill>
              </w:rPr>
              <w:t>，则投标人信用等级确定为AA级；如设计</w:t>
            </w:r>
            <w:r>
              <w:rPr>
                <w:color w:val="000000" w:themeColor="text1"/>
                <w:highlight w:val="none"/>
                <w14:textFill>
                  <w14:solidFill>
                    <w14:schemeClr w14:val="tx1"/>
                  </w14:solidFill>
                </w14:textFill>
              </w:rPr>
              <w:t>信用评价</w:t>
            </w:r>
            <w:r>
              <w:rPr>
                <w:rFonts w:hint="eastAsia"/>
                <w:color w:val="000000" w:themeColor="text1"/>
                <w:highlight w:val="none"/>
                <w14:textFill>
                  <w14:solidFill>
                    <w14:schemeClr w14:val="tx1"/>
                  </w14:solidFill>
                </w14:textFill>
              </w:rPr>
              <w:t>为AA</w:t>
            </w:r>
            <w:r>
              <w:rPr>
                <w:color w:val="000000" w:themeColor="text1"/>
                <w:highlight w:val="none"/>
                <w14:textFill>
                  <w14:solidFill>
                    <w14:schemeClr w14:val="tx1"/>
                  </w14:solidFill>
                </w14:textFill>
              </w:rPr>
              <w:t>级，</w:t>
            </w:r>
            <w:r>
              <w:rPr>
                <w:rFonts w:hint="eastAsia"/>
                <w:color w:val="000000" w:themeColor="text1"/>
                <w:highlight w:val="none"/>
                <w14:textFill>
                  <w14:solidFill>
                    <w14:schemeClr w14:val="tx1"/>
                  </w14:solidFill>
                </w14:textFill>
              </w:rPr>
              <w:t>施工</w:t>
            </w:r>
            <w:r>
              <w:rPr>
                <w:color w:val="000000" w:themeColor="text1"/>
                <w:highlight w:val="none"/>
                <w14:textFill>
                  <w14:solidFill>
                    <w14:schemeClr w14:val="tx1"/>
                  </w14:solidFill>
                </w14:textFill>
              </w:rPr>
              <w:t>信用评价</w:t>
            </w:r>
            <w:r>
              <w:rPr>
                <w:rFonts w:hint="eastAsia"/>
                <w:color w:val="000000" w:themeColor="text1"/>
                <w:highlight w:val="none"/>
                <w14:textFill>
                  <w14:solidFill>
                    <w14:schemeClr w14:val="tx1"/>
                  </w14:solidFill>
                </w14:textFill>
              </w:rPr>
              <w:t>为A</w:t>
            </w:r>
            <w:r>
              <w:rPr>
                <w:color w:val="000000" w:themeColor="text1"/>
                <w:highlight w:val="none"/>
                <w14:textFill>
                  <w14:solidFill>
                    <w14:schemeClr w14:val="tx1"/>
                  </w14:solidFill>
                </w14:textFill>
              </w:rPr>
              <w:t>级</w:t>
            </w:r>
            <w:r>
              <w:rPr>
                <w:rFonts w:hint="eastAsia"/>
                <w:color w:val="000000" w:themeColor="text1"/>
                <w:highlight w:val="none"/>
                <w14:textFill>
                  <w14:solidFill>
                    <w14:schemeClr w14:val="tx1"/>
                  </w14:solidFill>
                </w14:textFill>
              </w:rPr>
              <w:t>或者设计</w:t>
            </w:r>
            <w:r>
              <w:rPr>
                <w:color w:val="000000" w:themeColor="text1"/>
                <w:highlight w:val="none"/>
                <w14:textFill>
                  <w14:solidFill>
                    <w14:schemeClr w14:val="tx1"/>
                  </w14:solidFill>
                </w14:textFill>
              </w:rPr>
              <w:t>信用评价</w:t>
            </w:r>
            <w:r>
              <w:rPr>
                <w:rFonts w:hint="eastAsia"/>
                <w:color w:val="000000" w:themeColor="text1"/>
                <w:highlight w:val="none"/>
                <w14:textFill>
                  <w14:solidFill>
                    <w14:schemeClr w14:val="tx1"/>
                  </w14:solidFill>
                </w14:textFill>
              </w:rPr>
              <w:t>为A</w:t>
            </w:r>
            <w:r>
              <w:rPr>
                <w:color w:val="000000" w:themeColor="text1"/>
                <w:highlight w:val="none"/>
                <w14:textFill>
                  <w14:solidFill>
                    <w14:schemeClr w14:val="tx1"/>
                  </w14:solidFill>
                </w14:textFill>
              </w:rPr>
              <w:t>级，</w:t>
            </w:r>
            <w:r>
              <w:rPr>
                <w:rFonts w:hint="eastAsia"/>
                <w:color w:val="000000" w:themeColor="text1"/>
                <w:highlight w:val="none"/>
                <w14:textFill>
                  <w14:solidFill>
                    <w14:schemeClr w14:val="tx1"/>
                  </w14:solidFill>
                </w14:textFill>
              </w:rPr>
              <w:t>施工</w:t>
            </w:r>
            <w:r>
              <w:rPr>
                <w:color w:val="000000" w:themeColor="text1"/>
                <w:highlight w:val="none"/>
                <w14:textFill>
                  <w14:solidFill>
                    <w14:schemeClr w14:val="tx1"/>
                  </w14:solidFill>
                </w14:textFill>
              </w:rPr>
              <w:t>信用评价</w:t>
            </w:r>
            <w:r>
              <w:rPr>
                <w:rFonts w:hint="eastAsia"/>
                <w:color w:val="000000" w:themeColor="text1"/>
                <w:highlight w:val="none"/>
                <w14:textFill>
                  <w14:solidFill>
                    <w14:schemeClr w14:val="tx1"/>
                  </w14:solidFill>
                </w14:textFill>
              </w:rPr>
              <w:t>为AA</w:t>
            </w:r>
            <w:r>
              <w:rPr>
                <w:color w:val="000000" w:themeColor="text1"/>
                <w:highlight w:val="none"/>
                <w14:textFill>
                  <w14:solidFill>
                    <w14:schemeClr w14:val="tx1"/>
                  </w14:solidFill>
                </w14:textFill>
              </w:rPr>
              <w:t>级</w:t>
            </w:r>
            <w:r>
              <w:rPr>
                <w:rFonts w:hint="eastAsia"/>
                <w:color w:val="000000" w:themeColor="text1"/>
                <w:highlight w:val="none"/>
                <w14:textFill>
                  <w14:solidFill>
                    <w14:schemeClr w14:val="tx1"/>
                  </w14:solidFill>
                </w14:textFill>
              </w:rPr>
              <w:t>，则投标人信用等级确定为A级）</w:t>
            </w:r>
            <w:r>
              <w:rPr>
                <w:color w:val="000000" w:themeColor="text1"/>
                <w:highlight w:val="none"/>
                <w14:textFill>
                  <w14:solidFill>
                    <w14:schemeClr w14:val="tx1"/>
                  </w14:solidFill>
                </w14:textFill>
              </w:rPr>
              <w:t>；</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以联合体投标的，以联合体所有成员单位信用评价最低的为准</w:t>
            </w:r>
            <w:r>
              <w:rPr>
                <w:rFonts w:hint="eastAsia"/>
                <w:color w:val="000000" w:themeColor="text1"/>
                <w:highlight w:val="none"/>
                <w14:textFill>
                  <w14:solidFill>
                    <w14:schemeClr w14:val="tx1"/>
                  </w14:solidFill>
                </w14:textFill>
              </w:rPr>
              <w:t>（如联合体牵头人</w:t>
            </w:r>
            <w:r>
              <w:rPr>
                <w:color w:val="000000" w:themeColor="text1"/>
                <w:highlight w:val="none"/>
                <w14:textFill>
                  <w14:solidFill>
                    <w14:schemeClr w14:val="tx1"/>
                  </w14:solidFill>
                </w14:textFill>
              </w:rPr>
              <w:t>信用评价</w:t>
            </w:r>
            <w:r>
              <w:rPr>
                <w:rFonts w:hint="eastAsia"/>
                <w:color w:val="000000" w:themeColor="text1"/>
                <w:highlight w:val="none"/>
                <w14:textFill>
                  <w14:solidFill>
                    <w14:schemeClr w14:val="tx1"/>
                  </w14:solidFill>
                </w14:textFill>
              </w:rPr>
              <w:t>为AA</w:t>
            </w:r>
            <w:r>
              <w:rPr>
                <w:color w:val="000000" w:themeColor="text1"/>
                <w:highlight w:val="none"/>
                <w14:textFill>
                  <w14:solidFill>
                    <w14:schemeClr w14:val="tx1"/>
                  </w14:solidFill>
                </w14:textFill>
              </w:rPr>
              <w:t>级，</w:t>
            </w:r>
            <w:r>
              <w:rPr>
                <w:rFonts w:hint="eastAsia"/>
                <w:color w:val="000000" w:themeColor="text1"/>
                <w:highlight w:val="none"/>
                <w14:textFill>
                  <w14:solidFill>
                    <w14:schemeClr w14:val="tx1"/>
                  </w14:solidFill>
                </w14:textFill>
              </w:rPr>
              <w:t>联合体成员</w:t>
            </w:r>
            <w:r>
              <w:rPr>
                <w:color w:val="000000" w:themeColor="text1"/>
                <w:highlight w:val="none"/>
                <w14:textFill>
                  <w14:solidFill>
                    <w14:schemeClr w14:val="tx1"/>
                  </w14:solidFill>
                </w14:textFill>
              </w:rPr>
              <w:t>信用评价</w:t>
            </w:r>
            <w:r>
              <w:rPr>
                <w:rFonts w:hint="eastAsia"/>
                <w:color w:val="000000" w:themeColor="text1"/>
                <w:highlight w:val="none"/>
                <w14:textFill>
                  <w14:solidFill>
                    <w14:schemeClr w14:val="tx1"/>
                  </w14:solidFill>
                </w14:textFill>
              </w:rPr>
              <w:t>为AA</w:t>
            </w:r>
            <w:r>
              <w:rPr>
                <w:color w:val="000000" w:themeColor="text1"/>
                <w:highlight w:val="none"/>
                <w14:textFill>
                  <w14:solidFill>
                    <w14:schemeClr w14:val="tx1"/>
                  </w14:solidFill>
                </w14:textFill>
              </w:rPr>
              <w:t>级</w:t>
            </w:r>
            <w:r>
              <w:rPr>
                <w:rFonts w:hint="eastAsia"/>
                <w:color w:val="000000" w:themeColor="text1"/>
                <w:highlight w:val="none"/>
                <w14:textFill>
                  <w14:solidFill>
                    <w14:schemeClr w14:val="tx1"/>
                  </w14:solidFill>
                </w14:textFill>
              </w:rPr>
              <w:t>，则投标人信用等级确定为AA级；如联合体牵头人</w:t>
            </w:r>
            <w:r>
              <w:rPr>
                <w:color w:val="000000" w:themeColor="text1"/>
                <w:highlight w:val="none"/>
                <w14:textFill>
                  <w14:solidFill>
                    <w14:schemeClr w14:val="tx1"/>
                  </w14:solidFill>
                </w14:textFill>
              </w:rPr>
              <w:t>信用评价</w:t>
            </w:r>
            <w:r>
              <w:rPr>
                <w:rFonts w:hint="eastAsia"/>
                <w:color w:val="000000" w:themeColor="text1"/>
                <w:highlight w:val="none"/>
                <w14:textFill>
                  <w14:solidFill>
                    <w14:schemeClr w14:val="tx1"/>
                  </w14:solidFill>
                </w14:textFill>
              </w:rPr>
              <w:t>为AA</w:t>
            </w:r>
            <w:r>
              <w:rPr>
                <w:color w:val="000000" w:themeColor="text1"/>
                <w:highlight w:val="none"/>
                <w14:textFill>
                  <w14:solidFill>
                    <w14:schemeClr w14:val="tx1"/>
                  </w14:solidFill>
                </w14:textFill>
              </w:rPr>
              <w:t>级</w:t>
            </w:r>
            <w:r>
              <w:rPr>
                <w:rFonts w:hint="eastAsia"/>
                <w:color w:val="000000" w:themeColor="text1"/>
                <w:highlight w:val="none"/>
                <w14:textFill>
                  <w14:solidFill>
                    <w14:schemeClr w14:val="tx1"/>
                  </w14:solidFill>
                </w14:textFill>
              </w:rPr>
              <w:t>，联合体成员</w:t>
            </w:r>
            <w:r>
              <w:rPr>
                <w:color w:val="000000" w:themeColor="text1"/>
                <w:highlight w:val="none"/>
                <w14:textFill>
                  <w14:solidFill>
                    <w14:schemeClr w14:val="tx1"/>
                  </w14:solidFill>
                </w14:textFill>
              </w:rPr>
              <w:t>信用评价</w:t>
            </w:r>
            <w:r>
              <w:rPr>
                <w:rFonts w:hint="eastAsia"/>
                <w:color w:val="000000" w:themeColor="text1"/>
                <w:highlight w:val="none"/>
                <w14:textFill>
                  <w14:solidFill>
                    <w14:schemeClr w14:val="tx1"/>
                  </w14:solidFill>
                </w14:textFill>
              </w:rPr>
              <w:t>为A</w:t>
            </w:r>
            <w:r>
              <w:rPr>
                <w:color w:val="000000" w:themeColor="text1"/>
                <w:highlight w:val="none"/>
                <w14:textFill>
                  <w14:solidFill>
                    <w14:schemeClr w14:val="tx1"/>
                  </w14:solidFill>
                </w14:textFill>
              </w:rPr>
              <w:t>级</w:t>
            </w:r>
            <w:r>
              <w:rPr>
                <w:rFonts w:hint="eastAsia"/>
                <w:color w:val="000000" w:themeColor="text1"/>
                <w:highlight w:val="none"/>
                <w14:textFill>
                  <w14:solidFill>
                    <w14:schemeClr w14:val="tx1"/>
                  </w14:solidFill>
                </w14:textFill>
              </w:rPr>
              <w:t>或者联合体牵头人</w:t>
            </w:r>
            <w:r>
              <w:rPr>
                <w:color w:val="000000" w:themeColor="text1"/>
                <w:highlight w:val="none"/>
                <w14:textFill>
                  <w14:solidFill>
                    <w14:schemeClr w14:val="tx1"/>
                  </w14:solidFill>
                </w14:textFill>
              </w:rPr>
              <w:t>信用评价</w:t>
            </w:r>
            <w:r>
              <w:rPr>
                <w:rFonts w:hint="eastAsia"/>
                <w:color w:val="000000" w:themeColor="text1"/>
                <w:highlight w:val="none"/>
                <w14:textFill>
                  <w14:solidFill>
                    <w14:schemeClr w14:val="tx1"/>
                  </w14:solidFill>
                </w14:textFill>
              </w:rPr>
              <w:t>为A</w:t>
            </w:r>
            <w:r>
              <w:rPr>
                <w:color w:val="000000" w:themeColor="text1"/>
                <w:highlight w:val="none"/>
                <w14:textFill>
                  <w14:solidFill>
                    <w14:schemeClr w14:val="tx1"/>
                  </w14:solidFill>
                </w14:textFill>
              </w:rPr>
              <w:t>级</w:t>
            </w:r>
            <w:r>
              <w:rPr>
                <w:rFonts w:hint="eastAsia"/>
                <w:color w:val="000000" w:themeColor="text1"/>
                <w:highlight w:val="none"/>
                <w14:textFill>
                  <w14:solidFill>
                    <w14:schemeClr w14:val="tx1"/>
                  </w14:solidFill>
                </w14:textFill>
              </w:rPr>
              <w:t>，联合体成员</w:t>
            </w:r>
            <w:r>
              <w:rPr>
                <w:color w:val="000000" w:themeColor="text1"/>
                <w:highlight w:val="none"/>
                <w14:textFill>
                  <w14:solidFill>
                    <w14:schemeClr w14:val="tx1"/>
                  </w14:solidFill>
                </w14:textFill>
              </w:rPr>
              <w:t>信用评价</w:t>
            </w:r>
            <w:r>
              <w:rPr>
                <w:rFonts w:hint="eastAsia"/>
                <w:color w:val="000000" w:themeColor="text1"/>
                <w:highlight w:val="none"/>
                <w14:textFill>
                  <w14:solidFill>
                    <w14:schemeClr w14:val="tx1"/>
                  </w14:solidFill>
                </w14:textFill>
              </w:rPr>
              <w:t>为AA</w:t>
            </w:r>
            <w:r>
              <w:rPr>
                <w:color w:val="000000" w:themeColor="text1"/>
                <w:highlight w:val="none"/>
                <w14:textFill>
                  <w14:solidFill>
                    <w14:schemeClr w14:val="tx1"/>
                  </w14:solidFill>
                </w14:textFill>
              </w:rPr>
              <w:t>级</w:t>
            </w:r>
            <w:r>
              <w:rPr>
                <w:rFonts w:hint="eastAsia"/>
                <w:color w:val="000000" w:themeColor="text1"/>
                <w:highlight w:val="none"/>
                <w14:textFill>
                  <w14:solidFill>
                    <w14:schemeClr w14:val="tx1"/>
                  </w14:solidFill>
                </w14:textFill>
              </w:rPr>
              <w:t>，则投标人信用等级确定为A级）</w:t>
            </w:r>
            <w:r>
              <w:rPr>
                <w:color w:val="000000" w:themeColor="text1"/>
                <w:highlight w:val="none"/>
                <w14:textFill>
                  <w14:solidFill>
                    <w14:schemeClr w14:val="tx1"/>
                  </w14:solidFill>
                </w14:textFill>
              </w:rPr>
              <w:t>。</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（2）按照近五年</w:t>
            </w:r>
            <w:r>
              <w:rPr>
                <w:rFonts w:hint="eastAsia"/>
                <w:color w:val="000000" w:themeColor="text1"/>
                <w:highlight w:val="none"/>
                <w14:textFill>
                  <w14:solidFill>
                    <w14:schemeClr w14:val="tx1"/>
                  </w14:solidFill>
                </w14:textFill>
              </w:rPr>
              <w:t>（2018年-2022年）</w:t>
            </w:r>
            <w:r>
              <w:rPr>
                <w:color w:val="000000" w:themeColor="text1"/>
                <w:highlight w:val="none"/>
                <w14:textFill>
                  <w14:solidFill>
                    <w14:schemeClr w14:val="tx1"/>
                  </w14:solidFill>
                </w14:textFill>
              </w:rPr>
              <w:t>在信用中国网站被列入诚实守信名单进行加分，此项最高加</w:t>
            </w: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分。得分标准如下：每有一次诚实守信名单加</w:t>
            </w: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分。</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以联合体投标的，诚实守信名单以联合体所有单位的被列入数量之和为准。</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注：（1）和（2）不重复加分，当投标人同时满足（1）和（2）时，最高加</w:t>
            </w: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3015" w:hRule="atLeast"/>
          <w:jc w:val="center"/>
        </w:trPr>
        <w:tc>
          <w:tcPr>
            <w:tcW w:w="9638" w:type="dxa"/>
            <w:gridSpan w:val="5"/>
            <w:tcBorders>
              <w:top w:val="single" w:color="auto" w:sz="4" w:space="0"/>
              <w:left w:val="single" w:color="auto" w:sz="4" w:space="0"/>
              <w:bottom w:val="single" w:color="auto" w:sz="4" w:space="0"/>
              <w:right w:val="outset" w:color="auto" w:sz="6" w:space="0"/>
            </w:tcBorders>
            <w:vAlign w:val="center"/>
          </w:tcPr>
          <w:p>
            <w:pPr>
              <w:spacing w:line="240" w:lineRule="exact"/>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需要补充的其他内容：</w:t>
            </w:r>
          </w:p>
          <w:p>
            <w:pPr>
              <w:widowControl/>
              <w:spacing w:line="240" w:lineRule="exact"/>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按照晋交建管发〔2021〕2号文规定：</w:t>
            </w:r>
          </w:p>
          <w:p>
            <w:pPr>
              <w:widowControl/>
              <w:spacing w:line="240" w:lineRule="exact"/>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（1）不同投标人间不得有下列情形：</w:t>
            </w:r>
          </w:p>
          <w:p>
            <w:pPr>
              <w:widowControl/>
              <w:spacing w:line="240" w:lineRule="exact"/>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a.不同投标人的投标文件由同一电子设备编制、打印加密或者上传；</w:t>
            </w:r>
          </w:p>
          <w:p>
            <w:pPr>
              <w:widowControl/>
              <w:spacing w:line="240" w:lineRule="exact"/>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b.不同投标人的投标文件的实质性内容存在两处以上细节错误一致；</w:t>
            </w:r>
          </w:p>
          <w:p>
            <w:pPr>
              <w:widowControl/>
              <w:spacing w:line="240" w:lineRule="exact"/>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c.电子投标文件记录的MAC地址、硬盘序列号等硬件信息出现任一相同情况，包含不同投标人在不同批次投标活动中信息相同情况；</w:t>
            </w:r>
          </w:p>
          <w:p>
            <w:pPr>
              <w:widowControl/>
              <w:spacing w:line="240" w:lineRule="exact"/>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d.投标文件的制作、记录上传IP地址，投标人购买招标文件IP地址等信息出现任一相同情况。</w:t>
            </w:r>
          </w:p>
          <w:p>
            <w:pPr>
              <w:widowControl/>
              <w:spacing w:line="240" w:lineRule="exact"/>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发现（1）所列情形的，评标委员会应当否决相应投标文件并详细记录至评标报告。因此导致有效投标不足3个使得投标明显缺乏竞争的，可以否决全部投标；未否决全部投标的，评标委员会应当在评标报告中阐明理由并推荐中标候选人。</w:t>
            </w:r>
          </w:p>
        </w:tc>
      </w:tr>
    </w:tbl>
    <w:p>
      <w:pPr>
        <w:pStyle w:val="2"/>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tabs>
          <w:tab w:val="left" w:pos="2070"/>
          <w:tab w:val="center" w:pos="4365"/>
        </w:tabs>
        <w:snapToGrid w:val="0"/>
        <w:spacing w:line="360" w:lineRule="auto"/>
        <w:jc w:val="center"/>
        <w:rPr>
          <w:rFonts w:ascii="宋体" w:hAnsi="宋体" w:cs="宋体"/>
          <w:bCs/>
          <w:color w:val="000000" w:themeColor="text1"/>
          <w:spacing w:val="20"/>
          <w14:textFill>
            <w14:solidFill>
              <w14:schemeClr w14:val="tx1"/>
            </w14:solidFill>
          </w14:textFill>
        </w:rPr>
        <w:sectPr>
          <w:footerReference r:id="rId4" w:type="first"/>
          <w:footerReference r:id="rId3" w:type="even"/>
          <w:pgSz w:w="11905" w:h="16838"/>
          <w:pgMar w:top="1440" w:right="1083" w:bottom="1440" w:left="1083" w:header="850" w:footer="992" w:gutter="0"/>
          <w:cols w:space="0" w:num="1"/>
          <w:docGrid w:type="lines" w:linePitch="332" w:charSpace="0"/>
        </w:sectPr>
      </w:pPr>
    </w:p>
    <w:p>
      <w:pPr>
        <w:spacing w:line="400" w:lineRule="exact"/>
        <w:rPr>
          <w:rFonts w:ascii="宋体" w:hAnsi="宋体" w:cs="宋体"/>
          <w:b/>
          <w:color w:val="000000" w:themeColor="text1"/>
          <w:szCs w:val="21"/>
          <w14:textFill>
            <w14:solidFill>
              <w14:schemeClr w14:val="tx1"/>
            </w14:solidFill>
          </w14:textFill>
        </w:rPr>
      </w:pPr>
      <w:bookmarkStart w:id="0" w:name="_Toc517259191"/>
      <w:bookmarkStart w:id="1" w:name="_Toc234832944"/>
      <w:r>
        <w:rPr>
          <w:rFonts w:hint="eastAsia" w:ascii="宋体" w:hAnsi="宋体" w:cs="宋体"/>
          <w:b/>
          <w:color w:val="000000" w:themeColor="text1"/>
          <w:szCs w:val="21"/>
          <w14:textFill>
            <w14:solidFill>
              <w14:schemeClr w14:val="tx1"/>
            </w14:solidFill>
          </w14:textFill>
        </w:rPr>
        <w:t>1.评标方法</w:t>
      </w:r>
      <w:bookmarkEnd w:id="0"/>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技术得分高的优先；如果技术得分也相等，按照评标办法前附表的规定确定中标候选人顺序。</w:t>
      </w:r>
    </w:p>
    <w:p>
      <w:pPr>
        <w:tabs>
          <w:tab w:val="left" w:pos="6604"/>
        </w:tabs>
        <w:spacing w:line="400" w:lineRule="exact"/>
        <w:rPr>
          <w:rFonts w:ascii="宋体" w:hAnsi="宋体" w:cs="宋体"/>
          <w:b/>
          <w:color w:val="000000" w:themeColor="text1"/>
          <w:szCs w:val="21"/>
          <w14:textFill>
            <w14:solidFill>
              <w14:schemeClr w14:val="tx1"/>
            </w14:solidFill>
          </w14:textFill>
        </w:rPr>
      </w:pPr>
      <w:bookmarkStart w:id="2" w:name="_Toc517259192"/>
      <w:r>
        <w:rPr>
          <w:rFonts w:hint="eastAsia" w:ascii="宋体" w:hAnsi="宋体" w:cs="宋体"/>
          <w:b/>
          <w:color w:val="000000" w:themeColor="text1"/>
          <w:szCs w:val="21"/>
          <w14:textFill>
            <w14:solidFill>
              <w14:schemeClr w14:val="tx1"/>
            </w14:solidFill>
          </w14:textFill>
        </w:rPr>
        <w:t>2.评审标准</w:t>
      </w:r>
      <w:bookmarkEnd w:id="2"/>
      <w:r>
        <w:rPr>
          <w:rFonts w:hint="eastAsia" w:ascii="宋体" w:hAnsi="宋体" w:cs="宋体"/>
          <w:b/>
          <w:color w:val="000000" w:themeColor="text1"/>
          <w:szCs w:val="21"/>
          <w14:textFill>
            <w14:solidFill>
              <w14:schemeClr w14:val="tx1"/>
            </w14:solidFill>
          </w14:textFill>
        </w:rPr>
        <w:tab/>
      </w:r>
    </w:p>
    <w:p>
      <w:pPr>
        <w:spacing w:line="400" w:lineRule="exact"/>
        <w:ind w:firstLine="420" w:firstLineChars="200"/>
        <w:rPr>
          <w:rFonts w:ascii="宋体" w:hAnsi="宋体" w:cs="宋体"/>
          <w:bCs/>
          <w:color w:val="000000" w:themeColor="text1"/>
          <w:szCs w:val="21"/>
          <w14:textFill>
            <w14:solidFill>
              <w14:schemeClr w14:val="tx1"/>
            </w14:solidFill>
          </w14:textFill>
        </w:rPr>
      </w:pPr>
      <w:bookmarkStart w:id="3" w:name="_Toc501257144"/>
      <w:bookmarkStart w:id="4" w:name="_Toc517259193"/>
      <w:r>
        <w:rPr>
          <w:rFonts w:hint="eastAsia" w:ascii="宋体" w:hAnsi="宋体" w:cs="宋体"/>
          <w:bCs/>
          <w:color w:val="000000" w:themeColor="text1"/>
          <w:szCs w:val="21"/>
          <w14:textFill>
            <w14:solidFill>
              <w14:schemeClr w14:val="tx1"/>
            </w14:solidFill>
          </w14:textFill>
        </w:rPr>
        <w:t>2.1初步评审标准</w:t>
      </w:r>
      <w:bookmarkEnd w:id="3"/>
      <w:bookmarkEnd w:id="4"/>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2.1.1形式评审标准：见评标办法前附表。</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2.1.2资格评审标准：见评标办法前附表。</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2.1.3响应性评审标准：见评标办法前附表。</w:t>
      </w:r>
    </w:p>
    <w:p>
      <w:pPr>
        <w:spacing w:line="400" w:lineRule="exact"/>
        <w:ind w:firstLine="420" w:firstLineChars="200"/>
        <w:rPr>
          <w:rFonts w:ascii="宋体" w:hAnsi="宋体" w:cs="宋体"/>
          <w:bCs/>
          <w:color w:val="000000" w:themeColor="text1"/>
          <w:szCs w:val="21"/>
          <w14:textFill>
            <w14:solidFill>
              <w14:schemeClr w14:val="tx1"/>
            </w14:solidFill>
          </w14:textFill>
        </w:rPr>
      </w:pPr>
      <w:bookmarkStart w:id="5" w:name="_Toc517259194"/>
      <w:bookmarkStart w:id="6" w:name="_Toc501257145"/>
      <w:r>
        <w:rPr>
          <w:rFonts w:hint="eastAsia" w:ascii="宋体" w:hAnsi="宋体" w:cs="宋体"/>
          <w:bCs/>
          <w:color w:val="000000" w:themeColor="text1"/>
          <w:szCs w:val="21"/>
          <w14:textFill>
            <w14:solidFill>
              <w14:schemeClr w14:val="tx1"/>
            </w14:solidFill>
          </w14:textFill>
        </w:rPr>
        <w:t>2.2分值构成与评分标准</w:t>
      </w:r>
      <w:bookmarkEnd w:id="5"/>
      <w:bookmarkEnd w:id="6"/>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2.2.1分值构成</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（1）商务部分：见评标办法前附表；</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（2）技术部分：见评标办法前附表；</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（3）投标报价：见评标办法前附表；</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（4）其他评分因素：见评标办法前附表。</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2.2.2评标基准价计算</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评标基准价计算方法：见评标办法前附表。</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2.2.3投标报价的偏差率计算</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投标报价的偏差率计算公式：见评标办法前附表。</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2.2.4评分标准</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（1）商务评分标准：见评标办法前附表；</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（2）技术评分标准：见评标办法前附表；</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（3）投标报价评分标准：见评标办法前附表；</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（4）其他因素评分标准：见评标办法前附表。</w:t>
      </w:r>
    </w:p>
    <w:p>
      <w:pPr>
        <w:spacing w:line="400" w:lineRule="exact"/>
        <w:rPr>
          <w:rFonts w:ascii="宋体" w:hAnsi="宋体" w:cs="宋体"/>
          <w:b/>
          <w:color w:val="000000" w:themeColor="text1"/>
          <w:szCs w:val="21"/>
          <w14:textFill>
            <w14:solidFill>
              <w14:schemeClr w14:val="tx1"/>
            </w14:solidFill>
          </w14:textFill>
        </w:rPr>
      </w:pPr>
      <w:bookmarkStart w:id="7" w:name="_Toc501257146"/>
      <w:bookmarkStart w:id="8" w:name="_Toc517259195"/>
      <w:r>
        <w:rPr>
          <w:rFonts w:hint="eastAsia" w:ascii="宋体" w:hAnsi="宋体" w:cs="宋体"/>
          <w:b/>
          <w:color w:val="000000" w:themeColor="text1"/>
          <w:szCs w:val="21"/>
          <w14:textFill>
            <w14:solidFill>
              <w14:schemeClr w14:val="tx1"/>
            </w14:solidFill>
          </w14:textFill>
        </w:rPr>
        <w:t>3.评标程序</w:t>
      </w:r>
      <w:bookmarkEnd w:id="7"/>
      <w:bookmarkEnd w:id="8"/>
    </w:p>
    <w:bookmarkEnd w:id="1"/>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3.1第一个信封初步评审</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3.1.1评标委员会可以要求投标人提交第二章“投标人须知”第3.5.1项至第3.5.5项规定的有关证明和证件的原件，以便核验。评标委员会依据本章第2.1款规定的标准对投标文件第一个信封（商务及技术文件）进行初步评审。有一项不符合评审标准的，评标委员会应否决其投标。</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3.2第一个信封详细评审</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3.2.1评标委员会按本章第2.2款规定的量化因素和分值进行打分，并计算出各投标人的商务和技术得分。</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（1）按本章第2.2.4项（1）目规定的评审因素和分值对商务业绩部分计算出得分A；</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（2）按本章第2.2.4项（2）目规定的评审因素和分值对技术方案部分计算出得分B；</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（3）按本章第2.2.4项（4）目规定的评审因素和分值对其他部分计算出得分D。</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3.2.2投标人的商务和技术得分分值计算保留小数点后两位，小数点后第三位“四舍五入”。</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3.2.3投标人的商务和技术得分=A+B+D。</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3.3第二个信封初步评审</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第一个信封（商务及技术文件）评审结束后，招标人将按照第二章“投标人须知”第5.1款规定的时间和地点对通过投标文件第一个信封（商务及技术文件）评审的投标文件第二个信封（报价文件）进行开标。</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3.4第二个信封初步评审</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3.4.1评标委员会依据本章第2.1.1项、第2.1.3项规定的评审标准对投标文件第二个信封（报价文件）进行初步评审。有一项不符合评审标准的，评标委员会应否决其投标。</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3.4.2投标报价有算术错误的，评标委员会按以下原则对投标报价进行修正，修正的价格经投标人书面确认后具有约束力。投标人不接受修正价格的，评标委员会应否决其投标。</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（1）投标文件中的大写金额与小写金额不一致的，以大写金额为准；</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（2）总价金额与依据单价计算出的结果不一致的，以单价金额为准修正总价，但单价金额小数点有明显错误的除外；</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（3）当单价与数量相乘不等于合价时，以单价计算为准，如果单价有明显的小数点位置差错，应以标出的合价为准，同时对单价予以修正；</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（4）当各子目的合价累计不等于总价时，应以各子目合价累计数为准，修正总价。</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3.4.3修正后的最终投标报价若超过最高投标限价（如有），评标委员会应否决其投标。</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3.4.4修正后的最终投标报价仅作为签订合同的一个依据，不参与评标价得分的计算。</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3.5第二个信封详细评审</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3.5.1评标委员会按本章第2.2.4项（3）目规定的评审因素和分值对评标价计算出得分C。评标价得分分值计算保留小数点后两位，小数点后第三位“四舍五入”。</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3.5.2投标人综合得分=投标人的商务和技术得分+C。</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3.5.3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3.6投标文件相关信息的核查</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3.6.1评标委员会应对在评标过程中发现的投标人与投标人之间、投标人与招标人之间存在的串通投标的情形进行评审和认定。投标人存在串通投标、弄虚作假、行贿等违法行为的，评标委员会应否决其投标。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（1）有下列情形之一的，属于投标人相互串通投标：</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a.投标人之间协商投标报价等投标文件的实质性内容；</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b.投标人之间约定中标人；</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c.投标人之间约定部分投标人放弃投标或中标；</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d.属于同一集团、协会、商会等组织成员的投标人按照该组织要求协同投标；</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e.投标人之间为谋取中标或排斥特定投标人而采取的其他联合行动。</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（2）有下列情形之一的，视为投标人相互串通投标：</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a.不同投标人的投标文件由同一单位或个人编制；</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b.不同投标人委托同一单位或个人办理投标事宜；</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c.不同投标人的投标文件载明的项目管理成员为同一人；</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d.不同投标人的投标文件异常一致或投标报价呈规律性差异；</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e.不同投标人的投标文件相互混装；</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f.不同投标人的投标保证金从同一单位或个人的账户转出。</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（3）有下列情形之一的，属于招标人与投标人串通投标：</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a.招标人在开标前开启投标文件并将有关信息泄露给其他投标人;</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b.招标人直接或间接向投标人泄露标底、评标委员会成员等信息；</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c.招标人明示或暗示投标人压低或抬高投标报价；</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d.招标人授意投标人撤换、修改投标文件；</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e.招标人明示或暗示投标人为特定投标人中标提供方便；</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f.招标人与投标人为谋求特定投标人中标而采取的其他串通行为。</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（4）投标人有下列情形之一的，属于弄虚作假的行为：</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a.使用通过受让或租借等方式获取的资格、资质证书投标；</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b.使用伪造、变造的许可证件；</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c.提供虚假的业绩；</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d.提供虚假的项目负责人或主要技术人员简历、劳动关系证明；</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e.提供虚假的信用状况；</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f.其他弄虚作假的行为。</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3.7投标文件的澄清和说明</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3.7.1在评标过程中，评标委员会可以通过电子平台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3.7.2澄清和说明不得超出投标文件的范围或改变投标文件的实质性内容（算术性错误的修正除外）。投标人的通过电子平台做出的澄清、说明属于投标文件的组成部分。</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3.7.3评标委员会不得暗示或诱导投标人作出澄清、说明，对投标人提交的澄清、说明有疑问的，可以要求投标人进一步澄清或说明，直至满足评标委员会的要求。</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3.7.4凡超出招标文件规定的或给委托人带来未曾要求的利益的变化、偏差或其他因素在评标时不予考虑。</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3.8不得否决投标的情形</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投标文件存在第二章“投标人须知”第1.12项所列情形的，均视为细微偏差，评标委员会不得否决投标人的投标，应按照第二章“投标人须知”第1.12项规定的原则处理。</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3.9评标结果</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3.9.1除第二章“投标人须知”前附表授权直接确定中标人外，评标委员会按照得分由高到低的顺序推荐中标候选人，并标明排序。</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3.9.2评标委员会完成评标后，应向招标人提交书面评标报告。</w:t>
      </w:r>
    </w:p>
    <w:p>
      <w:pPr>
        <w:spacing w:line="400" w:lineRule="exact"/>
        <w:rPr>
          <w:rFonts w:ascii="宋体" w:hAnsi="宋体" w:cs="宋体"/>
          <w:bCs/>
          <w:color w:val="000000" w:themeColor="text1"/>
          <w:szCs w:val="21"/>
          <w14:textFill>
            <w14:solidFill>
              <w14:schemeClr w14:val="tx1"/>
            </w14:solidFill>
          </w14:textFill>
        </w:rPr>
      </w:pPr>
    </w:p>
    <w:p>
      <w:pPr>
        <w:widowControl/>
        <w:spacing w:line="360" w:lineRule="auto"/>
        <w:ind w:firstLine="602" w:firstLineChars="200"/>
        <w:jc w:val="left"/>
        <w:rPr>
          <w:b/>
          <w:sz w:val="30"/>
          <w:szCs w:val="30"/>
        </w:rPr>
      </w:pPr>
    </w:p>
    <w:p>
      <w:pPr>
        <w:widowControl/>
        <w:spacing w:line="360" w:lineRule="auto"/>
        <w:ind w:firstLine="602" w:firstLineChars="200"/>
        <w:jc w:val="left"/>
        <w:rPr>
          <w:b/>
          <w:sz w:val="30"/>
          <w:szCs w:val="30"/>
        </w:rPr>
      </w:pPr>
      <w:r>
        <w:rPr>
          <w:rFonts w:hint="eastAsia"/>
          <w:b/>
          <w:sz w:val="30"/>
          <w:szCs w:val="30"/>
        </w:rPr>
        <w:t>四、其它需要公开的内容</w:t>
      </w:r>
    </w:p>
    <w:p>
      <w:pPr>
        <w:spacing w:line="360" w:lineRule="auto"/>
        <w:jc w:val="center"/>
        <w:outlineLvl w:val="1"/>
        <w:rPr>
          <w:rFonts w:ascii="宋体" w:hAnsi="宋体" w:cs="宋体"/>
          <w:bCs/>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附录1 资格审查条件（资质最低条件）</w:t>
      </w:r>
    </w:p>
    <w:tbl>
      <w:tblPr>
        <w:tblStyle w:val="7"/>
        <w:tblW w:w="8992"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226"/>
        <w:gridCol w:w="776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1226" w:type="dxa"/>
            <w:vAlign w:val="center"/>
          </w:tcPr>
          <w:p>
            <w:pPr>
              <w:spacing w:line="360" w:lineRule="auto"/>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标段</w:t>
            </w:r>
          </w:p>
        </w:tc>
        <w:tc>
          <w:tcPr>
            <w:tcW w:w="7766" w:type="dxa"/>
            <w:vAlign w:val="center"/>
          </w:tcPr>
          <w:p>
            <w:pPr>
              <w:spacing w:line="360" w:lineRule="auto"/>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企业资质等级要求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88" w:hRule="atLeast"/>
          <w:jc w:val="center"/>
        </w:trPr>
        <w:tc>
          <w:tcPr>
            <w:tcW w:w="1226" w:type="dxa"/>
            <w:vAlign w:val="center"/>
          </w:tcPr>
          <w:p>
            <w:pPr>
              <w:spacing w:line="360" w:lineRule="auto"/>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001标段</w:t>
            </w:r>
          </w:p>
        </w:tc>
        <w:tc>
          <w:tcPr>
            <w:tcW w:w="7766" w:type="dxa"/>
            <w:vAlign w:val="center"/>
          </w:tcPr>
          <w:p>
            <w:pPr>
              <w:spacing w:line="240" w:lineRule="exact"/>
              <w:ind w:right="105" w:rightChars="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投标人必须是中国境内注册，具有独立的法人资格，并持有合法有效的营业执照；</w:t>
            </w:r>
          </w:p>
          <w:p>
            <w:pPr>
              <w:spacing w:line="240" w:lineRule="exact"/>
              <w:ind w:right="105" w:rightChars="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2.投标人须同时具有主管部门颁发的下列资质，并且合法有效：</w:t>
            </w:r>
          </w:p>
          <w:p>
            <w:pPr>
              <w:spacing w:line="240" w:lineRule="exact"/>
              <w:ind w:right="105" w:rightChar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设计资质:具备工程设计综合资质甲级或工程设计公路行业甲级资质，同时应进入交通运输部“全国公路建设市场信用信息管理系统”中的公路工程设计企业名录，且投标人名称和该名录中的相应企业名称和资质完全一致；</w:t>
            </w:r>
          </w:p>
          <w:p>
            <w:pPr>
              <w:spacing w:line="240" w:lineRule="exact"/>
              <w:ind w:right="105" w:rightChar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（2）施工资质:具备山西省交通运输主管部门核发或核准的公路养护工程二类甲级资质</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或同时具备交通运输主管部门颁发的路基路面养护甲级资质和交通安全设施养护资质</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具备建设行政主管部门颁发的有效的建筑施工企业安全生产许可证。</w:t>
            </w:r>
          </w:p>
        </w:tc>
      </w:tr>
    </w:tbl>
    <w:p>
      <w:pPr>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注：本要求为强制性基本要求，投标人如不满足上述强制性资格条件，将被认为资格审查不合格。</w:t>
      </w:r>
    </w:p>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spacing w:line="360" w:lineRule="auto"/>
        <w:jc w:val="center"/>
        <w:outlineLvl w:val="1"/>
        <w:rPr>
          <w:rFonts w:ascii="宋体" w:hAnsi="宋体" w:cs="宋体"/>
          <w:b/>
          <w:color w:val="000000" w:themeColor="text1"/>
          <w:sz w:val="36"/>
          <w:szCs w:val="36"/>
          <w:highlight w:val="none"/>
          <w14:textFill>
            <w14:solidFill>
              <w14:schemeClr w14:val="tx1"/>
            </w14:solidFill>
          </w14:textFill>
        </w:rPr>
      </w:pPr>
      <w:bookmarkStart w:id="9" w:name="_Toc5777"/>
      <w:r>
        <w:rPr>
          <w:rFonts w:hint="eastAsia" w:ascii="宋体" w:hAnsi="宋体" w:cs="宋体"/>
          <w:b/>
          <w:color w:val="000000" w:themeColor="text1"/>
          <w:sz w:val="36"/>
          <w:szCs w:val="36"/>
          <w:highlight w:val="none"/>
          <w14:textFill>
            <w14:solidFill>
              <w14:schemeClr w14:val="tx1"/>
            </w14:solidFill>
          </w14:textFill>
        </w:rPr>
        <w:t>附录2 资格审查条件（财务最低要求）</w:t>
      </w:r>
      <w:bookmarkEnd w:id="9"/>
    </w:p>
    <w:tbl>
      <w:tblPr>
        <w:tblStyle w:val="7"/>
        <w:tblW w:w="8992"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226"/>
        <w:gridCol w:w="776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1226" w:type="dxa"/>
            <w:vAlign w:val="center"/>
          </w:tcPr>
          <w:p>
            <w:pPr>
              <w:spacing w:line="360" w:lineRule="auto"/>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标段</w:t>
            </w:r>
          </w:p>
        </w:tc>
        <w:tc>
          <w:tcPr>
            <w:tcW w:w="7766" w:type="dxa"/>
            <w:vAlign w:val="center"/>
          </w:tcPr>
          <w:p>
            <w:pPr>
              <w:spacing w:line="360" w:lineRule="auto"/>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财务要求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88" w:hRule="atLeast"/>
          <w:jc w:val="center"/>
        </w:trPr>
        <w:tc>
          <w:tcPr>
            <w:tcW w:w="1226" w:type="dxa"/>
            <w:vAlign w:val="center"/>
          </w:tcPr>
          <w:p>
            <w:pPr>
              <w:spacing w:line="240" w:lineRule="exact"/>
              <w:ind w:right="105" w:rightChars="5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001标段</w:t>
            </w:r>
          </w:p>
        </w:tc>
        <w:tc>
          <w:tcPr>
            <w:tcW w:w="7766" w:type="dxa"/>
            <w:vAlign w:val="center"/>
          </w:tcPr>
          <w:p>
            <w:pPr>
              <w:spacing w:line="240" w:lineRule="exact"/>
              <w:ind w:right="105" w:rightChars="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投标人2022年度或2021年度流动资产与流动负债比率大于1。</w:t>
            </w:r>
          </w:p>
        </w:tc>
      </w:tr>
    </w:tbl>
    <w:p>
      <w:pPr>
        <w:spacing w:line="360" w:lineRule="auto"/>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注：本要求为强制性基本要求，投标人如不满足上述强制性资格条件，将被认为资格审查不合格。</w:t>
      </w:r>
    </w:p>
    <w:p>
      <w:pPr>
        <w:rPr>
          <w:rFonts w:ascii="宋体" w:hAnsi="宋体" w:cs="宋体"/>
          <w:color w:val="000000" w:themeColor="text1"/>
          <w:highlight w:val="none"/>
          <w14:textFill>
            <w14:solidFill>
              <w14:schemeClr w14:val="tx1"/>
            </w14:solidFill>
          </w14:textFill>
        </w:rPr>
      </w:pPr>
      <w:bookmarkStart w:id="10" w:name="_Toc22280"/>
      <w:bookmarkStart w:id="11" w:name="_Toc32658"/>
      <w:bookmarkStart w:id="12" w:name="_Toc22173"/>
      <w:bookmarkStart w:id="13" w:name="_Toc13735"/>
    </w:p>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spacing w:line="360" w:lineRule="auto"/>
        <w:jc w:val="center"/>
        <w:outlineLvl w:val="1"/>
        <w:rPr>
          <w:rFonts w:ascii="宋体" w:hAnsi="宋体" w:cs="宋体"/>
          <w:b/>
          <w:color w:val="000000" w:themeColor="text1"/>
          <w:sz w:val="36"/>
          <w:szCs w:val="36"/>
          <w:highlight w:val="none"/>
          <w14:textFill>
            <w14:solidFill>
              <w14:schemeClr w14:val="tx1"/>
            </w14:solidFill>
          </w14:textFill>
        </w:rPr>
      </w:pPr>
      <w:bookmarkStart w:id="14" w:name="_Toc14747"/>
      <w:r>
        <w:rPr>
          <w:rFonts w:hint="eastAsia" w:ascii="宋体" w:hAnsi="宋体" w:cs="宋体"/>
          <w:b/>
          <w:color w:val="000000" w:themeColor="text1"/>
          <w:sz w:val="36"/>
          <w:szCs w:val="36"/>
          <w:highlight w:val="none"/>
          <w14:textFill>
            <w14:solidFill>
              <w14:schemeClr w14:val="tx1"/>
            </w14:solidFill>
          </w14:textFill>
        </w:rPr>
        <w:t>附录3 资格审查条件（业绩最低要求）</w:t>
      </w:r>
      <w:bookmarkEnd w:id="10"/>
      <w:bookmarkEnd w:id="11"/>
      <w:bookmarkEnd w:id="12"/>
      <w:bookmarkEnd w:id="13"/>
      <w:bookmarkEnd w:id="14"/>
    </w:p>
    <w:tbl>
      <w:tblPr>
        <w:tblStyle w:val="7"/>
        <w:tblW w:w="8992"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226"/>
        <w:gridCol w:w="776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1226" w:type="dxa"/>
            <w:vAlign w:val="center"/>
          </w:tcPr>
          <w:p>
            <w:pPr>
              <w:spacing w:line="360" w:lineRule="auto"/>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标段</w:t>
            </w:r>
          </w:p>
        </w:tc>
        <w:tc>
          <w:tcPr>
            <w:tcW w:w="7766" w:type="dxa"/>
            <w:vAlign w:val="center"/>
          </w:tcPr>
          <w:p>
            <w:pPr>
              <w:spacing w:line="360" w:lineRule="auto"/>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业绩要求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333" w:hRule="atLeast"/>
          <w:jc w:val="center"/>
        </w:trPr>
        <w:tc>
          <w:tcPr>
            <w:tcW w:w="1226" w:type="dxa"/>
            <w:vAlign w:val="center"/>
          </w:tcPr>
          <w:p>
            <w:pPr>
              <w:spacing w:line="240" w:lineRule="exact"/>
              <w:ind w:right="105" w:rightChars="5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001标段</w:t>
            </w:r>
          </w:p>
        </w:tc>
        <w:tc>
          <w:tcPr>
            <w:tcW w:w="7766" w:type="dxa"/>
            <w:vAlign w:val="center"/>
          </w:tcPr>
          <w:p>
            <w:pPr>
              <w:spacing w:line="240" w:lineRule="exact"/>
              <w:ind w:right="105" w:rightChar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（1）投标人近五年（2018年</w:t>
            </w: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月至投标文件递交截止之日，以初步设计或施工图设计批复时间或合同签订时间为准）至少独立完成过</w:t>
            </w:r>
            <w:r>
              <w:rPr>
                <w:rFonts w:hint="eastAsia" w:ascii="宋体" w:hAnsi="宋体" w:cs="宋体"/>
                <w:color w:val="000000" w:themeColor="text1"/>
                <w:szCs w:val="21"/>
                <w:highlight w:val="none"/>
                <w:lang w:val="en-US" w:eastAsia="zh-CN"/>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项高速公路</w:t>
            </w:r>
            <w:r>
              <w:rPr>
                <w:rFonts w:hint="eastAsia" w:ascii="宋体" w:hAnsi="宋体" w:cs="宋体"/>
                <w:color w:val="000000" w:themeColor="text1"/>
                <w:szCs w:val="21"/>
                <w:highlight w:val="none"/>
                <w:lang w:val="en-US" w:eastAsia="zh-CN"/>
                <w14:textFill>
                  <w14:solidFill>
                    <w14:schemeClr w14:val="tx1"/>
                  </w14:solidFill>
                </w14:textFill>
              </w:rPr>
              <w:t>养护</w:t>
            </w:r>
            <w:r>
              <w:rPr>
                <w:rFonts w:hint="eastAsia" w:ascii="宋体" w:hAnsi="宋体" w:cs="宋体"/>
                <w:color w:val="000000" w:themeColor="text1"/>
                <w:szCs w:val="21"/>
                <w:highlight w:val="none"/>
                <w14:textFill>
                  <w14:solidFill>
                    <w14:schemeClr w14:val="tx1"/>
                  </w14:solidFill>
                </w14:textFill>
              </w:rPr>
              <w:t>工程设计业绩</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其中至少1项业绩</w:t>
            </w:r>
            <w:r>
              <w:rPr>
                <w:rFonts w:hint="eastAsia" w:ascii="宋体" w:hAnsi="宋体" w:cs="宋体"/>
                <w:color w:val="000000" w:themeColor="text1"/>
                <w:szCs w:val="21"/>
                <w:highlight w:val="none"/>
                <w14:textFill>
                  <w14:solidFill>
                    <w14:schemeClr w14:val="tx1"/>
                  </w14:solidFill>
                </w14:textFill>
              </w:rPr>
              <w:t>包含路面</w:t>
            </w:r>
            <w:r>
              <w:rPr>
                <w:rFonts w:hint="eastAsia" w:ascii="宋体" w:hAnsi="宋体" w:cs="宋体"/>
                <w:color w:val="000000" w:themeColor="text1"/>
                <w:szCs w:val="21"/>
                <w:highlight w:val="none"/>
                <w:lang w:val="en-US" w:eastAsia="zh-CN"/>
                <w14:textFill>
                  <w14:solidFill>
                    <w14:schemeClr w14:val="tx1"/>
                  </w14:solidFill>
                </w14:textFill>
              </w:rPr>
              <w:t>养护</w:t>
            </w:r>
            <w:r>
              <w:rPr>
                <w:rFonts w:hint="eastAsia" w:ascii="宋体" w:hAnsi="宋体" w:cs="宋体"/>
                <w:color w:val="000000" w:themeColor="text1"/>
                <w:szCs w:val="21"/>
                <w:highlight w:val="none"/>
                <w14:textFill>
                  <w14:solidFill>
                    <w14:schemeClr w14:val="tx1"/>
                  </w14:solidFill>
                </w14:textFill>
              </w:rPr>
              <w:t>工程设计；</w:t>
            </w:r>
          </w:p>
          <w:p>
            <w:pPr>
              <w:spacing w:line="240" w:lineRule="exact"/>
              <w:ind w:right="105" w:rightChar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（2）投标人近五年（2018年</w:t>
            </w: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月至投标文件递交截止之日，以交工或竣工时间为准）至少独立完成过1项高速公路养护工程施工业绩。</w:t>
            </w:r>
          </w:p>
          <w:p>
            <w:pPr>
              <w:spacing w:line="240" w:lineRule="exact"/>
              <w:ind w:right="105" w:rightChars="50"/>
              <w:rPr>
                <w:rFonts w:ascii="宋体" w:hAnsi="宋体" w:cs="宋体"/>
                <w:color w:val="000000" w:themeColor="text1"/>
                <w:szCs w:val="21"/>
                <w:highlight w:val="none"/>
                <w14:textFill>
                  <w14:solidFill>
                    <w14:schemeClr w14:val="tx1"/>
                  </w14:solidFill>
                </w14:textFill>
              </w:rPr>
            </w:pPr>
          </w:p>
        </w:tc>
      </w:tr>
    </w:tbl>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注：本要求为强制性基本要求，投标人如不满足上述强制性资格条件中的任何一条，将被认为资格审查不合格。</w:t>
      </w:r>
    </w:p>
    <w:p>
      <w:pPr>
        <w:pStyle w:val="2"/>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spacing w:line="360" w:lineRule="auto"/>
        <w:jc w:val="center"/>
        <w:outlineLvl w:val="1"/>
        <w:rPr>
          <w:rFonts w:ascii="宋体" w:hAnsi="宋体" w:cs="宋体"/>
          <w:b/>
          <w:color w:val="000000" w:themeColor="text1"/>
          <w:sz w:val="36"/>
          <w:szCs w:val="36"/>
          <w:highlight w:val="none"/>
          <w14:textFill>
            <w14:solidFill>
              <w14:schemeClr w14:val="tx1"/>
            </w14:solidFill>
          </w14:textFill>
        </w:rPr>
      </w:pPr>
      <w:bookmarkStart w:id="15" w:name="_Toc17824"/>
      <w:bookmarkStart w:id="16" w:name="_Toc3997"/>
      <w:bookmarkStart w:id="17" w:name="_Toc2100"/>
      <w:bookmarkStart w:id="18" w:name="_Toc13528"/>
      <w:bookmarkStart w:id="19" w:name="_Toc12121"/>
      <w:r>
        <w:rPr>
          <w:rFonts w:hint="eastAsia" w:ascii="宋体" w:hAnsi="宋体" w:cs="宋体"/>
          <w:b/>
          <w:color w:val="000000" w:themeColor="text1"/>
          <w:sz w:val="36"/>
          <w:szCs w:val="36"/>
          <w:highlight w:val="none"/>
          <w14:textFill>
            <w14:solidFill>
              <w14:schemeClr w14:val="tx1"/>
            </w14:solidFill>
          </w14:textFill>
        </w:rPr>
        <w:t>附录4 资格审查条件（人员最低要求）</w:t>
      </w:r>
      <w:bookmarkEnd w:id="15"/>
      <w:bookmarkEnd w:id="16"/>
      <w:bookmarkEnd w:id="17"/>
      <w:bookmarkEnd w:id="18"/>
      <w:bookmarkEnd w:id="19"/>
    </w:p>
    <w:tbl>
      <w:tblPr>
        <w:tblStyle w:val="7"/>
        <w:tblpPr w:leftFromText="180" w:rightFromText="180" w:vertAnchor="text" w:horzAnchor="page" w:tblpXSpec="center" w:tblpY="92"/>
        <w:tblOverlap w:val="never"/>
        <w:tblW w:w="9138"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853"/>
        <w:gridCol w:w="1018"/>
        <w:gridCol w:w="4717"/>
        <w:gridCol w:w="155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853" w:type="dxa"/>
            <w:vAlign w:val="center"/>
          </w:tcPr>
          <w:p>
            <w:pPr>
              <w:spacing w:line="240" w:lineRule="exact"/>
              <w:ind w:right="105" w:rightChars="50"/>
              <w:jc w:val="center"/>
              <w:rPr>
                <w:rFonts w:ascii="宋体" w:hAnsi="宋体" w:cs="宋体"/>
                <w:b/>
                <w:bCs/>
                <w:color w:val="000000" w:themeColor="text1"/>
                <w:highlight w:val="none"/>
                <w14:textFill>
                  <w14:solidFill>
                    <w14:schemeClr w14:val="tx1"/>
                  </w14:solidFill>
                </w14:textFill>
              </w:rPr>
            </w:pPr>
            <w:bookmarkStart w:id="20" w:name="_Toc5976"/>
            <w:r>
              <w:rPr>
                <w:rFonts w:hint="eastAsia" w:ascii="宋体" w:hAnsi="宋体" w:cs="宋体"/>
                <w:b/>
                <w:bCs/>
                <w:color w:val="000000" w:themeColor="text1"/>
                <w:highlight w:val="none"/>
                <w14:textFill>
                  <w14:solidFill>
                    <w14:schemeClr w14:val="tx1"/>
                  </w14:solidFill>
                </w14:textFill>
              </w:rPr>
              <w:t>人员</w:t>
            </w:r>
          </w:p>
        </w:tc>
        <w:tc>
          <w:tcPr>
            <w:tcW w:w="1018" w:type="dxa"/>
            <w:vAlign w:val="center"/>
          </w:tcPr>
          <w:p>
            <w:pPr>
              <w:spacing w:line="240" w:lineRule="exact"/>
              <w:ind w:right="105" w:rightChars="50"/>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数量</w:t>
            </w:r>
          </w:p>
          <w:p>
            <w:pPr>
              <w:spacing w:line="240" w:lineRule="exact"/>
              <w:ind w:right="105" w:rightChars="50"/>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（人）</w:t>
            </w:r>
          </w:p>
        </w:tc>
        <w:tc>
          <w:tcPr>
            <w:tcW w:w="4717" w:type="dxa"/>
            <w:vAlign w:val="center"/>
          </w:tcPr>
          <w:p>
            <w:pPr>
              <w:spacing w:line="240" w:lineRule="exact"/>
              <w:ind w:right="105" w:rightChars="50"/>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资格要求</w:t>
            </w:r>
          </w:p>
        </w:tc>
        <w:tc>
          <w:tcPr>
            <w:tcW w:w="1550" w:type="dxa"/>
            <w:vAlign w:val="center"/>
          </w:tcPr>
          <w:p>
            <w:pPr>
              <w:spacing w:line="240" w:lineRule="exact"/>
              <w:ind w:right="105" w:rightChars="50"/>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在岗要求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1853" w:type="dxa"/>
            <w:vAlign w:val="center"/>
          </w:tcPr>
          <w:p>
            <w:pPr>
              <w:spacing w:line="360" w:lineRule="auto"/>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项目经理</w:t>
            </w:r>
          </w:p>
        </w:tc>
        <w:tc>
          <w:tcPr>
            <w:tcW w:w="1018" w:type="dxa"/>
            <w:vAlign w:val="center"/>
          </w:tcPr>
          <w:p>
            <w:pPr>
              <w:spacing w:line="360" w:lineRule="auto"/>
              <w:jc w:val="center"/>
              <w:rPr>
                <w:rFonts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1</w:t>
            </w:r>
          </w:p>
        </w:tc>
        <w:tc>
          <w:tcPr>
            <w:tcW w:w="4717" w:type="dxa"/>
            <w:vAlign w:val="center"/>
          </w:tcPr>
          <w:p>
            <w:pPr>
              <w:spacing w:line="240" w:lineRule="exact"/>
              <w:ind w:right="105" w:rightChar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具备高级工程师及以上职称（公路相关专业），作为项目经理或</w:t>
            </w:r>
            <w:r>
              <w:rPr>
                <w:rFonts w:hint="eastAsia" w:ascii="宋体" w:hAnsi="宋体" w:cs="宋体"/>
                <w:color w:val="000000" w:themeColor="text1"/>
                <w:szCs w:val="21"/>
                <w:highlight w:val="none"/>
                <w:lang w:val="en-US" w:eastAsia="zh-CN"/>
                <w14:textFill>
                  <w14:solidFill>
                    <w14:schemeClr w14:val="tx1"/>
                  </w14:solidFill>
                </w14:textFill>
              </w:rPr>
              <w:t>项目负责人</w:t>
            </w:r>
            <w:r>
              <w:rPr>
                <w:rFonts w:hint="eastAsia" w:ascii="宋体" w:hAnsi="宋体" w:cs="宋体"/>
                <w:color w:val="000000" w:themeColor="text1"/>
                <w:szCs w:val="21"/>
                <w:highlight w:val="none"/>
                <w14:textFill>
                  <w14:solidFill>
                    <w14:schemeClr w14:val="tx1"/>
                  </w14:solidFill>
                </w14:textFill>
              </w:rPr>
              <w:t>近五年（2018年</w:t>
            </w: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月至投标文件递交截止之日，以初步设计或施工图设计批复时间或合同签订时间为准）至少完成过1项高速公路养护工程设计施工总承包业绩或高速公路</w:t>
            </w:r>
            <w:r>
              <w:rPr>
                <w:rFonts w:hint="eastAsia" w:ascii="宋体" w:hAnsi="宋体" w:cs="宋体"/>
                <w:color w:val="000000" w:themeColor="text1"/>
                <w:szCs w:val="21"/>
                <w:highlight w:val="none"/>
                <w:lang w:val="en-US" w:eastAsia="zh-CN"/>
                <w14:textFill>
                  <w14:solidFill>
                    <w14:schemeClr w14:val="tx1"/>
                  </w14:solidFill>
                </w14:textFill>
              </w:rPr>
              <w:t>养护</w:t>
            </w:r>
            <w:r>
              <w:rPr>
                <w:rFonts w:hint="eastAsia" w:ascii="宋体" w:hAnsi="宋体" w:cs="宋体"/>
                <w:color w:val="000000" w:themeColor="text1"/>
                <w:szCs w:val="21"/>
                <w:highlight w:val="none"/>
                <w14:textFill>
                  <w14:solidFill>
                    <w14:schemeClr w14:val="tx1"/>
                  </w14:solidFill>
                </w14:textFill>
              </w:rPr>
              <w:t>工程设计（至少包含路面工程设计）业绩。联合体形式投标的,拟任项目经理须由联合体牵头人提供。</w:t>
            </w:r>
          </w:p>
        </w:tc>
        <w:tc>
          <w:tcPr>
            <w:tcW w:w="1550" w:type="dxa"/>
            <w:vAlign w:val="center"/>
          </w:tcPr>
          <w:p>
            <w:pPr>
              <w:spacing w:line="240" w:lineRule="exact"/>
              <w:ind w:right="105" w:rightChars="5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1853"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设计负责人</w:t>
            </w:r>
          </w:p>
        </w:tc>
        <w:tc>
          <w:tcPr>
            <w:tcW w:w="1018"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4717" w:type="dxa"/>
            <w:vAlign w:val="center"/>
          </w:tcPr>
          <w:p>
            <w:pPr>
              <w:spacing w:line="240" w:lineRule="exact"/>
              <w:ind w:right="105" w:rightChar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具备高级工程师及以上职称（公路相关专业），作为</w:t>
            </w:r>
            <w:r>
              <w:rPr>
                <w:rFonts w:hint="eastAsia" w:ascii="宋体" w:hAnsi="宋体" w:cs="宋体"/>
                <w:color w:val="000000" w:themeColor="text1"/>
                <w:szCs w:val="21"/>
                <w:highlight w:val="none"/>
                <w:lang w:val="en-US" w:eastAsia="zh-CN"/>
                <w14:textFill>
                  <w14:solidFill>
                    <w14:schemeClr w14:val="tx1"/>
                  </w14:solidFill>
                </w14:textFill>
              </w:rPr>
              <w:t>技术负责人</w:t>
            </w:r>
            <w:r>
              <w:rPr>
                <w:rFonts w:hint="eastAsia" w:ascii="宋体" w:hAnsi="宋体" w:cs="宋体"/>
                <w:color w:val="000000" w:themeColor="text1"/>
                <w:szCs w:val="21"/>
                <w:highlight w:val="none"/>
                <w14:textFill>
                  <w14:solidFill>
                    <w14:schemeClr w14:val="tx1"/>
                  </w14:solidFill>
                </w14:textFill>
              </w:rPr>
              <w:t>或项目负责人近五年（2018年</w:t>
            </w: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月至投标文件递交截止之日，以初步设计或施工图设计批复时间或合同签订时间为准）至少完成过1项高速公路养护工程设计施工总承包业绩或高速公路</w:t>
            </w:r>
            <w:r>
              <w:rPr>
                <w:rFonts w:hint="eastAsia" w:ascii="宋体" w:hAnsi="宋体" w:cs="宋体"/>
                <w:color w:val="000000" w:themeColor="text1"/>
                <w:szCs w:val="21"/>
                <w:highlight w:val="none"/>
                <w:lang w:val="en-US" w:eastAsia="zh-CN"/>
                <w14:textFill>
                  <w14:solidFill>
                    <w14:schemeClr w14:val="tx1"/>
                  </w14:solidFill>
                </w14:textFill>
              </w:rPr>
              <w:t>养护</w:t>
            </w:r>
            <w:r>
              <w:rPr>
                <w:rFonts w:hint="eastAsia" w:ascii="宋体" w:hAnsi="宋体" w:cs="宋体"/>
                <w:color w:val="000000" w:themeColor="text1"/>
                <w:szCs w:val="21"/>
                <w:highlight w:val="none"/>
                <w14:textFill>
                  <w14:solidFill>
                    <w14:schemeClr w14:val="tx1"/>
                  </w14:solidFill>
                </w14:textFill>
              </w:rPr>
              <w:t>工程设计（至少包含路面工程设计）业绩。</w:t>
            </w:r>
          </w:p>
        </w:tc>
        <w:tc>
          <w:tcPr>
            <w:tcW w:w="1550" w:type="dxa"/>
            <w:vAlign w:val="center"/>
          </w:tcPr>
          <w:p>
            <w:pPr>
              <w:spacing w:line="240" w:lineRule="exact"/>
              <w:ind w:right="105" w:rightChars="5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840" w:hRule="atLeast"/>
          <w:jc w:val="center"/>
        </w:trPr>
        <w:tc>
          <w:tcPr>
            <w:tcW w:w="1853"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施工负责人</w:t>
            </w:r>
          </w:p>
        </w:tc>
        <w:tc>
          <w:tcPr>
            <w:tcW w:w="1018"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4717" w:type="dxa"/>
            <w:vAlign w:val="center"/>
          </w:tcPr>
          <w:p>
            <w:pPr>
              <w:spacing w:line="240" w:lineRule="exact"/>
              <w:ind w:right="105" w:rightChar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具备工程师及以上职称（公路相关专业）且持有一级建造师注册证书（公路工程专业）和</w:t>
            </w:r>
            <w:r>
              <w:rPr>
                <w:rFonts w:hint="eastAsia" w:ascii="宋体" w:hAnsi="宋体" w:cs="宋体"/>
                <w:color w:val="000000" w:themeColor="text1"/>
                <w:szCs w:val="21"/>
                <w:highlight w:val="none"/>
                <w:lang w:val="en-US" w:eastAsia="zh-CN"/>
                <w14:textFill>
                  <w14:solidFill>
                    <w14:schemeClr w14:val="tx1"/>
                  </w14:solidFill>
                </w14:textFill>
              </w:rPr>
              <w:t>有效</w:t>
            </w:r>
            <w:r>
              <w:rPr>
                <w:rFonts w:hint="eastAsia" w:ascii="宋体" w:hAnsi="宋体" w:cs="宋体"/>
                <w:color w:val="000000" w:themeColor="text1"/>
                <w:szCs w:val="21"/>
                <w:highlight w:val="none"/>
                <w14:textFill>
                  <w14:solidFill>
                    <w14:schemeClr w14:val="tx1"/>
                  </w14:solidFill>
                </w14:textFill>
              </w:rPr>
              <w:t>的安全生产考核合格B证（注册登记单位应与投标人名称一致），且未担任其他在建工程项目的项目经理，作为施工负责人或项目经理近五年（2018年</w:t>
            </w: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月至投标文件递交截止之日，以交工或竣工时间为准）至少完成过1项高速公路养护工程设计施工总承包业绩或高速公路养护工程施工业绩。</w:t>
            </w:r>
          </w:p>
        </w:tc>
        <w:tc>
          <w:tcPr>
            <w:tcW w:w="1550" w:type="dxa"/>
            <w:vAlign w:val="center"/>
          </w:tcPr>
          <w:p>
            <w:pPr>
              <w:spacing w:line="240" w:lineRule="exact"/>
              <w:ind w:right="105" w:rightChars="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无在岗项目（指目前未在其他项目上任职，或虽在其他项目上任职但本项目中标后能够从该项目撤离）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560" w:hRule="atLeast"/>
          <w:jc w:val="center"/>
        </w:trPr>
        <w:tc>
          <w:tcPr>
            <w:tcW w:w="1853"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施工技术负责人</w:t>
            </w:r>
          </w:p>
        </w:tc>
        <w:tc>
          <w:tcPr>
            <w:tcW w:w="1018"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4717" w:type="dxa"/>
            <w:vAlign w:val="center"/>
          </w:tcPr>
          <w:p>
            <w:pPr>
              <w:spacing w:line="240" w:lineRule="exact"/>
              <w:ind w:right="105" w:rightChar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具备高级工程师及以上职称（公路相关专业）且持有</w:t>
            </w:r>
            <w:r>
              <w:rPr>
                <w:rFonts w:hint="eastAsia" w:ascii="宋体" w:hAnsi="宋体" w:cs="宋体"/>
                <w:color w:val="000000" w:themeColor="text1"/>
                <w:szCs w:val="21"/>
                <w:highlight w:val="none"/>
                <w:lang w:val="en-US" w:eastAsia="zh-CN"/>
                <w14:textFill>
                  <w14:solidFill>
                    <w14:schemeClr w14:val="tx1"/>
                  </w14:solidFill>
                </w14:textFill>
              </w:rPr>
              <w:t>有效</w:t>
            </w:r>
            <w:r>
              <w:rPr>
                <w:rFonts w:hint="eastAsia" w:ascii="宋体" w:hAnsi="宋体" w:cs="宋体"/>
                <w:color w:val="000000" w:themeColor="text1"/>
                <w:szCs w:val="21"/>
                <w:highlight w:val="none"/>
                <w14:textFill>
                  <w14:solidFill>
                    <w14:schemeClr w14:val="tx1"/>
                  </w14:solidFill>
                </w14:textFill>
              </w:rPr>
              <w:t>的安全生产考核合格B证（注册登记单位应与投标人名称一致），且未担任其他在建工程项目的技术负责人，作为施工项目总工或项目技术负责人近五年（2018年</w:t>
            </w: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月至投标文件递交截止之日，以交工或竣工时间为准）至少完成过1项高速公路养护工程设计施工总承包业绩或高速公路养护工程施工业绩。</w:t>
            </w:r>
          </w:p>
        </w:tc>
        <w:tc>
          <w:tcPr>
            <w:tcW w:w="1550" w:type="dxa"/>
            <w:vAlign w:val="center"/>
          </w:tcPr>
          <w:p>
            <w:pPr>
              <w:spacing w:line="240" w:lineRule="exact"/>
              <w:ind w:right="105" w:rightChars="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无在岗项目（指目前未在其他项目上任职，或虽在其他项目上任职但本项目中标后能够从该项目撤离）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1853"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专职安全员</w:t>
            </w:r>
          </w:p>
        </w:tc>
        <w:tc>
          <w:tcPr>
            <w:tcW w:w="1018"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4717" w:type="dxa"/>
            <w:vAlign w:val="center"/>
          </w:tcPr>
          <w:p>
            <w:pPr>
              <w:spacing w:line="240" w:lineRule="exact"/>
              <w:ind w:right="105" w:rightChar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持有有效的安全生产考核合格证书（C证）且登记单位必须与投标人名称一致；</w:t>
            </w:r>
          </w:p>
        </w:tc>
        <w:tc>
          <w:tcPr>
            <w:tcW w:w="1550" w:type="dxa"/>
            <w:vAlign w:val="center"/>
          </w:tcPr>
          <w:p>
            <w:pPr>
              <w:spacing w:line="240" w:lineRule="exact"/>
              <w:ind w:right="105" w:rightChars="5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w:t>
            </w:r>
          </w:p>
        </w:tc>
      </w:tr>
    </w:tbl>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注：本要求为强制性基本要求，投标人如不满足上述强制性资格条件中的任何一条，将被认为资格审查不合格。</w:t>
      </w:r>
    </w:p>
    <w:p>
      <w:pPr>
        <w:rPr>
          <w:rFonts w:ascii="宋体" w:hAnsi="宋体" w:cs="宋体"/>
          <w:color w:val="000000" w:themeColor="text1"/>
          <w:highlight w:val="none"/>
          <w14:textFill>
            <w14:solidFill>
              <w14:schemeClr w14:val="tx1"/>
            </w14:solidFill>
          </w14:textFill>
        </w:rPr>
      </w:pPr>
      <w:bookmarkStart w:id="21" w:name="_Toc28303"/>
      <w:bookmarkStart w:id="22" w:name="_Toc31698"/>
      <w:bookmarkStart w:id="23" w:name="_Toc12511"/>
    </w:p>
    <w:p>
      <w:pPr>
        <w:pStyle w:val="2"/>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spacing w:line="360" w:lineRule="auto"/>
        <w:jc w:val="center"/>
        <w:outlineLvl w:val="1"/>
        <w:rPr>
          <w:rFonts w:ascii="宋体" w:hAnsi="宋体" w:cs="宋体"/>
          <w:b/>
          <w:color w:val="000000" w:themeColor="text1"/>
          <w:sz w:val="36"/>
          <w:szCs w:val="36"/>
          <w:highlight w:val="none"/>
          <w14:textFill>
            <w14:solidFill>
              <w14:schemeClr w14:val="tx1"/>
            </w14:solidFill>
          </w14:textFill>
        </w:rPr>
      </w:pPr>
      <w:bookmarkStart w:id="24" w:name="_Toc1913"/>
      <w:r>
        <w:rPr>
          <w:rFonts w:hint="eastAsia" w:ascii="宋体" w:hAnsi="宋体" w:cs="宋体"/>
          <w:b/>
          <w:color w:val="000000" w:themeColor="text1"/>
          <w:sz w:val="36"/>
          <w:szCs w:val="36"/>
          <w:highlight w:val="none"/>
          <w14:textFill>
            <w14:solidFill>
              <w14:schemeClr w14:val="tx1"/>
            </w14:solidFill>
          </w14:textFill>
        </w:rPr>
        <w:t>附录5  资格审查条件（信誉最低要求）</w:t>
      </w:r>
      <w:bookmarkEnd w:id="20"/>
      <w:bookmarkEnd w:id="21"/>
      <w:bookmarkEnd w:id="22"/>
      <w:bookmarkEnd w:id="23"/>
      <w:bookmarkEnd w:id="24"/>
    </w:p>
    <w:tbl>
      <w:tblPr>
        <w:tblStyle w:val="7"/>
        <w:tblW w:w="8992"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226"/>
        <w:gridCol w:w="776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1226" w:type="dxa"/>
            <w:vAlign w:val="center"/>
          </w:tcPr>
          <w:p>
            <w:pPr>
              <w:spacing w:line="360" w:lineRule="auto"/>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标段</w:t>
            </w:r>
          </w:p>
        </w:tc>
        <w:tc>
          <w:tcPr>
            <w:tcW w:w="7766" w:type="dxa"/>
            <w:vAlign w:val="center"/>
          </w:tcPr>
          <w:p>
            <w:pPr>
              <w:spacing w:line="360" w:lineRule="auto"/>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信誉要求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333" w:hRule="atLeast"/>
          <w:jc w:val="center"/>
        </w:trPr>
        <w:tc>
          <w:tcPr>
            <w:tcW w:w="1226" w:type="dxa"/>
            <w:vAlign w:val="center"/>
          </w:tcPr>
          <w:p>
            <w:pPr>
              <w:spacing w:line="240" w:lineRule="exact"/>
              <w:ind w:right="105" w:rightChars="5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001标段</w:t>
            </w:r>
          </w:p>
        </w:tc>
        <w:tc>
          <w:tcPr>
            <w:tcW w:w="7766" w:type="dxa"/>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1.满足投标人须知第1.4.3项所有内容；</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2.投标人、法定代表人、拟任项目经理、拟任设计负责人、拟任施工负责人在近三年内（2020年</w:t>
            </w: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月以来）无行贿犯罪行为；</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3.投标人在最近三年（2020年</w:t>
            </w: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月1日</w:t>
            </w:r>
            <w:r>
              <w:rPr>
                <w:rFonts w:hint="eastAsia" w:ascii="宋体" w:hAnsi="宋体" w:cs="宋体"/>
                <w:color w:val="000000" w:themeColor="text1"/>
                <w:szCs w:val="21"/>
                <w:highlight w:val="none"/>
                <w14:textFill>
                  <w14:solidFill>
                    <w14:schemeClr w14:val="tx1"/>
                  </w14:solidFill>
                </w14:textFill>
              </w:rPr>
              <w:t>至投标文件递交截止之日</w:t>
            </w:r>
            <w:r>
              <w:rPr>
                <w:rFonts w:hint="eastAsia"/>
                <w:color w:val="000000" w:themeColor="text1"/>
                <w:highlight w:val="none"/>
                <w14:textFill>
                  <w14:solidFill>
                    <w14:schemeClr w14:val="tx1"/>
                  </w14:solidFill>
                </w14:textFill>
              </w:rPr>
              <w:t>）未在交通工程建设领域因重大、特大工程质量、安全事故受到省级及以上行政主管部门的通报，未在山西省公路工程建设项目中发生重大工程质量、安全等事故并受到通报；</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4.投标人目前没有受到交通运输部或山西省交通运输厅作出的，取消投标资格或禁止进入公路建设市场且处于有效期内的行政处罚；</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5.投标人在山西省公路建设市场未发生重大违约问题。</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6.投标人在山西省公路建设市场企业信用评价的综合考核定级中，未被评价为D 级，或曾被评价为D 级但处罚期限已过。</w:t>
            </w:r>
          </w:p>
        </w:tc>
      </w:tr>
    </w:tbl>
    <w:p>
      <w:pPr>
        <w:spacing w:line="400" w:lineRule="exact"/>
        <w:rPr>
          <w:rFonts w:ascii="宋体" w:hAnsi="宋体" w:cs="宋体"/>
          <w:b/>
          <w:color w:val="000000" w:themeColor="text1"/>
          <w:szCs w:val="21"/>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thickThinSmallGap" w:color="auto" w:sz="24" w:space="0"/>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C45DFD"/>
    <w:multiLevelType w:val="singleLevel"/>
    <w:tmpl w:val="F3C45DFD"/>
    <w:lvl w:ilvl="0" w:tentative="0">
      <w:start w:val="1"/>
      <w:numFmt w:val="decimal"/>
      <w:suff w:val="nothing"/>
      <w:lvlText w:val="%1、"/>
      <w:lvlJc w:val="left"/>
    </w:lvl>
  </w:abstractNum>
  <w:abstractNum w:abstractNumId="1">
    <w:nsid w:val="5B2FF8C5"/>
    <w:multiLevelType w:val="singleLevel"/>
    <w:tmpl w:val="5B2FF8C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ZWJjNWIxODI2ZmRhOGViMTFlYzcyYWNjM2YwMTEifQ=="/>
  </w:docVars>
  <w:rsids>
    <w:rsidRoot w:val="3C922D9F"/>
    <w:rsid w:val="003236BE"/>
    <w:rsid w:val="003A39ED"/>
    <w:rsid w:val="0043299B"/>
    <w:rsid w:val="00E81823"/>
    <w:rsid w:val="3A1977BD"/>
    <w:rsid w:val="3C922D9F"/>
    <w:rsid w:val="47203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9"/>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0"/>
    <w:qFormat/>
    <w:uiPriority w:val="0"/>
  </w:style>
  <w:style w:type="paragraph" w:styleId="4">
    <w:name w:val="annotation text"/>
    <w:basedOn w:val="1"/>
    <w:link w:val="11"/>
    <w:qFormat/>
    <w:uiPriority w:val="0"/>
  </w:style>
  <w:style w:type="paragraph" w:styleId="5">
    <w:name w:val="footer"/>
    <w:basedOn w:val="1"/>
    <w:next w:val="1"/>
    <w:link w:val="12"/>
    <w:qFormat/>
    <w:uiPriority w:val="99"/>
    <w:pPr>
      <w:tabs>
        <w:tab w:val="center" w:pos="4153"/>
        <w:tab w:val="right" w:pos="8306"/>
      </w:tabs>
      <w:spacing w:line="240" w:lineRule="atLeast"/>
    </w:pPr>
    <w:rPr>
      <w:sz w:val="18"/>
    </w:rPr>
  </w:style>
  <w:style w:type="paragraph" w:styleId="6">
    <w:name w:val="Normal (Web)"/>
    <w:basedOn w:val="1"/>
    <w:qFormat/>
    <w:uiPriority w:val="99"/>
    <w:pPr>
      <w:widowControl/>
      <w:spacing w:before="100" w:beforeAutospacing="1" w:after="100" w:afterAutospacing="1"/>
      <w:jc w:val="left"/>
    </w:pPr>
    <w:rPr>
      <w:kern w:val="0"/>
      <w:sz w:val="24"/>
    </w:rPr>
  </w:style>
  <w:style w:type="character" w:customStyle="1" w:styleId="9">
    <w:name w:val="标题 2 字符"/>
    <w:basedOn w:val="8"/>
    <w:link w:val="3"/>
    <w:qFormat/>
    <w:uiPriority w:val="0"/>
    <w:rPr>
      <w:rFonts w:ascii="Arial" w:hAnsi="Arial" w:eastAsia="黑体"/>
      <w:b/>
      <w:bCs/>
      <w:kern w:val="2"/>
      <w:sz w:val="32"/>
      <w:szCs w:val="32"/>
    </w:rPr>
  </w:style>
  <w:style w:type="character" w:customStyle="1" w:styleId="10">
    <w:name w:val="正文文本 字符"/>
    <w:basedOn w:val="8"/>
    <w:link w:val="2"/>
    <w:qFormat/>
    <w:uiPriority w:val="0"/>
    <w:rPr>
      <w:kern w:val="2"/>
      <w:sz w:val="21"/>
      <w:szCs w:val="24"/>
    </w:rPr>
  </w:style>
  <w:style w:type="character" w:customStyle="1" w:styleId="11">
    <w:name w:val="批注文字 字符"/>
    <w:basedOn w:val="8"/>
    <w:link w:val="4"/>
    <w:qFormat/>
    <w:uiPriority w:val="0"/>
    <w:rPr>
      <w:kern w:val="2"/>
      <w:sz w:val="21"/>
      <w:szCs w:val="24"/>
    </w:rPr>
  </w:style>
  <w:style w:type="character" w:customStyle="1" w:styleId="12">
    <w:name w:val="页脚 字符"/>
    <w:basedOn w:val="8"/>
    <w:link w:val="5"/>
    <w:qFormat/>
    <w:uiPriority w:val="99"/>
    <w:rPr>
      <w:kern w:val="2"/>
      <w:sz w:val="18"/>
      <w:szCs w:val="24"/>
    </w:rPr>
  </w:style>
  <w:style w:type="paragraph" w:customStyle="1" w:styleId="13">
    <w:name w:val="Table Paragraph"/>
    <w:basedOn w:val="1"/>
    <w:qFormat/>
    <w:uiPriority w:val="99"/>
    <w:rPr>
      <w:rFonts w:ascii="宋体" w:hAnsi="宋体" w:cs="宋体"/>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10894</Words>
  <Characters>11585</Characters>
  <Lines>86</Lines>
  <Paragraphs>24</Paragraphs>
  <TotalTime>1</TotalTime>
  <ScaleCrop>false</ScaleCrop>
  <LinksUpToDate>false</LinksUpToDate>
  <CharactersWithSpaces>11629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2020-04-07T08:37:00Z</dcterms:created>
  <dc:creator>廖梓佑</dc:creator>
  <cp:lastModifiedBy>我就随口一说</cp:lastModifiedBy>
  <dcterms:modified xsi:type="dcterms:W3CDTF">2023-05-06T03:47:53Z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F0E216CFDCF840079EA6B149C36A74D7</vt:lpwstr>
  </property>
</Properties>
</file>