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ordWrap/>
        <w:topLinePunct w:val="0"/>
        <w:bidi w:val="0"/>
        <w:spacing w:line="360" w:lineRule="auto"/>
        <w:jc w:val="center"/>
        <w:textAlignment w:val="auto"/>
        <w:rPr>
          <w:rFonts w:hint="eastAsia" w:ascii="宋体" w:hAnsi="宋体" w:eastAsia="宋体" w:cs="宋体"/>
          <w:b/>
          <w:bCs/>
          <w:sz w:val="30"/>
          <w:szCs w:val="30"/>
          <w:highlight w:val="none"/>
          <w:lang w:eastAsia="zh-CN"/>
        </w:rPr>
      </w:pPr>
      <w:r>
        <w:rPr>
          <w:rFonts w:hint="eastAsia" w:ascii="宋体" w:hAnsi="宋体" w:eastAsia="宋体" w:cs="宋体"/>
          <w:b/>
          <w:bCs/>
          <w:sz w:val="30"/>
          <w:szCs w:val="30"/>
          <w:highlight w:val="none"/>
          <w:lang w:eastAsia="zh-CN"/>
        </w:rPr>
        <w:t>山西太长高速公路有限责任公司2023</w:t>
      </w:r>
      <w:r>
        <w:rPr>
          <w:rFonts w:hint="eastAsia" w:ascii="宋体" w:hAnsi="宋体" w:eastAsia="宋体" w:cs="宋体"/>
          <w:b/>
          <w:bCs/>
          <w:sz w:val="30"/>
          <w:szCs w:val="30"/>
          <w:highlight w:val="none"/>
          <w:lang w:val="en-US" w:eastAsia="zh-CN"/>
        </w:rPr>
        <w:t>年</w:t>
      </w:r>
      <w:r>
        <w:rPr>
          <w:rFonts w:hint="eastAsia" w:ascii="宋体" w:hAnsi="宋体" w:eastAsia="宋体" w:cs="宋体"/>
          <w:b/>
          <w:bCs/>
          <w:sz w:val="30"/>
          <w:szCs w:val="30"/>
          <w:highlight w:val="none"/>
          <w:lang w:eastAsia="zh-CN"/>
        </w:rPr>
        <w:t>养护工程设计服务</w:t>
      </w:r>
    </w:p>
    <w:p>
      <w:pPr>
        <w:pageBreakBefore w:val="0"/>
        <w:wordWrap/>
        <w:topLinePunct w:val="0"/>
        <w:bidi w:val="0"/>
        <w:spacing w:line="360" w:lineRule="auto"/>
        <w:jc w:val="center"/>
        <w:textAlignment w:val="auto"/>
        <w:rPr>
          <w:rFonts w:hint="eastAsia" w:ascii="宋体" w:hAnsi="宋体" w:eastAsia="宋体" w:cs="宋体"/>
          <w:b/>
          <w:bCs/>
          <w:sz w:val="30"/>
          <w:szCs w:val="30"/>
          <w:highlight w:val="none"/>
          <w:lang w:eastAsia="zh-CN"/>
        </w:rPr>
      </w:pPr>
      <w:r>
        <w:rPr>
          <w:rFonts w:hint="eastAsia" w:ascii="宋体" w:hAnsi="宋体" w:eastAsia="宋体" w:cs="宋体"/>
          <w:b/>
          <w:bCs/>
          <w:sz w:val="30"/>
          <w:szCs w:val="30"/>
          <w:highlight w:val="none"/>
          <w:lang w:eastAsia="zh-CN"/>
        </w:rPr>
        <w:t>招标关键内容公开</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rPr>
          <w:rFonts w:hint="default" w:ascii="Times New Roman" w:hAnsi="Times New Roman" w:eastAsia="宋体" w:cs="Times New Roman"/>
          <w:b/>
          <w:bCs/>
          <w:color w:val="auto"/>
          <w:spacing w:val="0"/>
          <w:w w:val="100"/>
          <w:kern w:val="21"/>
          <w:position w:val="0"/>
          <w:sz w:val="24"/>
          <w:szCs w:val="24"/>
          <w:highlight w:val="none"/>
        </w:rPr>
      </w:pPr>
      <w:r>
        <w:rPr>
          <w:rFonts w:hint="default" w:ascii="Times New Roman" w:hAnsi="Times New Roman" w:eastAsia="宋体" w:cs="Times New Roman"/>
          <w:b/>
          <w:bCs/>
          <w:color w:val="auto"/>
          <w:spacing w:val="0"/>
          <w:w w:val="100"/>
          <w:kern w:val="21"/>
          <w:position w:val="0"/>
          <w:sz w:val="24"/>
          <w:szCs w:val="24"/>
          <w:highlight w:val="none"/>
          <w:lang w:val="en-US" w:eastAsia="zh-CN"/>
        </w:rPr>
        <w:t>一、</w:t>
      </w:r>
      <w:r>
        <w:rPr>
          <w:rFonts w:hint="default" w:ascii="Times New Roman" w:hAnsi="Times New Roman" w:eastAsia="宋体" w:cs="Times New Roman"/>
          <w:b/>
          <w:bCs/>
          <w:color w:val="auto"/>
          <w:spacing w:val="0"/>
          <w:w w:val="100"/>
          <w:kern w:val="21"/>
          <w:position w:val="0"/>
          <w:sz w:val="24"/>
          <w:szCs w:val="24"/>
          <w:highlight w:val="none"/>
        </w:rPr>
        <w:t>项目概况与招标范围</w:t>
      </w:r>
    </w:p>
    <w:p>
      <w:pPr>
        <w:keepNext w:val="0"/>
        <w:keepLines w:val="0"/>
        <w:pageBreakBefore w:val="0"/>
        <w:kinsoku/>
        <w:wordWrap/>
        <w:overflowPunct/>
        <w:topLinePunct w:val="0"/>
        <w:bidi w:val="0"/>
        <w:snapToGrid/>
        <w:spacing w:line="360" w:lineRule="auto"/>
        <w:ind w:firstLine="420" w:firstLineChars="200"/>
        <w:jc w:val="both"/>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default" w:ascii="宋体" w:hAnsi="宋体" w:eastAsia="宋体" w:cs="宋体"/>
          <w:caps w:val="0"/>
          <w:smallCaps w:val="0"/>
          <w:color w:val="auto"/>
          <w:spacing w:val="0"/>
          <w:w w:val="100"/>
          <w:position w:val="0"/>
          <w:sz w:val="21"/>
          <w:szCs w:val="21"/>
          <w:highlight w:val="none"/>
          <w:lang w:val="en-US" w:eastAsia="zh-CN"/>
        </w:rPr>
        <w:t>1、项目规模：山西太长高速公路有限责任公司2023年度路面、路基、桥梁、隧道、交通安全设施及沿线景观绿化工程等养护工程的勘察设计服务。</w:t>
      </w:r>
    </w:p>
    <w:p>
      <w:pPr>
        <w:keepNext w:val="0"/>
        <w:keepLines w:val="0"/>
        <w:pageBreakBefore w:val="0"/>
        <w:kinsoku/>
        <w:wordWrap/>
        <w:overflowPunct/>
        <w:topLinePunct w:val="0"/>
        <w:bidi w:val="0"/>
        <w:snapToGrid/>
        <w:spacing w:line="360" w:lineRule="auto"/>
        <w:ind w:firstLine="420" w:firstLineChars="200"/>
        <w:jc w:val="both"/>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default" w:ascii="宋体" w:hAnsi="宋体" w:eastAsia="宋体" w:cs="宋体"/>
          <w:caps w:val="0"/>
          <w:smallCaps w:val="0"/>
          <w:color w:val="auto"/>
          <w:spacing w:val="0"/>
          <w:w w:val="100"/>
          <w:position w:val="0"/>
          <w:sz w:val="21"/>
          <w:szCs w:val="21"/>
          <w:highlight w:val="none"/>
          <w:lang w:val="en-US" w:eastAsia="zh-CN"/>
        </w:rPr>
        <w:t>2、招标内容与范围：本招标项目划分为2个标包，内容包括：根据招标人实际委托，按照现行规范，开展现场勘察并编制施工图设计及预算、方案设计及预算、工程量清单、施工技术规范，提供施工期间的后续服务等（包括施工招标配合服务和施工现场配合服务）工作；</w:t>
      </w:r>
    </w:p>
    <w:tbl>
      <w:tblPr>
        <w:tblStyle w:val="12"/>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3618"/>
        <w:gridCol w:w="4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894" w:type="dxa"/>
          </w:tcPr>
          <w:p>
            <w:pPr>
              <w:keepNext w:val="0"/>
              <w:keepLines w:val="0"/>
              <w:pageBreakBefore w:val="0"/>
              <w:kinsoku/>
              <w:wordWrap/>
              <w:overflowPunct/>
              <w:topLinePunct w:val="0"/>
              <w:bidi w:val="0"/>
              <w:snapToGrid/>
              <w:spacing w:line="360" w:lineRule="auto"/>
              <w:jc w:val="center"/>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default" w:ascii="宋体" w:hAnsi="宋体" w:eastAsia="宋体" w:cs="宋体"/>
                <w:caps w:val="0"/>
                <w:smallCaps w:val="0"/>
                <w:color w:val="auto"/>
                <w:spacing w:val="0"/>
                <w:w w:val="100"/>
                <w:position w:val="0"/>
                <w:sz w:val="21"/>
                <w:szCs w:val="21"/>
                <w:highlight w:val="none"/>
                <w:lang w:val="en-US" w:eastAsia="zh-CN"/>
              </w:rPr>
              <w:t>标包</w:t>
            </w:r>
          </w:p>
        </w:tc>
        <w:tc>
          <w:tcPr>
            <w:tcW w:w="3618" w:type="dxa"/>
          </w:tcPr>
          <w:p>
            <w:pPr>
              <w:keepNext w:val="0"/>
              <w:keepLines w:val="0"/>
              <w:pageBreakBefore w:val="0"/>
              <w:kinsoku/>
              <w:wordWrap/>
              <w:overflowPunct/>
              <w:topLinePunct w:val="0"/>
              <w:bidi w:val="0"/>
              <w:snapToGrid/>
              <w:spacing w:line="360" w:lineRule="auto"/>
              <w:jc w:val="center"/>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default" w:ascii="宋体" w:hAnsi="宋体" w:eastAsia="宋体" w:cs="宋体"/>
                <w:caps w:val="0"/>
                <w:smallCaps w:val="0"/>
                <w:color w:val="auto"/>
                <w:spacing w:val="0"/>
                <w:w w:val="100"/>
                <w:position w:val="0"/>
                <w:sz w:val="21"/>
                <w:szCs w:val="21"/>
                <w:highlight w:val="none"/>
                <w:lang w:val="en-US" w:eastAsia="zh-CN"/>
              </w:rPr>
              <w:t>项目名称</w:t>
            </w:r>
          </w:p>
        </w:tc>
        <w:tc>
          <w:tcPr>
            <w:tcW w:w="4168" w:type="dxa"/>
          </w:tcPr>
          <w:p>
            <w:pPr>
              <w:keepNext w:val="0"/>
              <w:keepLines w:val="0"/>
              <w:pageBreakBefore w:val="0"/>
              <w:kinsoku/>
              <w:wordWrap/>
              <w:overflowPunct/>
              <w:topLinePunct w:val="0"/>
              <w:bidi w:val="0"/>
              <w:snapToGrid/>
              <w:spacing w:line="360" w:lineRule="auto"/>
              <w:jc w:val="center"/>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default" w:ascii="宋体" w:hAnsi="宋体" w:eastAsia="宋体" w:cs="宋体"/>
                <w:caps w:val="0"/>
                <w:smallCaps w:val="0"/>
                <w:color w:val="auto"/>
                <w:spacing w:val="0"/>
                <w:w w:val="100"/>
                <w:position w:val="0"/>
                <w:sz w:val="21"/>
                <w:szCs w:val="21"/>
                <w:highlight w:val="none"/>
                <w:lang w:val="en-US" w:eastAsia="zh-CN"/>
              </w:rPr>
              <w:t>桩号范围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94" w:type="dxa"/>
            <w:vAlign w:val="center"/>
          </w:tcPr>
          <w:p>
            <w:pPr>
              <w:keepNext w:val="0"/>
              <w:keepLines w:val="0"/>
              <w:pageBreakBefore w:val="0"/>
              <w:kinsoku/>
              <w:wordWrap/>
              <w:overflowPunct/>
              <w:topLinePunct w:val="0"/>
              <w:bidi w:val="0"/>
              <w:snapToGrid/>
              <w:spacing w:line="360" w:lineRule="auto"/>
              <w:jc w:val="center"/>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default" w:ascii="宋体" w:hAnsi="宋体" w:eastAsia="宋体" w:cs="宋体"/>
                <w:caps w:val="0"/>
                <w:smallCaps w:val="0"/>
                <w:color w:val="auto"/>
                <w:spacing w:val="0"/>
                <w:w w:val="100"/>
                <w:position w:val="0"/>
                <w:sz w:val="21"/>
                <w:szCs w:val="21"/>
                <w:highlight w:val="none"/>
                <w:lang w:val="en-US" w:eastAsia="zh-CN"/>
              </w:rPr>
              <w:t>001</w:t>
            </w:r>
          </w:p>
        </w:tc>
        <w:tc>
          <w:tcPr>
            <w:tcW w:w="3618" w:type="dxa"/>
            <w:vAlign w:val="center"/>
          </w:tcPr>
          <w:p>
            <w:pPr>
              <w:keepNext w:val="0"/>
              <w:keepLines w:val="0"/>
              <w:pageBreakBefore w:val="0"/>
              <w:kinsoku/>
              <w:wordWrap/>
              <w:overflowPunct/>
              <w:topLinePunct w:val="0"/>
              <w:bidi w:val="0"/>
              <w:snapToGrid/>
              <w:spacing w:line="360" w:lineRule="auto"/>
              <w:jc w:val="center"/>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default" w:ascii="宋体" w:hAnsi="宋体" w:eastAsia="宋体" w:cs="宋体"/>
                <w:caps w:val="0"/>
                <w:smallCaps w:val="0"/>
                <w:color w:val="auto"/>
                <w:spacing w:val="0"/>
                <w:w w:val="100"/>
                <w:position w:val="0"/>
                <w:sz w:val="21"/>
                <w:szCs w:val="21"/>
                <w:highlight w:val="none"/>
                <w:lang w:val="en-US" w:eastAsia="zh-CN"/>
              </w:rPr>
              <w:t>太原-武乡段养护工程设计服务</w:t>
            </w:r>
          </w:p>
        </w:tc>
        <w:tc>
          <w:tcPr>
            <w:tcW w:w="4168" w:type="dxa"/>
            <w:vAlign w:val="center"/>
          </w:tcPr>
          <w:p>
            <w:pPr>
              <w:keepNext w:val="0"/>
              <w:keepLines w:val="0"/>
              <w:pageBreakBefore w:val="0"/>
              <w:kinsoku/>
              <w:wordWrap/>
              <w:overflowPunct/>
              <w:topLinePunct w:val="0"/>
              <w:bidi w:val="0"/>
              <w:snapToGrid/>
              <w:spacing w:line="360" w:lineRule="auto"/>
              <w:jc w:val="center"/>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default" w:ascii="宋体" w:hAnsi="宋体" w:eastAsia="宋体" w:cs="宋体"/>
                <w:caps w:val="0"/>
                <w:smallCaps w:val="0"/>
                <w:color w:val="auto"/>
                <w:spacing w:val="0"/>
                <w:w w:val="100"/>
                <w:position w:val="0"/>
                <w:sz w:val="21"/>
                <w:szCs w:val="21"/>
                <w:highlight w:val="none"/>
                <w:lang w:val="en-US" w:eastAsia="zh-CN"/>
              </w:rPr>
              <w:t>G55 K773+210-K887+350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894" w:type="dxa"/>
            <w:vAlign w:val="center"/>
          </w:tcPr>
          <w:p>
            <w:pPr>
              <w:keepNext w:val="0"/>
              <w:keepLines w:val="0"/>
              <w:pageBreakBefore w:val="0"/>
              <w:kinsoku/>
              <w:wordWrap/>
              <w:overflowPunct/>
              <w:topLinePunct w:val="0"/>
              <w:bidi w:val="0"/>
              <w:snapToGrid/>
              <w:spacing w:line="360" w:lineRule="auto"/>
              <w:jc w:val="center"/>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default" w:ascii="宋体" w:hAnsi="宋体" w:eastAsia="宋体" w:cs="宋体"/>
                <w:caps w:val="0"/>
                <w:smallCaps w:val="0"/>
                <w:color w:val="auto"/>
                <w:spacing w:val="0"/>
                <w:w w:val="100"/>
                <w:position w:val="0"/>
                <w:sz w:val="21"/>
                <w:szCs w:val="21"/>
                <w:highlight w:val="none"/>
                <w:lang w:val="en-US" w:eastAsia="zh-CN"/>
              </w:rPr>
              <w:t>002</w:t>
            </w:r>
          </w:p>
        </w:tc>
        <w:tc>
          <w:tcPr>
            <w:tcW w:w="3618" w:type="dxa"/>
            <w:vAlign w:val="center"/>
          </w:tcPr>
          <w:p>
            <w:pPr>
              <w:keepNext w:val="0"/>
              <w:keepLines w:val="0"/>
              <w:pageBreakBefore w:val="0"/>
              <w:kinsoku/>
              <w:wordWrap/>
              <w:overflowPunct/>
              <w:topLinePunct w:val="0"/>
              <w:bidi w:val="0"/>
              <w:snapToGrid/>
              <w:spacing w:line="360" w:lineRule="auto"/>
              <w:jc w:val="center"/>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default" w:ascii="宋体" w:hAnsi="宋体" w:eastAsia="宋体" w:cs="宋体"/>
                <w:caps w:val="0"/>
                <w:smallCaps w:val="0"/>
                <w:color w:val="auto"/>
                <w:spacing w:val="0"/>
                <w:w w:val="100"/>
                <w:position w:val="0"/>
                <w:sz w:val="21"/>
                <w:szCs w:val="21"/>
                <w:highlight w:val="none"/>
                <w:lang w:val="en-US" w:eastAsia="zh-CN"/>
              </w:rPr>
              <w:t>武乡-长治段养护工程设计服务</w:t>
            </w:r>
          </w:p>
        </w:tc>
        <w:tc>
          <w:tcPr>
            <w:tcW w:w="4168" w:type="dxa"/>
            <w:vAlign w:val="center"/>
          </w:tcPr>
          <w:p>
            <w:pPr>
              <w:keepNext w:val="0"/>
              <w:keepLines w:val="0"/>
              <w:pageBreakBefore w:val="0"/>
              <w:kinsoku/>
              <w:wordWrap/>
              <w:overflowPunct/>
              <w:topLinePunct w:val="0"/>
              <w:bidi w:val="0"/>
              <w:snapToGrid/>
              <w:spacing w:line="360" w:lineRule="auto"/>
              <w:jc w:val="center"/>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default" w:ascii="宋体" w:hAnsi="宋体" w:eastAsia="宋体" w:cs="宋体"/>
                <w:caps w:val="0"/>
                <w:smallCaps w:val="0"/>
                <w:color w:val="auto"/>
                <w:spacing w:val="0"/>
                <w:w w:val="100"/>
                <w:position w:val="0"/>
                <w:sz w:val="21"/>
                <w:szCs w:val="21"/>
                <w:highlight w:val="none"/>
                <w:lang w:val="en-US" w:eastAsia="zh-CN"/>
              </w:rPr>
              <w:t>G55 K887+350-K964.555</w:t>
            </w:r>
          </w:p>
          <w:p>
            <w:pPr>
              <w:keepNext w:val="0"/>
              <w:keepLines w:val="0"/>
              <w:pageBreakBefore w:val="0"/>
              <w:kinsoku/>
              <w:wordWrap/>
              <w:overflowPunct/>
              <w:topLinePunct w:val="0"/>
              <w:bidi w:val="0"/>
              <w:snapToGrid/>
              <w:spacing w:line="360" w:lineRule="auto"/>
              <w:jc w:val="center"/>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default" w:ascii="宋体" w:hAnsi="宋体" w:eastAsia="宋体" w:cs="宋体"/>
                <w:caps w:val="0"/>
                <w:smallCaps w:val="0"/>
                <w:color w:val="auto"/>
                <w:spacing w:val="0"/>
                <w:w w:val="100"/>
                <w:position w:val="0"/>
                <w:sz w:val="21"/>
                <w:szCs w:val="21"/>
                <w:highlight w:val="none"/>
                <w:lang w:val="en-US" w:eastAsia="zh-CN"/>
              </w:rPr>
              <w:t>G22 K786+526-K798+569</w:t>
            </w:r>
          </w:p>
        </w:tc>
      </w:tr>
    </w:tbl>
    <w:p>
      <w:pPr>
        <w:keepNext w:val="0"/>
        <w:keepLines w:val="0"/>
        <w:pageBreakBefore w:val="0"/>
        <w:kinsoku/>
        <w:wordWrap/>
        <w:overflowPunct/>
        <w:topLinePunct w:val="0"/>
        <w:bidi w:val="0"/>
        <w:snapToGrid/>
        <w:spacing w:line="360" w:lineRule="auto"/>
        <w:ind w:firstLine="420" w:firstLineChars="200"/>
        <w:jc w:val="both"/>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default" w:ascii="宋体" w:hAnsi="宋体" w:eastAsia="宋体" w:cs="宋体"/>
          <w:caps w:val="0"/>
          <w:smallCaps w:val="0"/>
          <w:color w:val="auto"/>
          <w:spacing w:val="0"/>
          <w:w w:val="100"/>
          <w:position w:val="0"/>
          <w:sz w:val="21"/>
          <w:szCs w:val="21"/>
          <w:highlight w:val="none"/>
          <w:lang w:val="en-US" w:eastAsia="zh-CN"/>
        </w:rPr>
        <w:t>3、服务周期：365日历天（若个别工程项目建设工期超出服务期限以合同约定为主）。</w:t>
      </w:r>
    </w:p>
    <w:p>
      <w:pPr>
        <w:keepNext w:val="0"/>
        <w:keepLines w:val="0"/>
        <w:pageBreakBefore w:val="0"/>
        <w:kinsoku/>
        <w:wordWrap/>
        <w:overflowPunct/>
        <w:topLinePunct w:val="0"/>
        <w:bidi w:val="0"/>
        <w:snapToGrid/>
        <w:spacing w:line="360" w:lineRule="auto"/>
        <w:ind w:firstLine="420" w:firstLineChars="200"/>
        <w:jc w:val="both"/>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default" w:ascii="宋体" w:hAnsi="宋体" w:eastAsia="宋体" w:cs="宋体"/>
          <w:caps w:val="0"/>
          <w:smallCaps w:val="0"/>
          <w:color w:val="auto"/>
          <w:spacing w:val="0"/>
          <w:w w:val="100"/>
          <w:position w:val="0"/>
          <w:sz w:val="21"/>
          <w:szCs w:val="21"/>
          <w:highlight w:val="none"/>
          <w:lang w:val="en-US" w:eastAsia="zh-CN"/>
        </w:rPr>
        <w:t>4、质量要求：满足国家行业标准和山西交投集团相关要求。</w:t>
      </w:r>
    </w:p>
    <w:p>
      <w:pPr>
        <w:pStyle w:val="2"/>
        <w:keepNext w:val="0"/>
        <w:keepLines w:val="0"/>
        <w:pageBreakBefore w:val="0"/>
        <w:widowControl w:val="0"/>
        <w:numPr>
          <w:ilvl w:val="0"/>
          <w:numId w:val="0"/>
        </w:numPr>
        <w:tabs>
          <w:tab w:val="left" w:pos="1709"/>
        </w:tabs>
        <w:kinsoku w:val="0"/>
        <w:wordWrap/>
        <w:overflowPunct w:val="0"/>
        <w:topLinePunct w:val="0"/>
        <w:autoSpaceDE w:val="0"/>
        <w:autoSpaceDN w:val="0"/>
        <w:bidi w:val="0"/>
        <w:adjustRightInd w:val="0"/>
        <w:snapToGrid/>
        <w:spacing w:before="26" w:line="360" w:lineRule="auto"/>
        <w:ind w:right="0" w:rightChars="0"/>
        <w:jc w:val="left"/>
        <w:textAlignment w:val="auto"/>
        <w:outlineLvl w:val="9"/>
        <w:rPr>
          <w:rFonts w:hint="default" w:ascii="Times New Roman" w:hAnsi="Times New Roman" w:eastAsia="宋体" w:cs="Times New Roman"/>
          <w:b/>
          <w:bCs/>
          <w:color w:val="auto"/>
          <w:spacing w:val="0"/>
          <w:w w:val="100"/>
          <w:kern w:val="21"/>
          <w:position w:val="0"/>
          <w:sz w:val="24"/>
          <w:szCs w:val="24"/>
          <w:highlight w:val="none"/>
        </w:rPr>
      </w:pPr>
      <w:r>
        <w:rPr>
          <w:rFonts w:hint="default" w:ascii="Times New Roman" w:hAnsi="Times New Roman" w:cs="Times New Roman"/>
          <w:b/>
          <w:bCs/>
          <w:color w:val="auto"/>
          <w:spacing w:val="0"/>
          <w:w w:val="100"/>
          <w:kern w:val="21"/>
          <w:position w:val="0"/>
          <w:sz w:val="24"/>
          <w:szCs w:val="24"/>
          <w:highlight w:val="none"/>
          <w:lang w:val="en-US" w:eastAsia="zh-CN"/>
        </w:rPr>
        <w:t>二、</w:t>
      </w:r>
      <w:r>
        <w:rPr>
          <w:rFonts w:hint="default" w:ascii="Times New Roman" w:hAnsi="Times New Roman" w:eastAsia="宋体" w:cs="Times New Roman"/>
          <w:b/>
          <w:bCs/>
          <w:color w:val="auto"/>
          <w:spacing w:val="0"/>
          <w:w w:val="100"/>
          <w:kern w:val="21"/>
          <w:position w:val="0"/>
          <w:sz w:val="24"/>
          <w:szCs w:val="24"/>
          <w:highlight w:val="none"/>
        </w:rPr>
        <w:t>投标人资格要求</w:t>
      </w:r>
    </w:p>
    <w:p>
      <w:pPr>
        <w:keepNext w:val="0"/>
        <w:keepLines w:val="0"/>
        <w:pageBreakBefore w:val="0"/>
        <w:kinsoku/>
        <w:wordWrap/>
        <w:overflowPunct/>
        <w:topLinePunct w:val="0"/>
        <w:bidi w:val="0"/>
        <w:snapToGrid/>
        <w:spacing w:line="360" w:lineRule="auto"/>
        <w:ind w:firstLine="420" w:firstLineChars="200"/>
        <w:jc w:val="both"/>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001标包、002标包</w:t>
      </w:r>
    </w:p>
    <w:p>
      <w:pPr>
        <w:keepNext w:val="0"/>
        <w:keepLines w:val="0"/>
        <w:pageBreakBefore w:val="0"/>
        <w:kinsoku/>
        <w:wordWrap/>
        <w:overflowPunct/>
        <w:topLinePunct w:val="0"/>
        <w:bidi w:val="0"/>
        <w:snapToGrid/>
        <w:spacing w:line="360" w:lineRule="auto"/>
        <w:ind w:firstLine="420" w:firstLineChars="200"/>
        <w:jc w:val="both"/>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2.1、资质要求：本次招标要求投标人是在中国境内合法注册，营业执照合法有效，并具有建设行政主管部门颁发的工程勘察专业资质（岩土工程（勘察）、工程测量）甲级和公路行业（公路）专业设计甲级及以上资质。</w:t>
      </w:r>
    </w:p>
    <w:p>
      <w:pPr>
        <w:keepNext w:val="0"/>
        <w:keepLines w:val="0"/>
        <w:pageBreakBefore w:val="0"/>
        <w:kinsoku/>
        <w:wordWrap/>
        <w:overflowPunct/>
        <w:topLinePunct w:val="0"/>
        <w:bidi w:val="0"/>
        <w:snapToGrid/>
        <w:spacing w:line="360" w:lineRule="auto"/>
        <w:ind w:firstLine="420" w:firstLineChars="200"/>
        <w:jc w:val="both"/>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投标人应进入交通运输部“全国公路建设市场信用信息管理系统（http://glxy.gov.cn）”中的公路工程设计资质企业名录，且投标人名称和资质与该名录中的相应企业名称和资质完全一致。</w:t>
      </w:r>
    </w:p>
    <w:p>
      <w:pPr>
        <w:keepNext w:val="0"/>
        <w:keepLines w:val="0"/>
        <w:pageBreakBefore w:val="0"/>
        <w:kinsoku/>
        <w:wordWrap/>
        <w:overflowPunct/>
        <w:topLinePunct w:val="0"/>
        <w:bidi w:val="0"/>
        <w:snapToGrid/>
        <w:spacing w:line="360" w:lineRule="auto"/>
        <w:ind w:firstLine="420" w:firstLineChars="200"/>
        <w:jc w:val="both"/>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2.2、业绩要求：投标人近五年（2018年1月1日至投标文件递交截止日，以合同协议书签订时间为准）至少有1项新建（改扩建）高速公路工程或高速公路养护工程设计工作。</w:t>
      </w:r>
    </w:p>
    <w:p>
      <w:pPr>
        <w:keepNext w:val="0"/>
        <w:keepLines w:val="0"/>
        <w:pageBreakBefore w:val="0"/>
        <w:kinsoku/>
        <w:wordWrap/>
        <w:overflowPunct/>
        <w:topLinePunct w:val="0"/>
        <w:bidi w:val="0"/>
        <w:snapToGrid/>
        <w:spacing w:line="360" w:lineRule="auto"/>
        <w:ind w:firstLine="420" w:firstLineChars="200"/>
        <w:jc w:val="both"/>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2.3、主要人员要求：拟任项目负责人须具有高级工程师及以上职称（公路工程相关专业），作为项目负责人近五年(2018年1月1日至投标文件递交截止日，以合同协议书签订时间为准)至少有1项新建（改扩建）高速公路工程或高速公路养护工程设计工作。</w:t>
      </w:r>
    </w:p>
    <w:p>
      <w:pPr>
        <w:keepNext w:val="0"/>
        <w:keepLines w:val="0"/>
        <w:pageBreakBefore w:val="0"/>
        <w:kinsoku/>
        <w:wordWrap/>
        <w:overflowPunct/>
        <w:topLinePunct w:val="0"/>
        <w:bidi w:val="0"/>
        <w:snapToGrid/>
        <w:spacing w:line="360" w:lineRule="auto"/>
        <w:ind w:firstLine="420" w:firstLineChars="200"/>
        <w:jc w:val="both"/>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2.4、财务要求：投标人在2021年度或2022年度的年末流动资产与流动负债比大于1。</w:t>
      </w:r>
    </w:p>
    <w:p>
      <w:pPr>
        <w:keepNext w:val="0"/>
        <w:keepLines w:val="0"/>
        <w:pageBreakBefore w:val="0"/>
        <w:kinsoku/>
        <w:wordWrap/>
        <w:overflowPunct/>
        <w:topLinePunct w:val="0"/>
        <w:bidi w:val="0"/>
        <w:snapToGrid/>
        <w:spacing w:line="360" w:lineRule="auto"/>
        <w:ind w:firstLine="420" w:firstLineChars="200"/>
        <w:jc w:val="both"/>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 xml:space="preserve">2.5、投标人具有下列情况之一的，不得同时参与加本项目同一标包的投标，否则相关投标均无效。 </w:t>
      </w:r>
    </w:p>
    <w:p>
      <w:pPr>
        <w:keepNext w:val="0"/>
        <w:keepLines w:val="0"/>
        <w:pageBreakBefore w:val="0"/>
        <w:kinsoku/>
        <w:wordWrap/>
        <w:overflowPunct/>
        <w:topLinePunct w:val="0"/>
        <w:bidi w:val="0"/>
        <w:snapToGrid/>
        <w:spacing w:line="360" w:lineRule="auto"/>
        <w:ind w:firstLine="420" w:firstLineChars="200"/>
        <w:jc w:val="both"/>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 xml:space="preserve">（一）单位负责人为同一人或者存在控股、管理关系的不同单位； </w:t>
      </w:r>
    </w:p>
    <w:p>
      <w:pPr>
        <w:keepNext w:val="0"/>
        <w:keepLines w:val="0"/>
        <w:pageBreakBefore w:val="0"/>
        <w:kinsoku/>
        <w:wordWrap/>
        <w:overflowPunct/>
        <w:topLinePunct w:val="0"/>
        <w:bidi w:val="0"/>
        <w:snapToGrid/>
        <w:spacing w:line="360" w:lineRule="auto"/>
        <w:ind w:firstLine="420" w:firstLineChars="200"/>
        <w:jc w:val="both"/>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 xml:space="preserve">（二）具有投资参股关系的关联企业； </w:t>
      </w:r>
    </w:p>
    <w:p>
      <w:pPr>
        <w:keepNext w:val="0"/>
        <w:keepLines w:val="0"/>
        <w:pageBreakBefore w:val="0"/>
        <w:kinsoku/>
        <w:wordWrap/>
        <w:overflowPunct/>
        <w:topLinePunct w:val="0"/>
        <w:bidi w:val="0"/>
        <w:snapToGrid/>
        <w:spacing w:line="360" w:lineRule="auto"/>
        <w:ind w:firstLine="420" w:firstLineChars="200"/>
        <w:jc w:val="both"/>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 xml:space="preserve">（三）董事、监事、总经理、副总经理和财务负责人相互兼职的关联企业。  </w:t>
      </w:r>
    </w:p>
    <w:p>
      <w:pPr>
        <w:keepNext w:val="0"/>
        <w:keepLines w:val="0"/>
        <w:pageBreakBefore w:val="0"/>
        <w:kinsoku/>
        <w:wordWrap/>
        <w:overflowPunct/>
        <w:topLinePunct w:val="0"/>
        <w:bidi w:val="0"/>
        <w:snapToGrid/>
        <w:spacing w:line="360" w:lineRule="auto"/>
        <w:ind w:firstLine="420" w:firstLineChars="200"/>
        <w:jc w:val="both"/>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 xml:space="preserve">2.6、投标人及其法定代表人、拟担任项目负责人近三年内（2020年1月1日至今）无行贿犯罪记录。 </w:t>
      </w:r>
    </w:p>
    <w:p>
      <w:pPr>
        <w:keepNext w:val="0"/>
        <w:keepLines w:val="0"/>
        <w:pageBreakBefore w:val="0"/>
        <w:kinsoku/>
        <w:wordWrap/>
        <w:overflowPunct/>
        <w:topLinePunct w:val="0"/>
        <w:bidi w:val="0"/>
        <w:snapToGrid/>
        <w:spacing w:line="360" w:lineRule="auto"/>
        <w:ind w:firstLine="420" w:firstLineChars="200"/>
        <w:jc w:val="both"/>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 xml:space="preserve">2.7、投标人在“信用中国”网站平台中未被列入“严重失信主体”名单的。 </w:t>
      </w:r>
    </w:p>
    <w:p>
      <w:pPr>
        <w:keepNext w:val="0"/>
        <w:keepLines w:val="0"/>
        <w:pageBreakBefore w:val="0"/>
        <w:kinsoku/>
        <w:wordWrap/>
        <w:overflowPunct/>
        <w:topLinePunct w:val="0"/>
        <w:bidi w:val="0"/>
        <w:snapToGrid/>
        <w:spacing w:line="360" w:lineRule="auto"/>
        <w:ind w:firstLine="420" w:firstLineChars="200"/>
        <w:jc w:val="both"/>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2.8、投标人在“国家企业信用信息公示系统”中未被列入“列入严重违法失信企业名单（黑名单）信息”。</w:t>
      </w:r>
    </w:p>
    <w:p>
      <w:pPr>
        <w:keepNext w:val="0"/>
        <w:keepLines w:val="0"/>
        <w:pageBreakBefore w:val="0"/>
        <w:kinsoku/>
        <w:wordWrap/>
        <w:overflowPunct/>
        <w:topLinePunct w:val="0"/>
        <w:bidi w:val="0"/>
        <w:snapToGrid/>
        <w:spacing w:line="360" w:lineRule="auto"/>
        <w:ind w:firstLine="420" w:firstLineChars="200"/>
        <w:jc w:val="both"/>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2.9、凡被交通运输部或山西省交通运输厅取消或暂停投标资格或被山西省交通运输厅最新信用评价为D级的企业，在处罚期内无资格参与本项目的投标。</w:t>
      </w:r>
    </w:p>
    <w:p>
      <w:pPr>
        <w:keepNext w:val="0"/>
        <w:keepLines w:val="0"/>
        <w:pageBreakBefore w:val="0"/>
        <w:kinsoku/>
        <w:wordWrap/>
        <w:overflowPunct/>
        <w:topLinePunct w:val="0"/>
        <w:bidi w:val="0"/>
        <w:snapToGrid/>
        <w:spacing w:line="360" w:lineRule="auto"/>
        <w:ind w:firstLine="420" w:firstLineChars="200"/>
        <w:jc w:val="both"/>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2.10、本次招标不接受联合体投标。</w:t>
      </w:r>
    </w:p>
    <w:p>
      <w:pPr>
        <w:keepNext w:val="0"/>
        <w:keepLines w:val="0"/>
        <w:pageBreakBefore w:val="0"/>
        <w:kinsoku/>
        <w:wordWrap/>
        <w:overflowPunct/>
        <w:topLinePunct w:val="0"/>
        <w:bidi w:val="0"/>
        <w:snapToGrid/>
        <w:spacing w:line="360" w:lineRule="auto"/>
        <w:ind w:firstLine="420" w:firstLineChars="200"/>
        <w:jc w:val="both"/>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2.11、投标人仅可以对本项目一个标包报名并递交投标文件。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b/>
          <w:bCs/>
          <w:color w:val="auto"/>
          <w:spacing w:val="0"/>
          <w:w w:val="100"/>
          <w:kern w:val="21"/>
          <w:position w:val="0"/>
          <w:sz w:val="24"/>
          <w:szCs w:val="24"/>
          <w:highlight w:val="none"/>
          <w:lang w:val="en-US" w:eastAsia="zh-CN"/>
        </w:rPr>
      </w:pPr>
      <w:r>
        <w:rPr>
          <w:rFonts w:hint="default" w:ascii="Times New Roman" w:hAnsi="Times New Roman" w:cs="Times New Roman"/>
          <w:b/>
          <w:bCs/>
          <w:color w:val="auto"/>
          <w:spacing w:val="0"/>
          <w:w w:val="100"/>
          <w:kern w:val="21"/>
          <w:position w:val="0"/>
          <w:sz w:val="24"/>
          <w:szCs w:val="24"/>
          <w:highlight w:val="none"/>
          <w:lang w:val="en-US" w:eastAsia="zh-CN"/>
        </w:rPr>
        <w:br w:type="page"/>
      </w:r>
    </w:p>
    <w:p>
      <w:pPr>
        <w:pStyle w:val="2"/>
        <w:keepNext w:val="0"/>
        <w:keepLines w:val="0"/>
        <w:pageBreakBefore w:val="0"/>
        <w:widowControl w:val="0"/>
        <w:numPr>
          <w:ilvl w:val="0"/>
          <w:numId w:val="0"/>
        </w:numPr>
        <w:tabs>
          <w:tab w:val="left" w:pos="1709"/>
        </w:tabs>
        <w:kinsoku w:val="0"/>
        <w:wordWrap/>
        <w:overflowPunct w:val="0"/>
        <w:topLinePunct w:val="0"/>
        <w:autoSpaceDE w:val="0"/>
        <w:autoSpaceDN w:val="0"/>
        <w:bidi w:val="0"/>
        <w:adjustRightInd w:val="0"/>
        <w:snapToGrid/>
        <w:spacing w:before="26" w:line="360" w:lineRule="auto"/>
        <w:ind w:right="0" w:rightChars="0"/>
        <w:jc w:val="left"/>
        <w:textAlignment w:val="auto"/>
        <w:outlineLvl w:val="9"/>
        <w:rPr>
          <w:rFonts w:hint="default" w:ascii="Times New Roman" w:hAnsi="Times New Roman" w:eastAsia="宋体" w:cs="Times New Roman"/>
          <w:b/>
          <w:bCs/>
          <w:color w:val="auto"/>
          <w:spacing w:val="0"/>
          <w:w w:val="100"/>
          <w:kern w:val="21"/>
          <w:position w:val="0"/>
          <w:sz w:val="24"/>
          <w:szCs w:val="24"/>
          <w:highlight w:val="none"/>
          <w:lang w:val="en-US" w:eastAsia="zh-CN"/>
        </w:rPr>
      </w:pPr>
      <w:bookmarkStart w:id="0" w:name="_Toc26872"/>
      <w:r>
        <w:rPr>
          <w:rFonts w:hint="eastAsia" w:ascii="Times New Roman" w:hAnsi="Times New Roman" w:eastAsia="宋体" w:cs="Times New Roman"/>
          <w:b/>
          <w:bCs/>
          <w:color w:val="auto"/>
          <w:spacing w:val="0"/>
          <w:w w:val="100"/>
          <w:kern w:val="21"/>
          <w:position w:val="0"/>
          <w:sz w:val="24"/>
          <w:szCs w:val="24"/>
          <w:highlight w:val="none"/>
          <w:lang w:val="en-US" w:eastAsia="zh-CN"/>
        </w:rPr>
        <w:t>三、评标办法（综合评分法）</w:t>
      </w:r>
      <w:bookmarkEnd w:id="0"/>
    </w:p>
    <w:p>
      <w:pPr>
        <w:spacing w:before="224" w:line="237" w:lineRule="auto"/>
        <w:ind w:firstLine="121"/>
        <w:rPr>
          <w:rFonts w:ascii="宋体" w:hAnsi="宋体" w:eastAsia="宋体" w:cs="宋体"/>
          <w:color w:val="auto"/>
          <w:sz w:val="15"/>
          <w:szCs w:val="15"/>
          <w:highlight w:val="none"/>
        </w:rPr>
      </w:pPr>
      <w:r>
        <w:rPr>
          <w:rFonts w:hint="eastAsia" w:ascii="宋体" w:hAnsi="宋体" w:eastAsia="宋体" w:cs="宋体"/>
          <w:color w:val="auto"/>
          <w:spacing w:val="-1"/>
          <w:sz w:val="24"/>
          <w:szCs w:val="24"/>
          <w:highlight w:val="none"/>
        </w:rPr>
        <w:t>评标办法前附表</w:t>
      </w:r>
    </w:p>
    <w:p>
      <w:pPr>
        <w:spacing w:line="94" w:lineRule="auto"/>
        <w:rPr>
          <w:rFonts w:ascii="宋体" w:hAnsi="宋体" w:eastAsia="宋体" w:cs="宋体"/>
          <w:color w:val="auto"/>
          <w:sz w:val="2"/>
          <w:highlight w:val="none"/>
        </w:rPr>
      </w:pPr>
    </w:p>
    <w:tbl>
      <w:tblPr>
        <w:tblStyle w:val="20"/>
        <w:tblW w:w="929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9"/>
        <w:gridCol w:w="1214"/>
        <w:gridCol w:w="71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jc w:val="center"/>
        </w:trPr>
        <w:tc>
          <w:tcPr>
            <w:tcW w:w="2183" w:type="dxa"/>
            <w:gridSpan w:val="2"/>
          </w:tcPr>
          <w:p>
            <w:pPr>
              <w:spacing w:before="126" w:line="234" w:lineRule="auto"/>
              <w:ind w:firstLine="619"/>
              <w:rPr>
                <w:rFonts w:ascii="宋体" w:hAnsi="宋体" w:eastAsia="宋体" w:cs="宋体"/>
                <w:color w:val="auto"/>
                <w:highlight w:val="none"/>
              </w:rPr>
            </w:pPr>
            <w:r>
              <w:rPr>
                <w:rFonts w:hint="eastAsia" w:ascii="宋体" w:hAnsi="宋体" w:eastAsia="宋体" w:cs="宋体"/>
                <w:color w:val="auto"/>
                <w:spacing w:val="-1"/>
                <w:highlight w:val="none"/>
              </w:rPr>
              <w:t>条款号</w:t>
            </w:r>
            <w:r>
              <w:rPr>
                <w:rFonts w:hint="eastAsia" w:ascii="宋体" w:hAnsi="宋体" w:eastAsia="宋体" w:cs="宋体"/>
                <w:b/>
                <w:bCs/>
                <w:color w:val="auto"/>
                <w:spacing w:val="-1"/>
                <w:highlight w:val="none"/>
              </w:rPr>
              <w:t>/</w:t>
            </w:r>
            <w:r>
              <w:rPr>
                <w:rFonts w:hint="eastAsia" w:ascii="宋体" w:hAnsi="宋体" w:eastAsia="宋体" w:cs="宋体"/>
                <w:color w:val="auto"/>
                <w:highlight w:val="none"/>
              </w:rPr>
              <w:t>名称</w:t>
            </w:r>
          </w:p>
        </w:tc>
        <w:tc>
          <w:tcPr>
            <w:tcW w:w="7108" w:type="dxa"/>
          </w:tcPr>
          <w:p>
            <w:pPr>
              <w:spacing w:before="125" w:line="221" w:lineRule="auto"/>
              <w:ind w:firstLine="2740"/>
              <w:rPr>
                <w:rFonts w:ascii="宋体" w:hAnsi="宋体" w:eastAsia="宋体" w:cs="宋体"/>
                <w:color w:val="auto"/>
                <w:highlight w:val="none"/>
              </w:rPr>
            </w:pPr>
            <w:r>
              <w:rPr>
                <w:rFonts w:hint="eastAsia" w:ascii="宋体" w:hAnsi="宋体" w:eastAsia="宋体" w:cs="宋体"/>
                <w:color w:val="auto"/>
                <w:spacing w:val="1"/>
                <w:highlight w:val="none"/>
              </w:rPr>
              <w:t>评</w:t>
            </w:r>
            <w:r>
              <w:rPr>
                <w:rFonts w:hint="eastAsia" w:ascii="宋体" w:hAnsi="宋体" w:eastAsia="宋体" w:cs="宋体"/>
                <w:color w:val="auto"/>
                <w:highlight w:val="none"/>
              </w:rPr>
              <w:t>审因素与标准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969" w:type="dxa"/>
          </w:tcPr>
          <w:p>
            <w:pPr>
              <w:spacing w:line="250" w:lineRule="auto"/>
              <w:rPr>
                <w:rFonts w:ascii="宋体" w:hAnsi="宋体" w:eastAsia="宋体" w:cs="宋体"/>
                <w:color w:val="auto"/>
                <w:highlight w:val="none"/>
              </w:rPr>
            </w:pPr>
          </w:p>
          <w:p>
            <w:pPr>
              <w:spacing w:line="251" w:lineRule="auto"/>
              <w:rPr>
                <w:rFonts w:ascii="宋体" w:hAnsi="宋体" w:eastAsia="宋体" w:cs="宋体"/>
                <w:color w:val="auto"/>
                <w:highlight w:val="none"/>
              </w:rPr>
            </w:pPr>
          </w:p>
          <w:p>
            <w:pPr>
              <w:spacing w:line="251" w:lineRule="auto"/>
              <w:rPr>
                <w:rFonts w:ascii="宋体" w:hAnsi="宋体" w:eastAsia="宋体" w:cs="宋体"/>
                <w:color w:val="auto"/>
                <w:highlight w:val="none"/>
              </w:rPr>
            </w:pPr>
          </w:p>
          <w:p>
            <w:pPr>
              <w:spacing w:line="251" w:lineRule="auto"/>
              <w:rPr>
                <w:rFonts w:ascii="宋体" w:hAnsi="宋体" w:eastAsia="宋体" w:cs="宋体"/>
                <w:color w:val="auto"/>
                <w:highlight w:val="none"/>
              </w:rPr>
            </w:pPr>
          </w:p>
          <w:p>
            <w:pPr>
              <w:spacing w:before="60" w:line="189" w:lineRule="auto"/>
              <w:ind w:firstLine="454"/>
              <w:rPr>
                <w:rFonts w:ascii="宋体" w:hAnsi="宋体" w:eastAsia="宋体" w:cs="宋体"/>
                <w:color w:val="auto"/>
                <w:highlight w:val="none"/>
              </w:rPr>
            </w:pPr>
            <w:r>
              <w:rPr>
                <w:rFonts w:hint="eastAsia" w:ascii="宋体" w:hAnsi="宋体" w:eastAsia="宋体" w:cs="宋体"/>
                <w:color w:val="auto"/>
                <w:highlight w:val="none"/>
              </w:rPr>
              <w:t>1</w:t>
            </w:r>
          </w:p>
        </w:tc>
        <w:tc>
          <w:tcPr>
            <w:tcW w:w="1214" w:type="dxa"/>
          </w:tcPr>
          <w:p>
            <w:pPr>
              <w:rPr>
                <w:rFonts w:ascii="宋体" w:hAnsi="宋体" w:eastAsia="宋体" w:cs="宋体"/>
                <w:color w:val="auto"/>
                <w:highlight w:val="none"/>
              </w:rPr>
            </w:pPr>
            <w:r>
              <w:rPr>
                <w:rFonts w:hint="eastAsia" w:ascii="宋体" w:hAnsi="宋体" w:eastAsia="宋体" w:cs="宋体"/>
                <w:color w:val="auto"/>
                <w:highlight w:val="none"/>
              </w:rPr>
              <mc:AlternateContent>
                <mc:Choice Requires="wps">
                  <w:drawing>
                    <wp:anchor distT="0" distB="0" distL="114300" distR="114300" simplePos="0" relativeHeight="251659264" behindDoc="0" locked="0" layoutInCell="1" allowOverlap="1">
                      <wp:simplePos x="0" y="0"/>
                      <wp:positionH relativeFrom="page">
                        <wp:posOffset>866775</wp:posOffset>
                      </wp:positionH>
                      <wp:positionV relativeFrom="page">
                        <wp:posOffset>1456055</wp:posOffset>
                      </wp:positionV>
                      <wp:extent cx="6350" cy="6350"/>
                      <wp:effectExtent l="0" t="0" r="0" b="0"/>
                      <wp:wrapNone/>
                      <wp:docPr id="2" name="矩形 10"/>
                      <wp:cNvGraphicFramePr/>
                      <a:graphic xmlns:a="http://schemas.openxmlformats.org/drawingml/2006/main">
                        <a:graphicData uri="http://schemas.microsoft.com/office/word/2010/wordprocessingShape">
                          <wps:wsp>
                            <wps:cNvSpPr/>
                            <wps:spPr>
                              <a:xfrm>
                                <a:off x="0" y="0"/>
                                <a:ext cx="6350" cy="6350"/>
                              </a:xfrm>
                              <a:prstGeom prst="rect">
                                <a:avLst/>
                              </a:prstGeom>
                              <a:solidFill>
                                <a:srgbClr val="000000"/>
                              </a:solidFill>
                              <a:ln>
                                <a:noFill/>
                              </a:ln>
                            </wps:spPr>
                            <wps:bodyPr upright="1"/>
                          </wps:wsp>
                        </a:graphicData>
                      </a:graphic>
                    </wp:anchor>
                  </w:drawing>
                </mc:Choice>
                <mc:Fallback>
                  <w:pict>
                    <v:rect id="矩形 10" o:spid="_x0000_s1026" o:spt="1" style="position:absolute;left:0pt;margin-left:68.25pt;margin-top:114.65pt;height:0.5pt;width:0.5pt;mso-position-horizontal-relative:page;mso-position-vertical-relative:page;z-index:251659264;mso-width-relative:page;mso-height-relative:page;" fillcolor="#000000" filled="t" stroked="f" coordsize="21600,21600" o:gfxdata="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X7veXNkAAAAL&#10;AQAADwAAAAAAAAABACAAAAAiAAAAZHJzL2Rvd25yZXYueG1sUEsBAhQAFAAAAAgAh07iQKCIfNGp&#10;AQAAWwMAAA4AAAAAAAAAAQAgAAAAKAEAAGRycy9lMm9Eb2MueG1sUEsFBgAAAAAGAAYAWQEAAEMF&#10;AAAAAA==&#10;">
                      <v:fill on="t" focussize="0,0"/>
                      <v:stroke on="f"/>
                      <v:imagedata o:title=""/>
                      <o:lock v:ext="edit" aspectratio="f"/>
                    </v:rect>
                  </w:pict>
                </mc:Fallback>
              </mc:AlternateContent>
            </w:r>
          </w:p>
          <w:p>
            <w:pPr>
              <w:spacing w:line="241" w:lineRule="auto"/>
              <w:rPr>
                <w:rFonts w:ascii="宋体" w:hAnsi="宋体" w:eastAsia="宋体" w:cs="宋体"/>
                <w:color w:val="auto"/>
                <w:highlight w:val="none"/>
              </w:rPr>
            </w:pPr>
          </w:p>
          <w:p>
            <w:pPr>
              <w:spacing w:line="241" w:lineRule="auto"/>
              <w:rPr>
                <w:rFonts w:ascii="宋体" w:hAnsi="宋体" w:eastAsia="宋体" w:cs="宋体"/>
                <w:color w:val="auto"/>
                <w:highlight w:val="none"/>
              </w:rPr>
            </w:pPr>
          </w:p>
          <w:p>
            <w:pPr>
              <w:spacing w:line="241" w:lineRule="auto"/>
              <w:rPr>
                <w:rFonts w:ascii="宋体" w:hAnsi="宋体" w:eastAsia="宋体" w:cs="宋体"/>
                <w:color w:val="auto"/>
                <w:highlight w:val="none"/>
              </w:rPr>
            </w:pPr>
          </w:p>
          <w:p>
            <w:pPr>
              <w:spacing w:before="68" w:line="221" w:lineRule="auto"/>
              <w:ind w:firstLine="266"/>
              <w:rPr>
                <w:rFonts w:ascii="宋体" w:hAnsi="宋体" w:eastAsia="宋体" w:cs="宋体"/>
                <w:color w:val="auto"/>
                <w:highlight w:val="none"/>
              </w:rPr>
            </w:pPr>
            <w:r>
              <w:rPr>
                <w:rFonts w:hint="eastAsia" w:ascii="宋体" w:hAnsi="宋体" w:eastAsia="宋体" w:cs="宋体"/>
                <w:color w:val="auto"/>
                <w:spacing w:val="-1"/>
                <w:highlight w:val="none"/>
              </w:rPr>
              <w:t>评标办法</w:t>
            </w:r>
          </w:p>
        </w:tc>
        <w:tc>
          <w:tcPr>
            <w:tcW w:w="7108" w:type="dxa"/>
          </w:tcPr>
          <w:p>
            <w:pPr>
              <w:spacing w:before="29" w:line="287" w:lineRule="auto"/>
              <w:ind w:left="117" w:right="102" w:hanging="2"/>
              <w:rPr>
                <w:rFonts w:hint="eastAsia" w:ascii="宋体" w:hAnsi="宋体" w:eastAsia="宋体" w:cs="宋体"/>
                <w:color w:val="auto"/>
                <w:highlight w:val="none"/>
              </w:rPr>
            </w:pPr>
            <w:r>
              <w:rPr>
                <w:rFonts w:hint="eastAsia" w:ascii="宋体" w:hAnsi="宋体" w:eastAsia="宋体" w:cs="宋体"/>
                <w:color w:val="auto"/>
                <w:highlight w:val="none"/>
              </w:rPr>
              <w:t>综合评分相等时， 评标委员会依次按照以下优先顺序推荐中标候选人或确 定中标人：</w:t>
            </w:r>
          </w:p>
          <w:p>
            <w:pPr>
              <w:spacing w:before="29" w:line="287" w:lineRule="auto"/>
              <w:ind w:left="117" w:right="102" w:hanging="2"/>
              <w:rPr>
                <w:rFonts w:hint="eastAsia" w:ascii="宋体" w:hAnsi="宋体" w:eastAsia="宋体" w:cs="宋体"/>
                <w:color w:val="auto"/>
                <w:highlight w:val="none"/>
              </w:rPr>
            </w:pPr>
            <w:r>
              <w:rPr>
                <w:rFonts w:hint="eastAsia" w:ascii="宋体" w:hAnsi="宋体" w:eastAsia="宋体" w:cs="宋体"/>
                <w:color w:val="auto"/>
                <w:highlight w:val="none"/>
              </w:rPr>
              <w:t>（1）评标价低的投标人优先；</w:t>
            </w:r>
          </w:p>
          <w:p>
            <w:pPr>
              <w:spacing w:before="29" w:line="287" w:lineRule="auto"/>
              <w:ind w:left="117" w:right="102" w:hanging="2"/>
              <w:rPr>
                <w:rFonts w:hint="eastAsia" w:ascii="宋体" w:hAnsi="宋体" w:eastAsia="宋体" w:cs="宋体"/>
                <w:color w:val="auto"/>
                <w:highlight w:val="none"/>
              </w:rPr>
            </w:pPr>
            <w:r>
              <w:rPr>
                <w:rFonts w:hint="eastAsia" w:ascii="宋体" w:hAnsi="宋体" w:eastAsia="宋体" w:cs="宋体"/>
                <w:color w:val="auto"/>
                <w:highlight w:val="none"/>
              </w:rPr>
              <w:t>（2）以山西省交通运输厅最新发布的企业信用评价结果公告中信用等级较高的投标人优先；（注：以交通运输部或山西省交通运输厅最新发布的公路设计企业信用评价结果为准。同时在交通运输部和山西省交通运输厅取得信用评价的，以山西省交通运输厅信用评价等级为准）；</w:t>
            </w:r>
          </w:p>
          <w:p>
            <w:pPr>
              <w:spacing w:before="29" w:line="287" w:lineRule="auto"/>
              <w:ind w:left="117" w:right="102" w:hanging="2"/>
              <w:rPr>
                <w:rFonts w:hint="eastAsia" w:ascii="宋体" w:hAnsi="宋体" w:eastAsia="宋体" w:cs="宋体"/>
                <w:color w:val="auto"/>
                <w:highlight w:val="none"/>
              </w:rPr>
            </w:pPr>
            <w:r>
              <w:rPr>
                <w:rFonts w:hint="eastAsia" w:ascii="宋体" w:hAnsi="宋体" w:eastAsia="宋体" w:cs="宋体"/>
                <w:color w:val="auto"/>
                <w:highlight w:val="none"/>
              </w:rPr>
              <w:t>（3）技术得分较高的投标人优先；</w:t>
            </w:r>
          </w:p>
          <w:p>
            <w:pPr>
              <w:spacing w:before="29" w:line="287" w:lineRule="auto"/>
              <w:ind w:left="117" w:right="102" w:hanging="2"/>
              <w:rPr>
                <w:rFonts w:ascii="宋体" w:hAnsi="宋体" w:eastAsia="宋体" w:cs="宋体"/>
                <w:color w:val="auto"/>
                <w:highlight w:val="none"/>
              </w:rPr>
            </w:pPr>
            <w:r>
              <w:rPr>
                <w:rFonts w:hint="eastAsia" w:ascii="宋体" w:hAnsi="宋体" w:eastAsia="宋体" w:cs="宋体"/>
                <w:color w:val="auto"/>
                <w:highlight w:val="none"/>
              </w:rPr>
              <w:t>（4）最终投标文件上传至交易平台较早的投标人优先。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82" w:hRule="atLeast"/>
          <w:jc w:val="center"/>
        </w:trPr>
        <w:tc>
          <w:tcPr>
            <w:tcW w:w="969" w:type="dxa"/>
          </w:tcPr>
          <w:p>
            <w:pPr>
              <w:spacing w:line="246" w:lineRule="auto"/>
              <w:rPr>
                <w:rFonts w:ascii="宋体" w:hAnsi="宋体" w:eastAsia="宋体" w:cs="宋体"/>
                <w:color w:val="auto"/>
                <w:highlight w:val="none"/>
              </w:rPr>
            </w:pPr>
          </w:p>
          <w:p>
            <w:pPr>
              <w:spacing w:line="246" w:lineRule="auto"/>
              <w:rPr>
                <w:rFonts w:ascii="宋体" w:hAnsi="宋体" w:eastAsia="宋体" w:cs="宋体"/>
                <w:color w:val="auto"/>
                <w:highlight w:val="none"/>
              </w:rPr>
            </w:pPr>
          </w:p>
          <w:p>
            <w:pPr>
              <w:spacing w:line="246" w:lineRule="auto"/>
              <w:rPr>
                <w:rFonts w:ascii="宋体" w:hAnsi="宋体" w:eastAsia="宋体" w:cs="宋体"/>
                <w:color w:val="auto"/>
                <w:highlight w:val="none"/>
              </w:rPr>
            </w:pPr>
          </w:p>
          <w:p>
            <w:pPr>
              <w:spacing w:line="246" w:lineRule="auto"/>
              <w:rPr>
                <w:rFonts w:ascii="宋体" w:hAnsi="宋体" w:eastAsia="宋体" w:cs="宋体"/>
                <w:color w:val="auto"/>
                <w:highlight w:val="none"/>
              </w:rPr>
            </w:pPr>
          </w:p>
          <w:p>
            <w:pPr>
              <w:spacing w:line="246" w:lineRule="auto"/>
              <w:rPr>
                <w:rFonts w:ascii="宋体" w:hAnsi="宋体" w:eastAsia="宋体" w:cs="宋体"/>
                <w:color w:val="auto"/>
                <w:highlight w:val="none"/>
              </w:rPr>
            </w:pPr>
          </w:p>
          <w:p>
            <w:pPr>
              <w:spacing w:line="246" w:lineRule="auto"/>
              <w:rPr>
                <w:rFonts w:ascii="宋体" w:hAnsi="宋体" w:eastAsia="宋体" w:cs="宋体"/>
                <w:color w:val="auto"/>
                <w:highlight w:val="none"/>
              </w:rPr>
            </w:pPr>
          </w:p>
          <w:p>
            <w:pPr>
              <w:spacing w:line="246" w:lineRule="auto"/>
              <w:rPr>
                <w:rFonts w:ascii="宋体" w:hAnsi="宋体" w:eastAsia="宋体" w:cs="宋体"/>
                <w:color w:val="auto"/>
                <w:highlight w:val="none"/>
              </w:rPr>
            </w:pPr>
          </w:p>
          <w:p>
            <w:pPr>
              <w:spacing w:line="246" w:lineRule="auto"/>
              <w:rPr>
                <w:rFonts w:ascii="宋体" w:hAnsi="宋体" w:eastAsia="宋体" w:cs="宋体"/>
                <w:color w:val="auto"/>
                <w:highlight w:val="none"/>
              </w:rPr>
            </w:pPr>
          </w:p>
          <w:p>
            <w:pPr>
              <w:spacing w:line="246" w:lineRule="auto"/>
              <w:rPr>
                <w:rFonts w:ascii="宋体" w:hAnsi="宋体" w:eastAsia="宋体" w:cs="宋体"/>
                <w:color w:val="auto"/>
                <w:highlight w:val="none"/>
              </w:rPr>
            </w:pPr>
          </w:p>
          <w:p>
            <w:pPr>
              <w:spacing w:line="247" w:lineRule="auto"/>
              <w:rPr>
                <w:rFonts w:ascii="宋体" w:hAnsi="宋体" w:eastAsia="宋体" w:cs="宋体"/>
                <w:color w:val="auto"/>
                <w:highlight w:val="none"/>
              </w:rPr>
            </w:pPr>
          </w:p>
          <w:p>
            <w:pPr>
              <w:spacing w:line="247" w:lineRule="auto"/>
              <w:rPr>
                <w:rFonts w:ascii="宋体" w:hAnsi="宋体" w:eastAsia="宋体" w:cs="宋体"/>
                <w:color w:val="auto"/>
                <w:highlight w:val="none"/>
              </w:rPr>
            </w:pPr>
          </w:p>
          <w:p>
            <w:pPr>
              <w:spacing w:line="247" w:lineRule="auto"/>
              <w:rPr>
                <w:rFonts w:ascii="宋体" w:hAnsi="宋体" w:eastAsia="宋体" w:cs="宋体"/>
                <w:color w:val="auto"/>
                <w:highlight w:val="none"/>
              </w:rPr>
            </w:pPr>
          </w:p>
          <w:p>
            <w:pPr>
              <w:spacing w:line="247" w:lineRule="auto"/>
              <w:rPr>
                <w:rFonts w:ascii="宋体" w:hAnsi="宋体" w:eastAsia="宋体" w:cs="宋体"/>
                <w:color w:val="auto"/>
                <w:highlight w:val="none"/>
              </w:rPr>
            </w:pPr>
          </w:p>
          <w:p>
            <w:pPr>
              <w:spacing w:line="247" w:lineRule="auto"/>
              <w:rPr>
                <w:rFonts w:ascii="宋体" w:hAnsi="宋体" w:eastAsia="宋体" w:cs="宋体"/>
                <w:color w:val="auto"/>
                <w:highlight w:val="none"/>
              </w:rPr>
            </w:pPr>
          </w:p>
          <w:p>
            <w:pPr>
              <w:spacing w:line="247" w:lineRule="auto"/>
              <w:rPr>
                <w:rFonts w:ascii="宋体" w:hAnsi="宋体" w:eastAsia="宋体" w:cs="宋体"/>
                <w:color w:val="auto"/>
                <w:highlight w:val="none"/>
              </w:rPr>
            </w:pPr>
          </w:p>
          <w:p>
            <w:pPr>
              <w:spacing w:line="247" w:lineRule="auto"/>
              <w:rPr>
                <w:rFonts w:ascii="宋体" w:hAnsi="宋体" w:eastAsia="宋体" w:cs="宋体"/>
                <w:color w:val="auto"/>
                <w:highlight w:val="none"/>
              </w:rPr>
            </w:pPr>
          </w:p>
          <w:p>
            <w:pPr>
              <w:spacing w:before="60" w:line="241" w:lineRule="auto"/>
              <w:ind w:firstLine="275"/>
              <w:rPr>
                <w:rFonts w:ascii="宋体" w:hAnsi="宋体" w:eastAsia="宋体" w:cs="宋体"/>
                <w:color w:val="auto"/>
                <w:highlight w:val="none"/>
              </w:rPr>
            </w:pPr>
            <w:r>
              <w:rPr>
                <w:rFonts w:hint="eastAsia" w:ascii="宋体" w:hAnsi="宋体" w:eastAsia="宋体" w:cs="宋体"/>
                <w:color w:val="auto"/>
                <w:spacing w:val="-1"/>
                <w:highlight w:val="none"/>
              </w:rPr>
              <w:t>2.</w:t>
            </w:r>
            <w:r>
              <w:rPr>
                <w:rFonts w:hint="eastAsia" w:ascii="宋体" w:hAnsi="宋体" w:eastAsia="宋体" w:cs="宋体"/>
                <w:color w:val="auto"/>
                <w:highlight w:val="none"/>
              </w:rPr>
              <w:t>1.1</w:t>
            </w:r>
          </w:p>
          <w:p>
            <w:pPr>
              <w:spacing w:line="189" w:lineRule="auto"/>
              <w:ind w:firstLine="275"/>
              <w:rPr>
                <w:rFonts w:ascii="宋体" w:hAnsi="宋体" w:eastAsia="宋体" w:cs="宋体"/>
                <w:color w:val="auto"/>
                <w:highlight w:val="none"/>
              </w:rPr>
            </w:pPr>
            <w:r>
              <w:rPr>
                <w:rFonts w:hint="eastAsia" w:ascii="宋体" w:hAnsi="宋体" w:eastAsia="宋体" w:cs="宋体"/>
                <w:color w:val="auto"/>
                <w:spacing w:val="-1"/>
                <w:highlight w:val="none"/>
              </w:rPr>
              <w:t>2.</w:t>
            </w:r>
            <w:r>
              <w:rPr>
                <w:rFonts w:hint="eastAsia" w:ascii="宋体" w:hAnsi="宋体" w:eastAsia="宋体" w:cs="宋体"/>
                <w:color w:val="auto"/>
                <w:highlight w:val="none"/>
              </w:rPr>
              <w:t>1.3</w:t>
            </w:r>
          </w:p>
        </w:tc>
        <w:tc>
          <w:tcPr>
            <w:tcW w:w="1214" w:type="dxa"/>
          </w:tcPr>
          <w:p>
            <w:pPr>
              <w:spacing w:line="250" w:lineRule="auto"/>
              <w:rPr>
                <w:rFonts w:ascii="宋体" w:hAnsi="宋体" w:eastAsia="宋体" w:cs="宋体"/>
                <w:color w:val="auto"/>
                <w:highlight w:val="none"/>
              </w:rPr>
            </w:pPr>
          </w:p>
          <w:p>
            <w:pPr>
              <w:spacing w:line="250" w:lineRule="auto"/>
              <w:rPr>
                <w:rFonts w:ascii="宋体" w:hAnsi="宋体" w:eastAsia="宋体" w:cs="宋体"/>
                <w:color w:val="auto"/>
                <w:highlight w:val="none"/>
              </w:rPr>
            </w:pPr>
          </w:p>
          <w:p>
            <w:pPr>
              <w:spacing w:line="250" w:lineRule="auto"/>
              <w:rPr>
                <w:rFonts w:ascii="宋体" w:hAnsi="宋体" w:eastAsia="宋体" w:cs="宋体"/>
                <w:color w:val="auto"/>
                <w:highlight w:val="none"/>
              </w:rPr>
            </w:pPr>
          </w:p>
          <w:p>
            <w:pPr>
              <w:spacing w:line="250" w:lineRule="auto"/>
              <w:rPr>
                <w:rFonts w:ascii="宋体" w:hAnsi="宋体" w:eastAsia="宋体" w:cs="宋体"/>
                <w:color w:val="auto"/>
                <w:highlight w:val="none"/>
              </w:rPr>
            </w:pPr>
          </w:p>
          <w:p>
            <w:pPr>
              <w:spacing w:line="250" w:lineRule="auto"/>
              <w:rPr>
                <w:rFonts w:ascii="宋体" w:hAnsi="宋体" w:eastAsia="宋体" w:cs="宋体"/>
                <w:color w:val="auto"/>
                <w:highlight w:val="none"/>
              </w:rPr>
            </w:pPr>
          </w:p>
          <w:p>
            <w:pPr>
              <w:spacing w:line="250" w:lineRule="auto"/>
              <w:rPr>
                <w:rFonts w:ascii="宋体" w:hAnsi="宋体" w:eastAsia="宋体" w:cs="宋体"/>
                <w:color w:val="auto"/>
                <w:highlight w:val="none"/>
              </w:rPr>
            </w:pPr>
          </w:p>
          <w:p>
            <w:pPr>
              <w:spacing w:line="250" w:lineRule="auto"/>
              <w:rPr>
                <w:rFonts w:ascii="宋体" w:hAnsi="宋体" w:eastAsia="宋体" w:cs="宋体"/>
                <w:color w:val="auto"/>
                <w:highlight w:val="none"/>
              </w:rPr>
            </w:pPr>
          </w:p>
          <w:p>
            <w:pPr>
              <w:spacing w:line="250" w:lineRule="auto"/>
              <w:rPr>
                <w:rFonts w:ascii="宋体" w:hAnsi="宋体" w:eastAsia="宋体" w:cs="宋体"/>
                <w:color w:val="auto"/>
                <w:highlight w:val="none"/>
              </w:rPr>
            </w:pPr>
          </w:p>
          <w:p>
            <w:pPr>
              <w:spacing w:line="250" w:lineRule="auto"/>
              <w:rPr>
                <w:rFonts w:ascii="宋体" w:hAnsi="宋体" w:eastAsia="宋体" w:cs="宋体"/>
                <w:color w:val="auto"/>
                <w:highlight w:val="none"/>
              </w:rPr>
            </w:pPr>
          </w:p>
          <w:p>
            <w:pPr>
              <w:spacing w:line="250" w:lineRule="auto"/>
              <w:rPr>
                <w:rFonts w:ascii="宋体" w:hAnsi="宋体" w:eastAsia="宋体" w:cs="宋体"/>
                <w:color w:val="auto"/>
                <w:highlight w:val="none"/>
              </w:rPr>
            </w:pPr>
          </w:p>
          <w:p>
            <w:pPr>
              <w:spacing w:line="250" w:lineRule="auto"/>
              <w:rPr>
                <w:rFonts w:ascii="宋体" w:hAnsi="宋体" w:eastAsia="宋体" w:cs="宋体"/>
                <w:color w:val="auto"/>
                <w:highlight w:val="none"/>
              </w:rPr>
            </w:pPr>
          </w:p>
          <w:p>
            <w:pPr>
              <w:spacing w:line="251" w:lineRule="auto"/>
              <w:rPr>
                <w:rFonts w:ascii="宋体" w:hAnsi="宋体" w:eastAsia="宋体" w:cs="宋体"/>
                <w:color w:val="auto"/>
                <w:highlight w:val="none"/>
              </w:rPr>
            </w:pPr>
          </w:p>
          <w:p>
            <w:pPr>
              <w:spacing w:line="251" w:lineRule="auto"/>
              <w:rPr>
                <w:rFonts w:ascii="宋体" w:hAnsi="宋体" w:eastAsia="宋体" w:cs="宋体"/>
                <w:color w:val="auto"/>
                <w:highlight w:val="none"/>
              </w:rPr>
            </w:pPr>
          </w:p>
          <w:p>
            <w:pPr>
              <w:spacing w:line="251" w:lineRule="auto"/>
              <w:rPr>
                <w:rFonts w:ascii="宋体" w:hAnsi="宋体" w:eastAsia="宋体" w:cs="宋体"/>
                <w:color w:val="auto"/>
                <w:highlight w:val="none"/>
              </w:rPr>
            </w:pPr>
          </w:p>
          <w:p>
            <w:pPr>
              <w:spacing w:line="251" w:lineRule="auto"/>
              <w:rPr>
                <w:rFonts w:ascii="宋体" w:hAnsi="宋体" w:eastAsia="宋体" w:cs="宋体"/>
                <w:color w:val="auto"/>
                <w:highlight w:val="none"/>
              </w:rPr>
            </w:pPr>
          </w:p>
          <w:p>
            <w:pPr>
              <w:spacing w:before="68" w:line="221" w:lineRule="auto"/>
              <w:ind w:firstLine="164"/>
              <w:rPr>
                <w:rFonts w:ascii="宋体" w:hAnsi="宋体" w:eastAsia="宋体" w:cs="宋体"/>
                <w:color w:val="auto"/>
                <w:highlight w:val="none"/>
              </w:rPr>
            </w:pPr>
            <w:r>
              <w:rPr>
                <w:rFonts w:hint="eastAsia" w:ascii="宋体" w:hAnsi="宋体" w:eastAsia="宋体" w:cs="宋体"/>
                <w:color w:val="auto"/>
                <w:spacing w:val="-2"/>
                <w:highlight w:val="none"/>
              </w:rPr>
              <w:t>形式评</w:t>
            </w:r>
            <w:r>
              <w:rPr>
                <w:rFonts w:hint="eastAsia" w:ascii="宋体" w:hAnsi="宋体" w:eastAsia="宋体" w:cs="宋体"/>
                <w:color w:val="auto"/>
                <w:spacing w:val="-1"/>
                <w:highlight w:val="none"/>
              </w:rPr>
              <w:t>审与</w:t>
            </w:r>
          </w:p>
          <w:p>
            <w:pPr>
              <w:spacing w:before="19" w:line="221" w:lineRule="auto"/>
              <w:ind w:firstLine="172"/>
              <w:rPr>
                <w:rFonts w:ascii="宋体" w:hAnsi="宋体" w:eastAsia="宋体" w:cs="宋体"/>
                <w:color w:val="auto"/>
                <w:highlight w:val="none"/>
              </w:rPr>
            </w:pPr>
            <w:r>
              <w:rPr>
                <w:rFonts w:hint="eastAsia" w:ascii="宋体" w:hAnsi="宋体" w:eastAsia="宋体" w:cs="宋体"/>
                <w:color w:val="auto"/>
                <w:spacing w:val="-4"/>
                <w:highlight w:val="none"/>
              </w:rPr>
              <w:t>响</w:t>
            </w:r>
            <w:r>
              <w:rPr>
                <w:rFonts w:hint="eastAsia" w:ascii="宋体" w:hAnsi="宋体" w:eastAsia="宋体" w:cs="宋体"/>
                <w:color w:val="auto"/>
                <w:spacing w:val="-3"/>
                <w:highlight w:val="none"/>
              </w:rPr>
              <w:t>应性评审</w:t>
            </w:r>
          </w:p>
          <w:p>
            <w:pPr>
              <w:spacing w:before="22" w:line="221" w:lineRule="auto"/>
              <w:ind w:firstLine="479"/>
              <w:rPr>
                <w:rFonts w:ascii="宋体" w:hAnsi="宋体" w:eastAsia="宋体" w:cs="宋体"/>
                <w:color w:val="auto"/>
                <w:highlight w:val="none"/>
              </w:rPr>
            </w:pPr>
            <w:r>
              <w:rPr>
                <w:rFonts w:hint="eastAsia" w:ascii="宋体" w:hAnsi="宋体" w:eastAsia="宋体" w:cs="宋体"/>
                <w:color w:val="auto"/>
                <w:spacing w:val="-2"/>
                <w:highlight w:val="none"/>
              </w:rPr>
              <w:t>标准</w:t>
            </w:r>
          </w:p>
        </w:tc>
        <w:tc>
          <w:tcPr>
            <w:tcW w:w="7108" w:type="dxa"/>
          </w:tcPr>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第一个信封（商务及技术文件）评审标准：</w:t>
            </w:r>
          </w:p>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（1）投标文件按照招标文件规定的格式、内容填写，字迹清晰可辩：</w:t>
            </w:r>
          </w:p>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a.投标函按招标文件规定填报了项目名称、补遗书编号（如有）、勘察设计 服务期限、工程质量要求及安全目标；</w:t>
            </w:r>
          </w:p>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b.投标文件组成齐全完整，内容均按规定填写；                       （2）投标文件上法定代表人的签字，投标人的单位章齐全，符合招标文件规定。</w:t>
            </w:r>
          </w:p>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（3）投标人按照招标文件的规定提供了投标保证金承诺函。</w:t>
            </w:r>
          </w:p>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（4）投标文件上法定代表人的电子签名、投标人单位的电子签章齐全，符 合招标文件规定。</w:t>
            </w:r>
          </w:p>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（5）投标人未以联合体形式进行投标。</w:t>
            </w:r>
          </w:p>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（6）投标人无分包计划。</w:t>
            </w:r>
          </w:p>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（7）同一投标人未提交两个以上不同的投标文件。</w:t>
            </w:r>
          </w:p>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（8）投标文件中未出现有关投标报价的内容。</w:t>
            </w:r>
          </w:p>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（9）投标文件载明的招标项目完成期限满足招标文件规定。</w:t>
            </w:r>
          </w:p>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（10）投标文件对招标文件的实质性要求和条件作出响应。</w:t>
            </w:r>
          </w:p>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（11）权利义务符合招标文件规定：</w:t>
            </w:r>
          </w:p>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a.投标人应接受招标文件规定的风险划分原则，未提出新的风险划分办法； b.投标人未增加发包人的责任范围， 或减少投标人义务；</w:t>
            </w:r>
          </w:p>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c.投标人未提出不同的工程验收、计量、支付办法；</w:t>
            </w:r>
          </w:p>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d.投标人对合同纠纷、事故处理办法未提出异议；</w:t>
            </w:r>
          </w:p>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e.投标人在投标活动中无欺诈行为；</w:t>
            </w:r>
          </w:p>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f.投标人未对合同条款有重要保留。                                 （12）投标人名称与营业执照、基本账户开户许可证（或开户行出具的基 本存款账户信息表）一致，如企业名称有变更的， 应提供变更记录或相关 部门的合法批件</w:t>
            </w:r>
            <w:r>
              <w:rPr>
                <w:rFonts w:hint="eastAsia" w:ascii="宋体" w:hAnsi="宋体" w:eastAsia="宋体" w:cs="宋体"/>
                <w:color w:val="auto"/>
                <w:highlight w:val="none"/>
                <w:lang w:eastAsia="zh-CN"/>
              </w:rPr>
              <w:t>影印件</w:t>
            </w:r>
            <w:r>
              <w:rPr>
                <w:rFonts w:hint="eastAsia" w:ascii="宋体" w:hAnsi="宋体" w:eastAsia="宋体" w:cs="宋体"/>
                <w:color w:val="auto"/>
                <w:highlight w:val="none"/>
              </w:rPr>
              <w:t>。</w:t>
            </w:r>
          </w:p>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（13）投标人不存在《中华人民共和国招标投标法实施条例》（国务院令第</w:t>
            </w:r>
          </w:p>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613号）第三十九条、第四十条、第四十一条所列的投标人相互串通投标、 或者招标人与投标人串通投标情形之一的。</w:t>
            </w:r>
          </w:p>
          <w:p>
            <w:pPr>
              <w:spacing w:before="75" w:line="261" w:lineRule="auto"/>
              <w:ind w:left="104" w:right="51" w:firstLine="7"/>
              <w:rPr>
                <w:rFonts w:ascii="宋体" w:hAnsi="宋体" w:eastAsia="宋体" w:cs="宋体"/>
                <w:color w:val="auto"/>
                <w:highlight w:val="none"/>
              </w:rPr>
            </w:pPr>
          </w:p>
        </w:tc>
      </w:tr>
    </w:tbl>
    <w:p>
      <w:pPr>
        <w:spacing w:line="56" w:lineRule="exact"/>
        <w:rPr>
          <w:rFonts w:ascii="宋体" w:hAnsi="宋体" w:eastAsia="宋体" w:cs="宋体"/>
          <w:color w:val="auto"/>
          <w:position w:val="5"/>
          <w:sz w:val="9"/>
          <w:szCs w:val="9"/>
          <w:highlight w:val="none"/>
        </w:rPr>
      </w:pPr>
    </w:p>
    <w:p>
      <w:pPr>
        <w:spacing w:line="56" w:lineRule="exact"/>
        <w:rPr>
          <w:rFonts w:ascii="宋体" w:hAnsi="宋体" w:eastAsia="宋体" w:cs="宋体"/>
          <w:color w:val="auto"/>
          <w:position w:val="5"/>
          <w:sz w:val="9"/>
          <w:szCs w:val="9"/>
          <w:highlight w:val="none"/>
        </w:rPr>
      </w:pPr>
    </w:p>
    <w:p>
      <w:pPr>
        <w:spacing w:line="56" w:lineRule="exact"/>
        <w:rPr>
          <w:rFonts w:ascii="宋体" w:hAnsi="宋体" w:eastAsia="宋体" w:cs="宋体"/>
          <w:color w:val="auto"/>
          <w:position w:val="5"/>
          <w:sz w:val="9"/>
          <w:szCs w:val="9"/>
          <w:highlight w:val="none"/>
        </w:rPr>
      </w:pPr>
    </w:p>
    <w:p>
      <w:pPr>
        <w:spacing w:line="56" w:lineRule="exact"/>
        <w:rPr>
          <w:rFonts w:ascii="宋体" w:hAnsi="宋体" w:eastAsia="宋体" w:cs="宋体"/>
          <w:color w:val="auto"/>
          <w:position w:val="5"/>
          <w:sz w:val="9"/>
          <w:szCs w:val="9"/>
          <w:highlight w:val="none"/>
        </w:rPr>
      </w:pPr>
    </w:p>
    <w:p>
      <w:pPr>
        <w:spacing w:line="56" w:lineRule="exact"/>
        <w:rPr>
          <w:rFonts w:ascii="宋体" w:hAnsi="宋体" w:eastAsia="宋体" w:cs="宋体"/>
          <w:color w:val="auto"/>
          <w:position w:val="5"/>
          <w:sz w:val="9"/>
          <w:szCs w:val="9"/>
          <w:highlight w:val="none"/>
        </w:rPr>
      </w:pPr>
    </w:p>
    <w:p>
      <w:pPr>
        <w:spacing w:line="56" w:lineRule="exact"/>
        <w:rPr>
          <w:rFonts w:ascii="宋体" w:hAnsi="宋体" w:eastAsia="宋体" w:cs="宋体"/>
          <w:color w:val="auto"/>
          <w:position w:val="5"/>
          <w:sz w:val="9"/>
          <w:szCs w:val="9"/>
          <w:highlight w:val="none"/>
        </w:rPr>
      </w:pPr>
    </w:p>
    <w:p>
      <w:pPr>
        <w:spacing w:line="56" w:lineRule="exact"/>
        <w:rPr>
          <w:rFonts w:ascii="宋体" w:hAnsi="宋体" w:eastAsia="宋体" w:cs="宋体"/>
          <w:color w:val="auto"/>
          <w:position w:val="5"/>
          <w:sz w:val="9"/>
          <w:szCs w:val="9"/>
          <w:highlight w:val="none"/>
        </w:rPr>
      </w:pPr>
    </w:p>
    <w:p>
      <w:pPr>
        <w:spacing w:line="56" w:lineRule="exact"/>
        <w:rPr>
          <w:rFonts w:ascii="宋体" w:hAnsi="宋体" w:eastAsia="宋体" w:cs="宋体"/>
          <w:color w:val="auto"/>
          <w:position w:val="5"/>
          <w:sz w:val="9"/>
          <w:szCs w:val="9"/>
          <w:highlight w:val="none"/>
        </w:rPr>
      </w:pPr>
    </w:p>
    <w:p>
      <w:pPr>
        <w:spacing w:line="56" w:lineRule="exact"/>
        <w:rPr>
          <w:rFonts w:ascii="宋体" w:hAnsi="宋体" w:eastAsia="宋体" w:cs="宋体"/>
          <w:color w:val="auto"/>
          <w:position w:val="5"/>
          <w:sz w:val="9"/>
          <w:szCs w:val="9"/>
          <w:highlight w:val="none"/>
        </w:rPr>
      </w:pPr>
    </w:p>
    <w:p>
      <w:pPr>
        <w:spacing w:line="56" w:lineRule="exact"/>
        <w:rPr>
          <w:rFonts w:ascii="宋体" w:hAnsi="宋体" w:eastAsia="宋体" w:cs="宋体"/>
          <w:color w:val="auto"/>
          <w:highlight w:val="none"/>
        </w:rPr>
      </w:pPr>
    </w:p>
    <w:tbl>
      <w:tblPr>
        <w:tblStyle w:val="20"/>
        <w:tblW w:w="929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0"/>
        <w:gridCol w:w="129"/>
        <w:gridCol w:w="629"/>
        <w:gridCol w:w="473"/>
        <w:gridCol w:w="167"/>
        <w:gridCol w:w="146"/>
        <w:gridCol w:w="778"/>
        <w:gridCol w:w="1058"/>
        <w:gridCol w:w="923"/>
        <w:gridCol w:w="850"/>
        <w:gridCol w:w="3288"/>
        <w:gridCol w:w="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jc w:val="center"/>
        </w:trPr>
        <w:tc>
          <w:tcPr>
            <w:tcW w:w="2384" w:type="dxa"/>
            <w:gridSpan w:val="6"/>
          </w:tcPr>
          <w:p>
            <w:pPr>
              <w:spacing w:before="126" w:line="234" w:lineRule="auto"/>
              <w:ind w:firstLine="619"/>
              <w:rPr>
                <w:rFonts w:ascii="宋体" w:hAnsi="宋体" w:eastAsia="宋体" w:cs="宋体"/>
                <w:color w:val="auto"/>
                <w:highlight w:val="none"/>
              </w:rPr>
            </w:pPr>
            <w:r>
              <w:rPr>
                <w:rFonts w:hint="eastAsia" w:ascii="宋体" w:hAnsi="宋体" w:eastAsia="宋体" w:cs="宋体"/>
                <w:color w:val="auto"/>
                <w:spacing w:val="-1"/>
                <w:highlight w:val="none"/>
              </w:rPr>
              <w:t>条款号</w:t>
            </w:r>
            <w:r>
              <w:rPr>
                <w:rFonts w:hint="eastAsia" w:ascii="宋体" w:hAnsi="宋体" w:eastAsia="宋体" w:cs="宋体"/>
                <w:b/>
                <w:bCs/>
                <w:color w:val="auto"/>
                <w:spacing w:val="-1"/>
                <w:highlight w:val="none"/>
              </w:rPr>
              <w:t>/</w:t>
            </w:r>
            <w:r>
              <w:rPr>
                <w:rFonts w:hint="eastAsia" w:ascii="宋体" w:hAnsi="宋体" w:eastAsia="宋体" w:cs="宋体"/>
                <w:color w:val="auto"/>
                <w:highlight w:val="none"/>
              </w:rPr>
              <w:t>名称</w:t>
            </w:r>
          </w:p>
        </w:tc>
        <w:tc>
          <w:tcPr>
            <w:tcW w:w="6907" w:type="dxa"/>
            <w:gridSpan w:val="6"/>
          </w:tcPr>
          <w:p>
            <w:pPr>
              <w:spacing w:before="125" w:line="221" w:lineRule="auto"/>
              <w:ind w:firstLine="2740"/>
              <w:rPr>
                <w:rFonts w:ascii="宋体" w:hAnsi="宋体" w:eastAsia="宋体" w:cs="宋体"/>
                <w:color w:val="auto"/>
                <w:highlight w:val="none"/>
              </w:rPr>
            </w:pPr>
            <w:r>
              <w:rPr>
                <w:rFonts w:hint="eastAsia" w:ascii="宋体" w:hAnsi="宋体" w:eastAsia="宋体" w:cs="宋体"/>
                <w:color w:val="auto"/>
                <w:spacing w:val="1"/>
                <w:highlight w:val="none"/>
              </w:rPr>
              <w:t>评</w:t>
            </w:r>
            <w:r>
              <w:rPr>
                <w:rFonts w:hint="eastAsia" w:ascii="宋体" w:hAnsi="宋体" w:eastAsia="宋体" w:cs="宋体"/>
                <w:color w:val="auto"/>
                <w:highlight w:val="none"/>
              </w:rPr>
              <w:t>审因素与标准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0" w:hRule="atLeast"/>
          <w:jc w:val="center"/>
        </w:trPr>
        <w:tc>
          <w:tcPr>
            <w:tcW w:w="969" w:type="dxa"/>
            <w:gridSpan w:val="2"/>
          </w:tcPr>
          <w:p>
            <w:pPr>
              <w:rPr>
                <w:rFonts w:ascii="宋体" w:hAnsi="宋体" w:eastAsia="宋体" w:cs="宋体"/>
                <w:color w:val="auto"/>
                <w:highlight w:val="none"/>
              </w:rPr>
            </w:pPr>
          </w:p>
        </w:tc>
        <w:tc>
          <w:tcPr>
            <w:tcW w:w="1415" w:type="dxa"/>
            <w:gridSpan w:val="4"/>
          </w:tcPr>
          <w:p>
            <w:pPr>
              <w:rPr>
                <w:rFonts w:ascii="宋体" w:hAnsi="宋体" w:eastAsia="宋体" w:cs="宋体"/>
                <w:color w:val="auto"/>
                <w:highlight w:val="none"/>
              </w:rPr>
            </w:pPr>
            <w:r>
              <w:rPr>
                <w:rFonts w:hint="eastAsia" w:ascii="宋体" w:hAnsi="宋体" w:eastAsia="宋体" w:cs="宋体"/>
                <w:color w:val="auto"/>
                <w:highlight w:val="none"/>
              </w:rPr>
              <mc:AlternateContent>
                <mc:Choice Requires="wps">
                  <w:drawing>
                    <wp:anchor distT="0" distB="0" distL="114300" distR="114300" simplePos="0" relativeHeight="251660288" behindDoc="0" locked="0" layoutInCell="1" allowOverlap="1">
                      <wp:simplePos x="0" y="0"/>
                      <wp:positionH relativeFrom="page">
                        <wp:posOffset>866775</wp:posOffset>
                      </wp:positionH>
                      <wp:positionV relativeFrom="page">
                        <wp:posOffset>5791835</wp:posOffset>
                      </wp:positionV>
                      <wp:extent cx="6350" cy="6350"/>
                      <wp:effectExtent l="0" t="0" r="0" b="0"/>
                      <wp:wrapNone/>
                      <wp:docPr id="3" name="任意多边形 11"/>
                      <wp:cNvGraphicFramePr/>
                      <a:graphic xmlns:a="http://schemas.openxmlformats.org/drawingml/2006/main">
                        <a:graphicData uri="http://schemas.microsoft.com/office/word/2010/wordprocessingShape">
                          <wps:wsp>
                            <wps:cNvSpPr/>
                            <wps:spPr>
                              <a:xfrm>
                                <a:off x="0" y="0"/>
                                <a:ext cx="6350" cy="6350"/>
                              </a:xfrm>
                              <a:custGeom>
                                <a:avLst/>
                                <a:gdLst/>
                                <a:ahLst/>
                                <a:cxnLst/>
                                <a:rect l="0" t="0" r="0" b="0"/>
                                <a:pathLst>
                                  <a:path w="10" h="10">
                                    <a:moveTo>
                                      <a:pt x="0" y="9"/>
                                    </a:moveTo>
                                    <a:lnTo>
                                      <a:pt x="9" y="9"/>
                                    </a:lnTo>
                                    <a:lnTo>
                                      <a:pt x="9" y="0"/>
                                    </a:lnTo>
                                    <a:lnTo>
                                      <a:pt x="0" y="0"/>
                                    </a:lnTo>
                                    <a:lnTo>
                                      <a:pt x="0" y="9"/>
                                    </a:lnTo>
                                    <a:close/>
                                  </a:path>
                                </a:pathLst>
                              </a:custGeom>
                              <a:solidFill>
                                <a:srgbClr val="000000"/>
                              </a:solidFill>
                              <a:ln>
                                <a:noFill/>
                              </a:ln>
                            </wps:spPr>
                            <wps:bodyPr upright="1"/>
                          </wps:wsp>
                        </a:graphicData>
                      </a:graphic>
                    </wp:anchor>
                  </w:drawing>
                </mc:Choice>
                <mc:Fallback>
                  <w:pict>
                    <v:shape id="任意多边形 11" o:spid="_x0000_s1026" o:spt="100" style="position:absolute;left:0pt;margin-left:68.25pt;margin-top:456.05pt;height:0.5pt;width:0.5pt;mso-position-horizontal-relative:page;mso-position-vertical-relative:page;z-index:251660288;mso-width-relative:page;mso-height-relative:page;" fillcolor="#000000" filled="t" stroked="f" coordsize="10,10" o:gfxdata="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vJckdgAAAALAQAADwAAAAAAAAAB&#10;ACAAAAAiAAAAZHJzL2Rvd25yZXYueG1sUEsBAhQAFAAAAAgAh07iQDJIsEcQAgAAkAQAAA4AAAAA&#10;AAAAAQAgAAAAJwEAAGRycy9lMm9Eb2MueG1sUEsFBgAAAAAGAAYAWQEAAKkFAAAAAA==&#10;" path="m0,9l9,9,9,0,0,0,0,9xe">
                      <v:fill on="t" focussize="0,0"/>
                      <v:stroke on="f"/>
                      <v:imagedata o:title=""/>
                      <o:lock v:ext="edit" aspectratio="f"/>
                    </v:shape>
                  </w:pict>
                </mc:Fallback>
              </mc:AlternateContent>
            </w:r>
          </w:p>
        </w:tc>
        <w:tc>
          <w:tcPr>
            <w:tcW w:w="6907" w:type="dxa"/>
            <w:gridSpan w:val="6"/>
          </w:tcPr>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（14）电子投标文件符合招标文件规定且不存在投标人须知第10.5款第（1）条规定的情形。</w:t>
            </w:r>
          </w:p>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（15）投标文件未附有招标人不能接受的其他条件。</w:t>
            </w:r>
          </w:p>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第二个信封（报价文件） 评审标准：</w:t>
            </w:r>
          </w:p>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（1）投标文件按照招标文件规定的格式、内容填写，字迹清晰可辨，内容齐全完整：</w:t>
            </w:r>
          </w:p>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a．投标函按照招标文件规定填报了项目名称、补遗书编号（如有）、投标价（包括大写金额和小写金额）；</w:t>
            </w:r>
          </w:p>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b．已标价报价清单说明文字与招标文件规定一致，未进行实质性修改和删减；</w:t>
            </w:r>
          </w:p>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C.投标文件组成齐全完整，内容均按规定填写。</w:t>
            </w:r>
          </w:p>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（2）投标文件上法定代表人的电子签名、投标人的单位电子签章齐全，符合招标文件规定。</w:t>
            </w:r>
          </w:p>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（3）投标报价未超过招标文件设定的最高投标限价或最终控制价上限。</w:t>
            </w:r>
          </w:p>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（4）投标报价的大写金额能够确定具体数值。</w:t>
            </w:r>
          </w:p>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（5）同一投标人未提交两个以上不同的投标报价，但招标文件要求提交备选投标的除外。</w:t>
            </w:r>
          </w:p>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（6）电子投标文件符合招标文件规定且不存在投标人须知第10.5款第（1）条规定的情形。</w:t>
            </w:r>
          </w:p>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（7）投标文件未附有招标人不能接受的其他条件。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61" w:hRule="atLeast"/>
          <w:jc w:val="center"/>
        </w:trPr>
        <w:tc>
          <w:tcPr>
            <w:tcW w:w="969" w:type="dxa"/>
            <w:gridSpan w:val="2"/>
          </w:tcPr>
          <w:p>
            <w:pPr>
              <w:spacing w:line="266" w:lineRule="auto"/>
              <w:rPr>
                <w:rFonts w:ascii="宋体" w:hAnsi="宋体" w:eastAsia="宋体" w:cs="宋体"/>
                <w:color w:val="auto"/>
                <w:highlight w:val="none"/>
              </w:rPr>
            </w:pPr>
          </w:p>
          <w:p>
            <w:pPr>
              <w:spacing w:line="266" w:lineRule="auto"/>
              <w:rPr>
                <w:rFonts w:ascii="宋体" w:hAnsi="宋体" w:eastAsia="宋体" w:cs="宋体"/>
                <w:color w:val="auto"/>
                <w:highlight w:val="none"/>
              </w:rPr>
            </w:pPr>
          </w:p>
          <w:p>
            <w:pPr>
              <w:spacing w:line="266" w:lineRule="auto"/>
              <w:rPr>
                <w:rFonts w:ascii="宋体" w:hAnsi="宋体" w:eastAsia="宋体" w:cs="宋体"/>
                <w:color w:val="auto"/>
                <w:highlight w:val="none"/>
              </w:rPr>
            </w:pPr>
          </w:p>
          <w:p>
            <w:pPr>
              <w:spacing w:line="266" w:lineRule="auto"/>
              <w:rPr>
                <w:rFonts w:ascii="宋体" w:hAnsi="宋体" w:eastAsia="宋体" w:cs="宋体"/>
                <w:color w:val="auto"/>
                <w:highlight w:val="none"/>
              </w:rPr>
            </w:pPr>
          </w:p>
          <w:p>
            <w:pPr>
              <w:spacing w:line="267" w:lineRule="auto"/>
              <w:rPr>
                <w:rFonts w:ascii="宋体" w:hAnsi="宋体" w:eastAsia="宋体" w:cs="宋体"/>
                <w:color w:val="auto"/>
                <w:highlight w:val="none"/>
              </w:rPr>
            </w:pPr>
          </w:p>
          <w:p>
            <w:pPr>
              <w:spacing w:before="61" w:line="189" w:lineRule="auto"/>
              <w:ind w:firstLine="275"/>
              <w:rPr>
                <w:rFonts w:ascii="宋体" w:hAnsi="宋体" w:eastAsia="宋体" w:cs="宋体"/>
                <w:color w:val="auto"/>
                <w:highlight w:val="none"/>
              </w:rPr>
            </w:pPr>
            <w:r>
              <w:rPr>
                <w:rFonts w:hint="eastAsia" w:ascii="宋体" w:hAnsi="宋体" w:eastAsia="宋体" w:cs="宋体"/>
                <w:color w:val="auto"/>
                <w:spacing w:val="-1"/>
                <w:highlight w:val="none"/>
              </w:rPr>
              <w:t>2.</w:t>
            </w:r>
            <w:r>
              <w:rPr>
                <w:rFonts w:hint="eastAsia" w:ascii="宋体" w:hAnsi="宋体" w:eastAsia="宋体" w:cs="宋体"/>
                <w:color w:val="auto"/>
                <w:highlight w:val="none"/>
              </w:rPr>
              <w:t>1.2</w:t>
            </w:r>
          </w:p>
        </w:tc>
        <w:tc>
          <w:tcPr>
            <w:tcW w:w="1415" w:type="dxa"/>
            <w:gridSpan w:val="4"/>
          </w:tcPr>
          <w:p>
            <w:pPr>
              <w:spacing w:line="289" w:lineRule="auto"/>
              <w:rPr>
                <w:rFonts w:ascii="宋体" w:hAnsi="宋体" w:eastAsia="宋体" w:cs="宋体"/>
                <w:color w:val="auto"/>
                <w:highlight w:val="none"/>
              </w:rPr>
            </w:pPr>
          </w:p>
          <w:p>
            <w:pPr>
              <w:spacing w:line="289" w:lineRule="auto"/>
              <w:rPr>
                <w:rFonts w:ascii="宋体" w:hAnsi="宋体" w:eastAsia="宋体" w:cs="宋体"/>
                <w:color w:val="auto"/>
                <w:highlight w:val="none"/>
              </w:rPr>
            </w:pPr>
          </w:p>
          <w:p>
            <w:pPr>
              <w:spacing w:line="289" w:lineRule="auto"/>
              <w:rPr>
                <w:rFonts w:ascii="宋体" w:hAnsi="宋体" w:eastAsia="宋体" w:cs="宋体"/>
                <w:color w:val="auto"/>
                <w:highlight w:val="none"/>
              </w:rPr>
            </w:pPr>
          </w:p>
          <w:p>
            <w:pPr>
              <w:spacing w:line="289" w:lineRule="auto"/>
              <w:rPr>
                <w:rFonts w:ascii="宋体" w:hAnsi="宋体" w:eastAsia="宋体" w:cs="宋体"/>
                <w:color w:val="auto"/>
                <w:highlight w:val="none"/>
              </w:rPr>
            </w:pPr>
          </w:p>
          <w:p>
            <w:pPr>
              <w:spacing w:before="68" w:line="256" w:lineRule="auto"/>
              <w:ind w:left="583" w:right="157" w:hanging="412"/>
              <w:rPr>
                <w:rFonts w:ascii="宋体" w:hAnsi="宋体" w:eastAsia="宋体" w:cs="宋体"/>
                <w:color w:val="auto"/>
                <w:highlight w:val="none"/>
              </w:rPr>
            </w:pPr>
            <w:r>
              <w:rPr>
                <w:rFonts w:hint="eastAsia" w:ascii="宋体" w:hAnsi="宋体" w:eastAsia="宋体" w:cs="宋体"/>
                <w:color w:val="auto"/>
                <w:spacing w:val="-3"/>
                <w:highlight w:val="none"/>
              </w:rPr>
              <w:t>资格评审</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 xml:space="preserve"> 准</w:t>
            </w:r>
          </w:p>
        </w:tc>
        <w:tc>
          <w:tcPr>
            <w:tcW w:w="6907" w:type="dxa"/>
            <w:gridSpan w:val="6"/>
          </w:tcPr>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spacing w:val="-33"/>
                <w:highlight w:val="none"/>
              </w:rPr>
              <w:t>）</w:t>
            </w:r>
            <w:r>
              <w:rPr>
                <w:rFonts w:hint="eastAsia" w:ascii="宋体" w:hAnsi="宋体" w:eastAsia="宋体" w:cs="宋体"/>
                <w:color w:val="auto"/>
                <w:highlight w:val="none"/>
              </w:rPr>
              <w:t>投标人具备有效的营业执照</w:t>
            </w:r>
            <w:r>
              <w:rPr>
                <w:rFonts w:hint="eastAsia" w:ascii="宋体" w:hAnsi="宋体" w:eastAsia="宋体" w:cs="宋体"/>
                <w:color w:val="auto"/>
                <w:spacing w:val="-32"/>
                <w:highlight w:val="none"/>
              </w:rPr>
              <w:t>、</w:t>
            </w:r>
            <w:r>
              <w:rPr>
                <w:rFonts w:hint="eastAsia" w:ascii="宋体" w:hAnsi="宋体" w:eastAsia="宋体" w:cs="宋体"/>
                <w:color w:val="auto"/>
                <w:highlight w:val="none"/>
              </w:rPr>
              <w:t xml:space="preserve"> </w:t>
            </w:r>
            <w:r>
              <w:rPr>
                <w:rFonts w:hint="eastAsia" w:ascii="宋体" w:hAnsi="宋体" w:eastAsia="宋体" w:cs="宋体"/>
                <w:color w:val="auto"/>
                <w:spacing w:val="-1"/>
                <w:highlight w:val="none"/>
              </w:rPr>
              <w:t>资质证书和基本账户开户许</w:t>
            </w:r>
            <w:r>
              <w:rPr>
                <w:rFonts w:hint="eastAsia" w:ascii="宋体" w:hAnsi="宋体" w:eastAsia="宋体" w:cs="宋体"/>
                <w:color w:val="auto"/>
                <w:highlight w:val="none"/>
              </w:rPr>
              <w:t>可证（或开户行出具的基本存款账户信息表</w:t>
            </w:r>
            <w:r>
              <w:rPr>
                <w:rFonts w:hint="eastAsia" w:ascii="宋体" w:hAnsi="宋体" w:eastAsia="宋体" w:cs="宋体"/>
                <w:color w:val="auto"/>
                <w:spacing w:val="-106"/>
                <w:highlight w:val="none"/>
              </w:rPr>
              <w:t>）。</w:t>
            </w:r>
          </w:p>
          <w:p>
            <w:pPr>
              <w:spacing w:before="76" w:line="233" w:lineRule="auto"/>
              <w:ind w:firstLine="119"/>
              <w:rPr>
                <w:rFonts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spacing w:val="-6"/>
                <w:highlight w:val="none"/>
              </w:rPr>
              <w:t>）</w:t>
            </w:r>
            <w:r>
              <w:rPr>
                <w:rFonts w:hint="eastAsia" w:ascii="宋体" w:hAnsi="宋体" w:eastAsia="宋体" w:cs="宋体"/>
                <w:color w:val="auto"/>
                <w:highlight w:val="none"/>
              </w:rPr>
              <w:t>投标人的资质等级符合招标文件规定</w:t>
            </w:r>
            <w:r>
              <w:rPr>
                <w:rFonts w:hint="eastAsia" w:ascii="宋体" w:hAnsi="宋体" w:eastAsia="宋体" w:cs="宋体"/>
                <w:color w:val="auto"/>
                <w:spacing w:val="-5"/>
                <w:highlight w:val="none"/>
              </w:rPr>
              <w:t>。</w:t>
            </w:r>
          </w:p>
          <w:p>
            <w:pPr>
              <w:spacing w:before="61" w:line="233" w:lineRule="auto"/>
              <w:ind w:firstLine="119"/>
              <w:rPr>
                <w:rFonts w:ascii="宋体" w:hAnsi="宋体" w:eastAsia="宋体" w:cs="宋体"/>
                <w:color w:val="auto"/>
                <w:spacing w:val="-6"/>
                <w:highlight w:val="none"/>
              </w:rPr>
            </w:pPr>
            <w:r>
              <w:rPr>
                <w:rFonts w:hint="eastAsia" w:ascii="宋体" w:hAnsi="宋体" w:eastAsia="宋体" w:cs="宋体"/>
                <w:color w:val="auto"/>
                <w:highlight w:val="none"/>
              </w:rPr>
              <w:t>（3</w:t>
            </w:r>
            <w:r>
              <w:rPr>
                <w:rFonts w:hint="eastAsia" w:ascii="宋体" w:hAnsi="宋体" w:eastAsia="宋体" w:cs="宋体"/>
                <w:color w:val="auto"/>
                <w:spacing w:val="-6"/>
                <w:highlight w:val="none"/>
              </w:rPr>
              <w:t>）投标人的财务状况符合招标文件规定。</w:t>
            </w:r>
          </w:p>
          <w:p>
            <w:pPr>
              <w:spacing w:before="61" w:line="233" w:lineRule="auto"/>
              <w:ind w:firstLine="119"/>
              <w:rPr>
                <w:rFonts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spacing w:val="-6"/>
                <w:highlight w:val="none"/>
              </w:rPr>
              <w:t>）</w:t>
            </w:r>
            <w:r>
              <w:rPr>
                <w:rFonts w:hint="eastAsia" w:ascii="宋体" w:hAnsi="宋体" w:eastAsia="宋体" w:cs="宋体"/>
                <w:color w:val="auto"/>
                <w:highlight w:val="none"/>
              </w:rPr>
              <w:t>投标人的类似项目业绩符合招标文件规定</w:t>
            </w:r>
            <w:r>
              <w:rPr>
                <w:rFonts w:hint="eastAsia" w:ascii="宋体" w:hAnsi="宋体" w:eastAsia="宋体" w:cs="宋体"/>
                <w:color w:val="auto"/>
                <w:spacing w:val="-5"/>
                <w:highlight w:val="none"/>
              </w:rPr>
              <w:t>。</w:t>
            </w:r>
          </w:p>
          <w:p>
            <w:pPr>
              <w:spacing w:before="63" w:line="233" w:lineRule="auto"/>
              <w:ind w:firstLine="119"/>
              <w:rPr>
                <w:rFonts w:ascii="宋体" w:hAnsi="宋体" w:eastAsia="宋体" w:cs="宋体"/>
                <w:color w:val="auto"/>
                <w:highlight w:val="none"/>
              </w:rPr>
            </w:pPr>
            <w:r>
              <w:rPr>
                <w:rFonts w:hint="eastAsia" w:ascii="宋体" w:hAnsi="宋体" w:eastAsia="宋体" w:cs="宋体"/>
                <w:color w:val="auto"/>
                <w:highlight w:val="none"/>
              </w:rPr>
              <w:t>（5</w:t>
            </w:r>
            <w:r>
              <w:rPr>
                <w:rFonts w:hint="eastAsia" w:ascii="宋体" w:hAnsi="宋体" w:eastAsia="宋体" w:cs="宋体"/>
                <w:color w:val="auto"/>
                <w:spacing w:val="-6"/>
                <w:highlight w:val="none"/>
              </w:rPr>
              <w:t>）</w:t>
            </w:r>
            <w:r>
              <w:rPr>
                <w:rFonts w:hint="eastAsia" w:ascii="宋体" w:hAnsi="宋体" w:eastAsia="宋体" w:cs="宋体"/>
                <w:color w:val="auto"/>
                <w:highlight w:val="none"/>
              </w:rPr>
              <w:t>投标人的信誉符合招标文件规定</w:t>
            </w:r>
            <w:r>
              <w:rPr>
                <w:rFonts w:hint="eastAsia" w:ascii="宋体" w:hAnsi="宋体" w:eastAsia="宋体" w:cs="宋体"/>
                <w:color w:val="auto"/>
                <w:spacing w:val="-6"/>
                <w:highlight w:val="none"/>
              </w:rPr>
              <w:t>。</w:t>
            </w:r>
          </w:p>
          <w:p>
            <w:pPr>
              <w:spacing w:before="61" w:line="233" w:lineRule="auto"/>
              <w:ind w:firstLine="119"/>
              <w:rPr>
                <w:rFonts w:ascii="宋体" w:hAnsi="宋体" w:eastAsia="宋体" w:cs="宋体"/>
                <w:color w:val="auto"/>
                <w:highlight w:val="none"/>
              </w:rPr>
            </w:pPr>
            <w:r>
              <w:rPr>
                <w:rFonts w:hint="eastAsia" w:ascii="宋体" w:hAnsi="宋体" w:eastAsia="宋体" w:cs="宋体"/>
                <w:color w:val="auto"/>
                <w:highlight w:val="none"/>
              </w:rPr>
              <w:t>（6</w:t>
            </w:r>
            <w:r>
              <w:rPr>
                <w:rFonts w:hint="eastAsia" w:ascii="宋体" w:hAnsi="宋体" w:eastAsia="宋体" w:cs="宋体"/>
                <w:color w:val="auto"/>
                <w:spacing w:val="-14"/>
                <w:highlight w:val="none"/>
              </w:rPr>
              <w:t>）</w:t>
            </w:r>
            <w:r>
              <w:rPr>
                <w:rFonts w:hint="eastAsia" w:ascii="宋体" w:hAnsi="宋体" w:eastAsia="宋体" w:cs="宋体"/>
                <w:color w:val="auto"/>
                <w:highlight w:val="none"/>
              </w:rPr>
              <w:t>投标人的项目负责人资格符合招标文件规定</w:t>
            </w:r>
            <w:r>
              <w:rPr>
                <w:rFonts w:hint="eastAsia" w:ascii="宋体" w:hAnsi="宋体" w:eastAsia="宋体" w:cs="宋体"/>
                <w:color w:val="auto"/>
                <w:spacing w:val="-13"/>
                <w:highlight w:val="none"/>
              </w:rPr>
              <w:t>。</w:t>
            </w:r>
          </w:p>
          <w:p>
            <w:pPr>
              <w:spacing w:before="62" w:line="254" w:lineRule="auto"/>
              <w:ind w:left="116" w:right="104" w:firstLine="2"/>
              <w:rPr>
                <w:rFonts w:ascii="宋体" w:hAnsi="宋体" w:eastAsia="宋体" w:cs="宋体"/>
                <w:color w:val="auto"/>
                <w:highlight w:val="none"/>
              </w:rPr>
            </w:pPr>
            <w:r>
              <w:rPr>
                <w:rFonts w:hint="eastAsia" w:ascii="宋体" w:hAnsi="宋体" w:eastAsia="宋体" w:cs="宋体"/>
                <w:color w:val="auto"/>
                <w:spacing w:val="-1"/>
                <w:highlight w:val="none"/>
              </w:rPr>
              <w:t>（7</w:t>
            </w:r>
            <w:r>
              <w:rPr>
                <w:rFonts w:hint="eastAsia" w:ascii="宋体" w:hAnsi="宋体" w:eastAsia="宋体" w:cs="宋体"/>
                <w:color w:val="auto"/>
                <w:spacing w:val="-106"/>
                <w:highlight w:val="none"/>
              </w:rPr>
              <w:t>）</w:t>
            </w:r>
            <w:r>
              <w:rPr>
                <w:rFonts w:hint="eastAsia" w:ascii="宋体" w:hAnsi="宋体" w:eastAsia="宋体" w:cs="宋体"/>
                <w:color w:val="auto"/>
                <w:spacing w:val="-1"/>
                <w:highlight w:val="none"/>
              </w:rPr>
              <w:t>投标人不存在第二章“投标人须知”第</w:t>
            </w:r>
            <w:r>
              <w:rPr>
                <w:rFonts w:hint="eastAsia" w:ascii="宋体" w:hAnsi="宋体" w:eastAsia="宋体" w:cs="宋体"/>
                <w:color w:val="auto"/>
                <w:spacing w:val="-18"/>
                <w:highlight w:val="none"/>
              </w:rPr>
              <w:t xml:space="preserve"> </w:t>
            </w:r>
            <w:r>
              <w:rPr>
                <w:rFonts w:hint="eastAsia" w:ascii="宋体" w:hAnsi="宋体" w:eastAsia="宋体" w:cs="宋体"/>
                <w:color w:val="auto"/>
                <w:spacing w:val="-1"/>
                <w:highlight w:val="none"/>
              </w:rPr>
              <w:t>1.4.</w:t>
            </w:r>
            <w:r>
              <w:rPr>
                <w:rFonts w:hint="eastAsia" w:ascii="宋体" w:hAnsi="宋体" w:eastAsia="宋体" w:cs="宋体"/>
                <w:color w:val="auto"/>
                <w:highlight w:val="none"/>
              </w:rPr>
              <w:t>3</w:t>
            </w:r>
            <w:r>
              <w:rPr>
                <w:rFonts w:hint="eastAsia" w:ascii="宋体" w:hAnsi="宋体" w:eastAsia="宋体" w:cs="宋体"/>
                <w:color w:val="auto"/>
                <w:spacing w:val="-9"/>
                <w:highlight w:val="none"/>
              </w:rPr>
              <w:t xml:space="preserve"> </w:t>
            </w:r>
            <w:r>
              <w:rPr>
                <w:rFonts w:hint="eastAsia" w:ascii="宋体" w:hAnsi="宋体" w:eastAsia="宋体" w:cs="宋体"/>
                <w:color w:val="auto"/>
                <w:highlight w:val="none"/>
              </w:rPr>
              <w:t>项或第</w:t>
            </w:r>
            <w:r>
              <w:rPr>
                <w:rFonts w:hint="eastAsia" w:ascii="宋体" w:hAnsi="宋体" w:eastAsia="宋体" w:cs="宋体"/>
                <w:color w:val="auto"/>
                <w:spacing w:val="-18"/>
                <w:highlight w:val="none"/>
              </w:rPr>
              <w:t xml:space="preserve"> </w:t>
            </w:r>
            <w:r>
              <w:rPr>
                <w:rFonts w:hint="eastAsia" w:ascii="宋体" w:hAnsi="宋体" w:eastAsia="宋体" w:cs="宋体"/>
                <w:color w:val="auto"/>
                <w:highlight w:val="none"/>
              </w:rPr>
              <w:t>1.4.4</w:t>
            </w:r>
            <w:r>
              <w:rPr>
                <w:rFonts w:hint="eastAsia" w:ascii="宋体" w:hAnsi="宋体" w:eastAsia="宋体" w:cs="宋体"/>
                <w:color w:val="auto"/>
                <w:spacing w:val="-9"/>
                <w:highlight w:val="none"/>
              </w:rPr>
              <w:t xml:space="preserve"> </w:t>
            </w:r>
            <w:r>
              <w:rPr>
                <w:rFonts w:hint="eastAsia" w:ascii="宋体" w:hAnsi="宋体" w:eastAsia="宋体" w:cs="宋体"/>
                <w:color w:val="auto"/>
                <w:highlight w:val="none"/>
              </w:rPr>
              <w:t>项规定的任何一种情形</w:t>
            </w:r>
            <w:r>
              <w:rPr>
                <w:rFonts w:hint="eastAsia" w:ascii="宋体" w:hAnsi="宋体" w:eastAsia="宋体" w:cs="宋体"/>
                <w:color w:val="auto"/>
                <w:spacing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269" w:hRule="atLeast"/>
          <w:jc w:val="center"/>
        </w:trPr>
        <w:tc>
          <w:tcPr>
            <w:tcW w:w="969" w:type="dxa"/>
            <w:gridSpan w:val="2"/>
          </w:tcPr>
          <w:p>
            <w:pPr>
              <w:spacing w:line="260" w:lineRule="auto"/>
              <w:rPr>
                <w:rFonts w:ascii="宋体" w:hAnsi="宋体" w:eastAsia="宋体" w:cs="宋体"/>
                <w:color w:val="auto"/>
                <w:highlight w:val="none"/>
              </w:rPr>
            </w:pPr>
          </w:p>
          <w:p>
            <w:pPr>
              <w:spacing w:line="261" w:lineRule="auto"/>
              <w:rPr>
                <w:rFonts w:ascii="宋体" w:hAnsi="宋体" w:eastAsia="宋体" w:cs="宋体"/>
                <w:color w:val="auto"/>
                <w:highlight w:val="none"/>
              </w:rPr>
            </w:pPr>
          </w:p>
          <w:p>
            <w:pPr>
              <w:spacing w:before="60" w:line="189" w:lineRule="auto"/>
              <w:ind w:firstLine="275"/>
              <w:rPr>
                <w:rFonts w:ascii="宋体" w:hAnsi="宋体" w:eastAsia="宋体" w:cs="宋体"/>
                <w:color w:val="auto"/>
                <w:highlight w:val="none"/>
              </w:rPr>
            </w:pPr>
            <w:r>
              <w:rPr>
                <w:rFonts w:hint="eastAsia" w:ascii="宋体" w:hAnsi="宋体" w:eastAsia="宋体" w:cs="宋体"/>
                <w:color w:val="auto"/>
                <w:spacing w:val="-1"/>
                <w:highlight w:val="none"/>
              </w:rPr>
              <w:t>2.</w:t>
            </w:r>
            <w:r>
              <w:rPr>
                <w:rFonts w:hint="eastAsia" w:ascii="宋体" w:hAnsi="宋体" w:eastAsia="宋体" w:cs="宋体"/>
                <w:color w:val="auto"/>
                <w:highlight w:val="none"/>
              </w:rPr>
              <w:t>2.1</w:t>
            </w:r>
          </w:p>
        </w:tc>
        <w:tc>
          <w:tcPr>
            <w:tcW w:w="1415" w:type="dxa"/>
            <w:gridSpan w:val="4"/>
          </w:tcPr>
          <w:p>
            <w:pPr>
              <w:rPr>
                <w:rFonts w:ascii="宋体" w:hAnsi="宋体" w:eastAsia="宋体" w:cs="宋体"/>
                <w:color w:val="auto"/>
                <w:highlight w:val="none"/>
              </w:rPr>
            </w:pPr>
          </w:p>
          <w:p>
            <w:pPr>
              <w:spacing w:line="241" w:lineRule="auto"/>
              <w:rPr>
                <w:rFonts w:ascii="宋体" w:hAnsi="宋体" w:eastAsia="宋体" w:cs="宋体"/>
                <w:color w:val="auto"/>
                <w:highlight w:val="none"/>
              </w:rPr>
            </w:pPr>
          </w:p>
          <w:p>
            <w:pPr>
              <w:spacing w:before="68" w:line="221" w:lineRule="auto"/>
              <w:ind w:firstLine="270"/>
              <w:rPr>
                <w:rFonts w:ascii="宋体" w:hAnsi="宋体" w:eastAsia="宋体" w:cs="宋体"/>
                <w:color w:val="auto"/>
                <w:highlight w:val="none"/>
              </w:rPr>
            </w:pPr>
            <w:r>
              <w:rPr>
                <w:rFonts w:hint="eastAsia" w:ascii="宋体" w:hAnsi="宋体" w:eastAsia="宋体" w:cs="宋体"/>
                <w:color w:val="auto"/>
                <w:spacing w:val="-2"/>
                <w:highlight w:val="none"/>
              </w:rPr>
              <w:t>分值构成</w:t>
            </w:r>
          </w:p>
          <w:p>
            <w:pPr>
              <w:rPr>
                <w:rFonts w:ascii="宋体" w:hAnsi="宋体" w:eastAsia="宋体" w:cs="宋体"/>
                <w:color w:val="auto"/>
                <w:highlight w:val="none"/>
              </w:rPr>
            </w:pPr>
            <w:r>
              <w:rPr>
                <w:rFonts w:hint="eastAsia" w:ascii="宋体" w:hAnsi="宋体" w:eastAsia="宋体" w:cs="宋体"/>
                <w:color w:val="auto"/>
                <w:highlight w:val="none"/>
              </w:rPr>
              <mc:AlternateContent>
                <mc:Choice Requires="wps">
                  <w:drawing>
                    <wp:anchor distT="0" distB="0" distL="114300" distR="114300" simplePos="0" relativeHeight="251661312" behindDoc="0" locked="0" layoutInCell="1" allowOverlap="1">
                      <wp:simplePos x="0" y="0"/>
                      <wp:positionH relativeFrom="page">
                        <wp:posOffset>866775</wp:posOffset>
                      </wp:positionH>
                      <wp:positionV relativeFrom="page">
                        <wp:posOffset>626110</wp:posOffset>
                      </wp:positionV>
                      <wp:extent cx="6350" cy="6350"/>
                      <wp:effectExtent l="0" t="0" r="0" b="0"/>
                      <wp:wrapNone/>
                      <wp:docPr id="6" name="任意多边形 27"/>
                      <wp:cNvGraphicFramePr/>
                      <a:graphic xmlns:a="http://schemas.openxmlformats.org/drawingml/2006/main">
                        <a:graphicData uri="http://schemas.microsoft.com/office/word/2010/wordprocessingShape">
                          <wps:wsp>
                            <wps:cNvSpPr/>
                            <wps:spPr>
                              <a:xfrm>
                                <a:off x="0" y="0"/>
                                <a:ext cx="6350" cy="6350"/>
                              </a:xfrm>
                              <a:custGeom>
                                <a:avLst/>
                                <a:gdLst/>
                                <a:ahLst/>
                                <a:cxnLst/>
                                <a:rect l="0" t="0" r="0" b="0"/>
                                <a:pathLst>
                                  <a:path w="10" h="10">
                                    <a:moveTo>
                                      <a:pt x="0" y="9"/>
                                    </a:moveTo>
                                    <a:lnTo>
                                      <a:pt x="9" y="9"/>
                                    </a:lnTo>
                                    <a:lnTo>
                                      <a:pt x="9" y="0"/>
                                    </a:lnTo>
                                    <a:lnTo>
                                      <a:pt x="0" y="0"/>
                                    </a:lnTo>
                                    <a:lnTo>
                                      <a:pt x="0" y="9"/>
                                    </a:lnTo>
                                    <a:close/>
                                  </a:path>
                                </a:pathLst>
                              </a:custGeom>
                              <a:solidFill>
                                <a:srgbClr val="000000"/>
                              </a:solidFill>
                              <a:ln>
                                <a:noFill/>
                              </a:ln>
                            </wps:spPr>
                            <wps:bodyPr upright="1"/>
                          </wps:wsp>
                        </a:graphicData>
                      </a:graphic>
                    </wp:anchor>
                  </w:drawing>
                </mc:Choice>
                <mc:Fallback>
                  <w:pict>
                    <v:shape id="任意多边形 27" o:spid="_x0000_s1026" o:spt="100" style="position:absolute;left:0pt;margin-left:68.25pt;margin-top:49.3pt;height:0.5pt;width:0.5pt;mso-position-horizontal-relative:page;mso-position-vertical-relative:page;z-index:251661312;mso-width-relative:page;mso-height-relative:page;" fillcolor="#000000" filled="t" stroked="f" coordsize="10,10" o:gfxdata="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1QZEsdgAAAAJAQAADwAAAAAAAAAB&#10;ACAAAAAiAAAAZHJzL2Rvd25yZXYueG1sUEsBAhQAFAAAAAgAh07iQP5T0E0QAgAAkAQAAA4AAAAA&#10;AAAAAQAgAAAAJwEAAGRycy9lMm9Eb2MueG1sUEsFBgAAAAAGAAYAWQEAAKkFAAAAAA==&#10;" path="m0,9l9,9,9,0,0,0,0,9xe">
                      <v:fill on="t" focussize="0,0"/>
                      <v:stroke on="f"/>
                      <v:imagedata o:title=""/>
                      <o:lock v:ext="edit" aspectratio="f"/>
                    </v:shape>
                  </w:pict>
                </mc:Fallback>
              </mc:AlternateContent>
            </w:r>
          </w:p>
        </w:tc>
        <w:tc>
          <w:tcPr>
            <w:tcW w:w="6907" w:type="dxa"/>
            <w:gridSpan w:val="6"/>
          </w:tcPr>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第一个信封（商务及技术文件）评分分值构成：</w:t>
            </w:r>
          </w:p>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技术建议书：</w:t>
            </w:r>
            <w:r>
              <w:rPr>
                <w:rFonts w:hint="eastAsia" w:ascii="宋体" w:hAnsi="宋体" w:eastAsia="宋体" w:cs="宋体"/>
                <w:color w:val="auto"/>
                <w:highlight w:val="none"/>
                <w:lang w:val="en-US" w:eastAsia="zh-CN"/>
              </w:rPr>
              <w:t>15</w:t>
            </w:r>
            <w:r>
              <w:rPr>
                <w:rFonts w:hint="eastAsia" w:ascii="宋体" w:hAnsi="宋体" w:eastAsia="宋体" w:cs="宋体"/>
                <w:color w:val="auto"/>
                <w:highlight w:val="none"/>
              </w:rPr>
              <w:t xml:space="preserve"> 分</w:t>
            </w:r>
          </w:p>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 xml:space="preserve">主要人员： </w:t>
            </w:r>
            <w:r>
              <w:rPr>
                <w:rFonts w:hint="eastAsia" w:ascii="宋体" w:hAnsi="宋体" w:eastAsia="宋体" w:cs="宋体"/>
                <w:color w:val="auto"/>
                <w:highlight w:val="none"/>
                <w:lang w:val="en-US" w:eastAsia="zh-CN"/>
              </w:rPr>
              <w:t>35</w:t>
            </w:r>
            <w:r>
              <w:rPr>
                <w:rFonts w:hint="eastAsia" w:ascii="宋体" w:hAnsi="宋体" w:eastAsia="宋体" w:cs="宋体"/>
                <w:color w:val="auto"/>
                <w:highlight w:val="none"/>
              </w:rPr>
              <w:t>分</w:t>
            </w:r>
          </w:p>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业    绩：</w:t>
            </w:r>
            <w:r>
              <w:rPr>
                <w:rFonts w:hint="eastAsia" w:ascii="宋体" w:hAnsi="宋体" w:eastAsia="宋体" w:cs="宋体"/>
                <w:color w:val="auto"/>
                <w:highlight w:val="none"/>
                <w:lang w:val="en-US" w:eastAsia="zh-CN"/>
              </w:rPr>
              <w:t>35</w:t>
            </w:r>
            <w:r>
              <w:rPr>
                <w:rFonts w:hint="eastAsia" w:ascii="宋体" w:hAnsi="宋体" w:eastAsia="宋体" w:cs="宋体"/>
                <w:color w:val="auto"/>
                <w:highlight w:val="none"/>
              </w:rPr>
              <w:t>分</w:t>
            </w:r>
          </w:p>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 xml:space="preserve">履约信誉： </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 xml:space="preserve"> 分</w:t>
            </w:r>
          </w:p>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第二个信封（报价文件） 评分分值构成：</w:t>
            </w:r>
          </w:p>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评标价：10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jc w:val="center"/>
        </w:trPr>
        <w:tc>
          <w:tcPr>
            <w:tcW w:w="969" w:type="dxa"/>
            <w:gridSpan w:val="2"/>
          </w:tcPr>
          <w:p>
            <w:pPr>
              <w:spacing w:line="244" w:lineRule="auto"/>
              <w:rPr>
                <w:rFonts w:ascii="宋体" w:hAnsi="宋体" w:eastAsia="宋体" w:cs="宋体"/>
                <w:color w:val="auto"/>
                <w:highlight w:val="none"/>
              </w:rPr>
            </w:pPr>
          </w:p>
          <w:p>
            <w:pPr>
              <w:spacing w:line="244" w:lineRule="auto"/>
              <w:rPr>
                <w:rFonts w:ascii="宋体" w:hAnsi="宋体" w:eastAsia="宋体" w:cs="宋体"/>
                <w:color w:val="auto"/>
                <w:highlight w:val="none"/>
              </w:rPr>
            </w:pPr>
          </w:p>
          <w:p>
            <w:pPr>
              <w:spacing w:line="245" w:lineRule="auto"/>
              <w:rPr>
                <w:rFonts w:ascii="宋体" w:hAnsi="宋体" w:eastAsia="宋体" w:cs="宋体"/>
                <w:color w:val="auto"/>
                <w:highlight w:val="none"/>
              </w:rPr>
            </w:pPr>
          </w:p>
          <w:p>
            <w:pPr>
              <w:spacing w:line="245" w:lineRule="auto"/>
              <w:rPr>
                <w:rFonts w:ascii="宋体" w:hAnsi="宋体" w:eastAsia="宋体" w:cs="宋体"/>
                <w:color w:val="auto"/>
                <w:highlight w:val="none"/>
              </w:rPr>
            </w:pPr>
          </w:p>
          <w:p>
            <w:pPr>
              <w:spacing w:line="245" w:lineRule="auto"/>
              <w:rPr>
                <w:rFonts w:ascii="宋体" w:hAnsi="宋体" w:eastAsia="宋体" w:cs="宋体"/>
                <w:color w:val="auto"/>
                <w:highlight w:val="none"/>
              </w:rPr>
            </w:pPr>
          </w:p>
          <w:p>
            <w:pPr>
              <w:spacing w:line="245" w:lineRule="auto"/>
              <w:rPr>
                <w:rFonts w:ascii="宋体" w:hAnsi="宋体" w:eastAsia="宋体" w:cs="宋体"/>
                <w:color w:val="auto"/>
                <w:highlight w:val="none"/>
              </w:rPr>
            </w:pPr>
          </w:p>
          <w:p>
            <w:pPr>
              <w:spacing w:line="245" w:lineRule="auto"/>
              <w:rPr>
                <w:rFonts w:ascii="宋体" w:hAnsi="宋体" w:eastAsia="宋体" w:cs="宋体"/>
                <w:color w:val="auto"/>
                <w:highlight w:val="none"/>
              </w:rPr>
            </w:pPr>
          </w:p>
          <w:p>
            <w:pPr>
              <w:spacing w:line="245" w:lineRule="auto"/>
              <w:rPr>
                <w:rFonts w:ascii="宋体" w:hAnsi="宋体" w:eastAsia="宋体" w:cs="宋体"/>
                <w:color w:val="auto"/>
                <w:highlight w:val="none"/>
              </w:rPr>
            </w:pPr>
          </w:p>
          <w:p>
            <w:pPr>
              <w:spacing w:line="245" w:lineRule="auto"/>
              <w:rPr>
                <w:rFonts w:ascii="宋体" w:hAnsi="宋体" w:eastAsia="宋体" w:cs="宋体"/>
                <w:color w:val="auto"/>
                <w:highlight w:val="none"/>
              </w:rPr>
            </w:pPr>
          </w:p>
          <w:p>
            <w:pPr>
              <w:spacing w:line="245" w:lineRule="auto"/>
              <w:rPr>
                <w:rFonts w:ascii="宋体" w:hAnsi="宋体" w:eastAsia="宋体" w:cs="宋体"/>
                <w:color w:val="auto"/>
                <w:highlight w:val="none"/>
              </w:rPr>
            </w:pPr>
          </w:p>
          <w:p>
            <w:pPr>
              <w:spacing w:line="245" w:lineRule="auto"/>
              <w:rPr>
                <w:rFonts w:ascii="宋体" w:hAnsi="宋体" w:eastAsia="宋体" w:cs="宋体"/>
                <w:color w:val="auto"/>
                <w:highlight w:val="none"/>
              </w:rPr>
            </w:pPr>
          </w:p>
          <w:p>
            <w:pPr>
              <w:spacing w:line="245" w:lineRule="auto"/>
              <w:rPr>
                <w:rFonts w:ascii="宋体" w:hAnsi="宋体" w:eastAsia="宋体" w:cs="宋体"/>
                <w:color w:val="auto"/>
                <w:highlight w:val="none"/>
              </w:rPr>
            </w:pPr>
          </w:p>
          <w:p>
            <w:pPr>
              <w:spacing w:line="245" w:lineRule="auto"/>
              <w:rPr>
                <w:rFonts w:ascii="宋体" w:hAnsi="宋体" w:eastAsia="宋体" w:cs="宋体"/>
                <w:color w:val="auto"/>
                <w:highlight w:val="none"/>
              </w:rPr>
            </w:pPr>
          </w:p>
          <w:p>
            <w:pPr>
              <w:spacing w:line="245" w:lineRule="auto"/>
              <w:rPr>
                <w:rFonts w:ascii="宋体" w:hAnsi="宋体" w:eastAsia="宋体" w:cs="宋体"/>
                <w:color w:val="auto"/>
                <w:highlight w:val="none"/>
              </w:rPr>
            </w:pPr>
          </w:p>
          <w:p>
            <w:pPr>
              <w:spacing w:line="245" w:lineRule="auto"/>
              <w:rPr>
                <w:rFonts w:ascii="宋体" w:hAnsi="宋体" w:eastAsia="宋体" w:cs="宋体"/>
                <w:color w:val="auto"/>
                <w:highlight w:val="none"/>
              </w:rPr>
            </w:pPr>
          </w:p>
          <w:p>
            <w:pPr>
              <w:spacing w:line="245" w:lineRule="auto"/>
              <w:rPr>
                <w:rFonts w:ascii="宋体" w:hAnsi="宋体" w:eastAsia="宋体" w:cs="宋体"/>
                <w:color w:val="auto"/>
                <w:highlight w:val="none"/>
              </w:rPr>
            </w:pPr>
          </w:p>
          <w:p>
            <w:pPr>
              <w:spacing w:line="245" w:lineRule="auto"/>
              <w:rPr>
                <w:rFonts w:ascii="宋体" w:hAnsi="宋体" w:eastAsia="宋体" w:cs="宋体"/>
                <w:color w:val="auto"/>
                <w:highlight w:val="none"/>
              </w:rPr>
            </w:pPr>
          </w:p>
          <w:p>
            <w:pPr>
              <w:spacing w:line="245" w:lineRule="auto"/>
              <w:rPr>
                <w:rFonts w:ascii="宋体" w:hAnsi="宋体" w:eastAsia="宋体" w:cs="宋体"/>
                <w:color w:val="auto"/>
                <w:highlight w:val="none"/>
              </w:rPr>
            </w:pPr>
          </w:p>
          <w:p>
            <w:pPr>
              <w:spacing w:line="245" w:lineRule="auto"/>
              <w:rPr>
                <w:rFonts w:ascii="宋体" w:hAnsi="宋体" w:eastAsia="宋体" w:cs="宋体"/>
                <w:color w:val="auto"/>
                <w:highlight w:val="none"/>
              </w:rPr>
            </w:pPr>
          </w:p>
          <w:p>
            <w:pPr>
              <w:spacing w:line="245" w:lineRule="auto"/>
              <w:rPr>
                <w:rFonts w:ascii="宋体" w:hAnsi="宋体" w:eastAsia="宋体" w:cs="宋体"/>
                <w:color w:val="auto"/>
                <w:highlight w:val="none"/>
              </w:rPr>
            </w:pPr>
          </w:p>
          <w:p>
            <w:pPr>
              <w:spacing w:line="245" w:lineRule="auto"/>
              <w:rPr>
                <w:rFonts w:ascii="宋体" w:hAnsi="宋体" w:eastAsia="宋体" w:cs="宋体"/>
                <w:color w:val="auto"/>
                <w:highlight w:val="none"/>
              </w:rPr>
            </w:pPr>
          </w:p>
          <w:p>
            <w:pPr>
              <w:spacing w:line="245" w:lineRule="auto"/>
              <w:rPr>
                <w:rFonts w:ascii="宋体" w:hAnsi="宋体" w:eastAsia="宋体" w:cs="宋体"/>
                <w:color w:val="auto"/>
                <w:highlight w:val="none"/>
              </w:rPr>
            </w:pPr>
          </w:p>
          <w:p>
            <w:pPr>
              <w:spacing w:before="60" w:line="189" w:lineRule="auto"/>
              <w:ind w:firstLine="220"/>
              <w:rPr>
                <w:rFonts w:ascii="宋体" w:hAnsi="宋体" w:eastAsia="宋体" w:cs="宋体"/>
                <w:color w:val="auto"/>
                <w:highlight w:val="none"/>
              </w:rPr>
            </w:pPr>
            <w:r>
              <w:rPr>
                <w:rFonts w:hint="eastAsia" w:ascii="宋体" w:hAnsi="宋体" w:eastAsia="宋体" w:cs="宋体"/>
                <w:color w:val="auto"/>
                <w:spacing w:val="-1"/>
                <w:highlight w:val="none"/>
              </w:rPr>
              <w:t>2.</w:t>
            </w:r>
            <w:r>
              <w:rPr>
                <w:rFonts w:hint="eastAsia" w:ascii="宋体" w:hAnsi="宋体" w:eastAsia="宋体" w:cs="宋体"/>
                <w:color w:val="auto"/>
                <w:highlight w:val="none"/>
              </w:rPr>
              <w:t>2.2</w:t>
            </w:r>
          </w:p>
        </w:tc>
        <w:tc>
          <w:tcPr>
            <w:tcW w:w="1415" w:type="dxa"/>
            <w:gridSpan w:val="4"/>
          </w:tcPr>
          <w:p>
            <w:pPr>
              <w:spacing w:line="241" w:lineRule="auto"/>
              <w:rPr>
                <w:rFonts w:ascii="宋体" w:hAnsi="宋体" w:eastAsia="宋体" w:cs="宋体"/>
                <w:color w:val="auto"/>
                <w:highlight w:val="none"/>
              </w:rPr>
            </w:pPr>
          </w:p>
          <w:p>
            <w:pPr>
              <w:spacing w:line="241" w:lineRule="auto"/>
              <w:rPr>
                <w:rFonts w:ascii="宋体" w:hAnsi="宋体" w:eastAsia="宋体" w:cs="宋体"/>
                <w:color w:val="auto"/>
                <w:highlight w:val="none"/>
              </w:rPr>
            </w:pPr>
          </w:p>
          <w:p>
            <w:pPr>
              <w:spacing w:line="241" w:lineRule="auto"/>
              <w:rPr>
                <w:rFonts w:ascii="宋体" w:hAnsi="宋体" w:eastAsia="宋体" w:cs="宋体"/>
                <w:color w:val="auto"/>
                <w:highlight w:val="none"/>
              </w:rPr>
            </w:pPr>
          </w:p>
          <w:p>
            <w:pPr>
              <w:spacing w:line="242" w:lineRule="auto"/>
              <w:rPr>
                <w:rFonts w:ascii="宋体" w:hAnsi="宋体" w:eastAsia="宋体" w:cs="宋体"/>
                <w:color w:val="auto"/>
                <w:highlight w:val="none"/>
              </w:rPr>
            </w:pPr>
          </w:p>
          <w:p>
            <w:pPr>
              <w:spacing w:line="242" w:lineRule="auto"/>
              <w:rPr>
                <w:rFonts w:ascii="宋体" w:hAnsi="宋体" w:eastAsia="宋体" w:cs="宋体"/>
                <w:color w:val="auto"/>
                <w:highlight w:val="none"/>
              </w:rPr>
            </w:pPr>
          </w:p>
          <w:p>
            <w:pPr>
              <w:spacing w:line="242" w:lineRule="auto"/>
              <w:rPr>
                <w:rFonts w:ascii="宋体" w:hAnsi="宋体" w:eastAsia="宋体" w:cs="宋体"/>
                <w:color w:val="auto"/>
                <w:highlight w:val="none"/>
              </w:rPr>
            </w:pPr>
          </w:p>
          <w:p>
            <w:pPr>
              <w:spacing w:line="242" w:lineRule="auto"/>
              <w:rPr>
                <w:rFonts w:ascii="宋体" w:hAnsi="宋体" w:eastAsia="宋体" w:cs="宋体"/>
                <w:color w:val="auto"/>
                <w:highlight w:val="none"/>
              </w:rPr>
            </w:pPr>
          </w:p>
          <w:p>
            <w:pPr>
              <w:spacing w:line="242" w:lineRule="auto"/>
              <w:rPr>
                <w:rFonts w:ascii="宋体" w:hAnsi="宋体" w:eastAsia="宋体" w:cs="宋体"/>
                <w:color w:val="auto"/>
                <w:highlight w:val="none"/>
              </w:rPr>
            </w:pPr>
          </w:p>
          <w:p>
            <w:pPr>
              <w:spacing w:line="242" w:lineRule="auto"/>
              <w:rPr>
                <w:rFonts w:ascii="宋体" w:hAnsi="宋体" w:eastAsia="宋体" w:cs="宋体"/>
                <w:color w:val="auto"/>
                <w:highlight w:val="none"/>
              </w:rPr>
            </w:pPr>
          </w:p>
          <w:p>
            <w:pPr>
              <w:spacing w:line="242" w:lineRule="auto"/>
              <w:rPr>
                <w:rFonts w:ascii="宋体" w:hAnsi="宋体" w:eastAsia="宋体" w:cs="宋体"/>
                <w:color w:val="auto"/>
                <w:highlight w:val="none"/>
              </w:rPr>
            </w:pPr>
          </w:p>
          <w:p>
            <w:pPr>
              <w:spacing w:line="242" w:lineRule="auto"/>
              <w:rPr>
                <w:rFonts w:ascii="宋体" w:hAnsi="宋体" w:eastAsia="宋体" w:cs="宋体"/>
                <w:color w:val="auto"/>
                <w:highlight w:val="none"/>
              </w:rPr>
            </w:pPr>
          </w:p>
          <w:p>
            <w:pPr>
              <w:spacing w:line="242" w:lineRule="auto"/>
              <w:rPr>
                <w:rFonts w:ascii="宋体" w:hAnsi="宋体" w:eastAsia="宋体" w:cs="宋体"/>
                <w:color w:val="auto"/>
                <w:highlight w:val="none"/>
              </w:rPr>
            </w:pPr>
          </w:p>
          <w:p>
            <w:pPr>
              <w:spacing w:line="242" w:lineRule="auto"/>
              <w:rPr>
                <w:rFonts w:ascii="宋体" w:hAnsi="宋体" w:eastAsia="宋体" w:cs="宋体"/>
                <w:color w:val="auto"/>
                <w:highlight w:val="none"/>
              </w:rPr>
            </w:pPr>
          </w:p>
          <w:p>
            <w:pPr>
              <w:spacing w:line="242" w:lineRule="auto"/>
              <w:rPr>
                <w:rFonts w:ascii="宋体" w:hAnsi="宋体" w:eastAsia="宋体" w:cs="宋体"/>
                <w:color w:val="auto"/>
                <w:highlight w:val="none"/>
              </w:rPr>
            </w:pPr>
          </w:p>
          <w:p>
            <w:pPr>
              <w:spacing w:line="242" w:lineRule="auto"/>
              <w:rPr>
                <w:rFonts w:ascii="宋体" w:hAnsi="宋体" w:eastAsia="宋体" w:cs="宋体"/>
                <w:color w:val="auto"/>
                <w:highlight w:val="none"/>
              </w:rPr>
            </w:pPr>
          </w:p>
          <w:p>
            <w:pPr>
              <w:spacing w:line="242" w:lineRule="auto"/>
              <w:rPr>
                <w:rFonts w:ascii="宋体" w:hAnsi="宋体" w:eastAsia="宋体" w:cs="宋体"/>
                <w:color w:val="auto"/>
                <w:highlight w:val="none"/>
              </w:rPr>
            </w:pPr>
          </w:p>
          <w:p>
            <w:pPr>
              <w:spacing w:line="242" w:lineRule="auto"/>
              <w:rPr>
                <w:rFonts w:ascii="宋体" w:hAnsi="宋体" w:eastAsia="宋体" w:cs="宋体"/>
                <w:color w:val="auto"/>
                <w:highlight w:val="none"/>
              </w:rPr>
            </w:pPr>
          </w:p>
          <w:p>
            <w:pPr>
              <w:spacing w:line="242" w:lineRule="auto"/>
              <w:rPr>
                <w:rFonts w:ascii="宋体" w:hAnsi="宋体" w:eastAsia="宋体" w:cs="宋体"/>
                <w:color w:val="auto"/>
                <w:highlight w:val="none"/>
              </w:rPr>
            </w:pPr>
          </w:p>
          <w:p>
            <w:pPr>
              <w:spacing w:line="242" w:lineRule="auto"/>
              <w:rPr>
                <w:rFonts w:ascii="宋体" w:hAnsi="宋体" w:eastAsia="宋体" w:cs="宋体"/>
                <w:color w:val="auto"/>
                <w:highlight w:val="none"/>
              </w:rPr>
            </w:pPr>
          </w:p>
          <w:p>
            <w:pPr>
              <w:spacing w:line="242" w:lineRule="auto"/>
              <w:rPr>
                <w:rFonts w:ascii="宋体" w:hAnsi="宋体" w:eastAsia="宋体" w:cs="宋体"/>
                <w:color w:val="auto"/>
                <w:highlight w:val="none"/>
              </w:rPr>
            </w:pPr>
          </w:p>
          <w:p>
            <w:pPr>
              <w:spacing w:line="242" w:lineRule="auto"/>
              <w:rPr>
                <w:rFonts w:ascii="宋体" w:hAnsi="宋体" w:eastAsia="宋体" w:cs="宋体"/>
                <w:color w:val="auto"/>
                <w:highlight w:val="none"/>
              </w:rPr>
            </w:pPr>
          </w:p>
          <w:p>
            <w:pPr>
              <w:spacing w:before="68" w:line="221" w:lineRule="auto"/>
              <w:ind w:firstLine="211"/>
              <w:rPr>
                <w:rFonts w:ascii="宋体" w:hAnsi="宋体" w:eastAsia="宋体" w:cs="宋体"/>
                <w:color w:val="auto"/>
                <w:highlight w:val="none"/>
              </w:rPr>
            </w:pPr>
            <w:r>
              <w:rPr>
                <w:rFonts w:hint="eastAsia" w:ascii="宋体" w:hAnsi="宋体" w:eastAsia="宋体" w:cs="宋体"/>
                <w:color w:val="auto"/>
                <w:spacing w:val="-1"/>
                <w:highlight w:val="none"/>
              </w:rPr>
              <w:t>评标基准</w:t>
            </w:r>
          </w:p>
          <w:p>
            <w:pPr>
              <w:spacing w:before="19" w:line="219" w:lineRule="auto"/>
              <w:ind w:firstLine="213"/>
              <w:rPr>
                <w:rFonts w:ascii="宋体" w:hAnsi="宋体" w:eastAsia="宋体" w:cs="宋体"/>
                <w:color w:val="auto"/>
                <w:highlight w:val="none"/>
              </w:rPr>
            </w:pPr>
            <w:r>
              <w:rPr>
                <w:rFonts w:hint="eastAsia" w:ascii="宋体" w:hAnsi="宋体" w:eastAsia="宋体" w:cs="宋体"/>
                <w:color w:val="auto"/>
                <w:spacing w:val="-2"/>
                <w:highlight w:val="none"/>
              </w:rPr>
              <w:t>价计</w:t>
            </w:r>
            <w:r>
              <w:rPr>
                <w:rFonts w:hint="eastAsia" w:ascii="宋体" w:hAnsi="宋体" w:eastAsia="宋体" w:cs="宋体"/>
                <w:color w:val="auto"/>
                <w:spacing w:val="-1"/>
                <w:highlight w:val="none"/>
              </w:rPr>
              <w:t>算方</w:t>
            </w:r>
          </w:p>
          <w:p>
            <w:pPr>
              <w:spacing w:before="25" w:line="226" w:lineRule="auto"/>
              <w:ind w:firstLine="527"/>
              <w:rPr>
                <w:rFonts w:ascii="宋体" w:hAnsi="宋体" w:eastAsia="宋体" w:cs="宋体"/>
                <w:color w:val="auto"/>
                <w:highlight w:val="none"/>
              </w:rPr>
            </w:pPr>
            <w:r>
              <w:rPr>
                <w:rFonts w:hint="eastAsia" w:ascii="宋体" w:hAnsi="宋体" w:eastAsia="宋体" w:cs="宋体"/>
                <w:color w:val="auto"/>
                <w:highlight w:val="none"/>
              </w:rPr>
              <w:t>法</w:t>
            </w:r>
          </w:p>
        </w:tc>
        <w:tc>
          <w:tcPr>
            <w:tcW w:w="6907" w:type="dxa"/>
            <w:gridSpan w:val="6"/>
          </w:tcPr>
          <w:p>
            <w:pPr>
              <w:spacing w:line="440" w:lineRule="atLeast"/>
              <w:rPr>
                <w:rFonts w:ascii="宋体" w:hAnsi="宋体" w:eastAsia="宋体" w:cs="宋体"/>
                <w:color w:val="auto"/>
                <w:highlight w:val="none"/>
              </w:rPr>
            </w:pPr>
            <w:r>
              <w:rPr>
                <w:rFonts w:hint="eastAsia" w:ascii="宋体" w:hAnsi="宋体" w:eastAsia="宋体" w:cs="宋体"/>
                <w:color w:val="auto"/>
                <w:highlight w:val="none"/>
              </w:rPr>
              <w:t>评标基准价的计算：</w:t>
            </w:r>
          </w:p>
          <w:p>
            <w:pPr>
              <w:spacing w:line="440" w:lineRule="atLeast"/>
              <w:rPr>
                <w:rFonts w:ascii="宋体" w:hAnsi="宋体" w:eastAsia="宋体" w:cs="宋体"/>
                <w:color w:val="auto"/>
                <w:highlight w:val="none"/>
              </w:rPr>
            </w:pPr>
            <w:r>
              <w:rPr>
                <w:rFonts w:hint="eastAsia" w:ascii="宋体" w:hAnsi="宋体" w:eastAsia="宋体" w:cs="宋体"/>
                <w:color w:val="auto"/>
                <w:highlight w:val="none"/>
              </w:rPr>
              <w:t>（1）评标价的确定：</w:t>
            </w:r>
          </w:p>
          <w:p>
            <w:pPr>
              <w:spacing w:line="440" w:lineRule="atLeast"/>
              <w:rPr>
                <w:rFonts w:ascii="宋体" w:hAnsi="宋体" w:eastAsia="宋体" w:cs="宋体"/>
                <w:color w:val="auto"/>
                <w:highlight w:val="none"/>
              </w:rPr>
            </w:pPr>
            <w:r>
              <w:rPr>
                <w:rFonts w:hint="eastAsia" w:ascii="宋体" w:hAnsi="宋体" w:eastAsia="宋体" w:cs="宋体"/>
                <w:color w:val="auto"/>
                <w:highlight w:val="none"/>
              </w:rPr>
              <w:t>有效评标价＝第二个信封开标现场未被宣布为无效投标的投标报价函文字报价出现第二章“投标人须知”第5.2.4项所规定情况的投标文件，应做投标无效处理，其投标报价视为无效报价，不参与任何计算。</w:t>
            </w:r>
          </w:p>
          <w:p>
            <w:pPr>
              <w:spacing w:line="440" w:lineRule="atLeast"/>
              <w:rPr>
                <w:rFonts w:ascii="宋体" w:hAnsi="宋体" w:eastAsia="宋体" w:cs="宋体"/>
                <w:color w:val="auto"/>
                <w:highlight w:val="none"/>
              </w:rPr>
            </w:pPr>
            <w:r>
              <w:rPr>
                <w:rFonts w:hint="eastAsia" w:ascii="宋体" w:hAnsi="宋体" w:eastAsia="宋体" w:cs="宋体"/>
                <w:color w:val="auto"/>
                <w:highlight w:val="none"/>
              </w:rPr>
              <w:t>（2）确定最终控制价上限G2</w:t>
            </w:r>
          </w:p>
          <w:p>
            <w:pPr>
              <w:spacing w:line="440" w:lineRule="atLeast"/>
              <w:rPr>
                <w:rFonts w:ascii="宋体" w:hAnsi="宋体" w:eastAsia="宋体" w:cs="宋体"/>
                <w:color w:val="auto"/>
                <w:highlight w:val="none"/>
              </w:rPr>
            </w:pPr>
            <w:r>
              <w:rPr>
                <w:rFonts w:hint="eastAsia" w:ascii="宋体" w:hAnsi="宋体" w:eastAsia="宋体" w:cs="宋体"/>
                <w:color w:val="auto"/>
                <w:highlight w:val="none"/>
              </w:rPr>
              <w:t>第二个信封开标现场随机抽取投标控制价上限的下浮系数X1。</w:t>
            </w:r>
          </w:p>
          <w:p>
            <w:pPr>
              <w:spacing w:line="440" w:lineRule="atLeast"/>
              <w:rPr>
                <w:rFonts w:ascii="宋体" w:hAnsi="宋体" w:eastAsia="宋体" w:cs="宋体"/>
                <w:color w:val="auto"/>
                <w:highlight w:val="none"/>
              </w:rPr>
            </w:pPr>
            <w:r>
              <w:rPr>
                <w:rFonts w:hint="eastAsia" w:ascii="宋体" w:hAnsi="宋体" w:eastAsia="宋体" w:cs="宋体"/>
                <w:color w:val="auto"/>
                <w:highlight w:val="none"/>
              </w:rPr>
              <w:t>（X1为0.5%、1%、1.5%、2%、2.5%、3%六个数值中的一个）。</w:t>
            </w:r>
          </w:p>
          <w:p>
            <w:pPr>
              <w:spacing w:line="440" w:lineRule="atLeast"/>
              <w:rPr>
                <w:rFonts w:ascii="宋体" w:hAnsi="宋体" w:eastAsia="宋体" w:cs="宋体"/>
                <w:color w:val="auto"/>
                <w:highlight w:val="none"/>
              </w:rPr>
            </w:pPr>
            <w:r>
              <w:rPr>
                <w:rFonts w:hint="eastAsia" w:ascii="宋体" w:hAnsi="宋体" w:eastAsia="宋体" w:cs="宋体"/>
                <w:color w:val="auto"/>
                <w:highlight w:val="none"/>
              </w:rPr>
              <w:t>最终控制价上限G2=G1×（1-X1）</w:t>
            </w:r>
          </w:p>
          <w:p>
            <w:pPr>
              <w:spacing w:line="440" w:lineRule="atLeast"/>
              <w:rPr>
                <w:rFonts w:ascii="宋体" w:hAnsi="宋体" w:eastAsia="宋体" w:cs="宋体"/>
                <w:color w:val="auto"/>
                <w:highlight w:val="none"/>
              </w:rPr>
            </w:pPr>
            <w:r>
              <w:rPr>
                <w:rFonts w:hint="eastAsia" w:ascii="宋体" w:hAnsi="宋体" w:eastAsia="宋体" w:cs="宋体"/>
                <w:color w:val="auto"/>
                <w:highlight w:val="none"/>
              </w:rPr>
              <w:t>G1=各标包最高投标限价（含暂列金额）。</w:t>
            </w:r>
          </w:p>
          <w:p>
            <w:pPr>
              <w:spacing w:line="440" w:lineRule="atLeast"/>
              <w:rPr>
                <w:rFonts w:ascii="宋体" w:hAnsi="宋体" w:eastAsia="宋体" w:cs="宋体"/>
                <w:color w:val="auto"/>
                <w:highlight w:val="none"/>
              </w:rPr>
            </w:pPr>
            <w:r>
              <w:rPr>
                <w:rFonts w:hint="eastAsia" w:ascii="宋体" w:hAnsi="宋体" w:eastAsia="宋体" w:cs="宋体"/>
                <w:color w:val="auto"/>
                <w:highlight w:val="none"/>
              </w:rPr>
              <w:t>如投标人评标价高于本标包的G2，则视其为超出招标人的支付能力，将不再参与后续任何计算，按投标无效处理。</w:t>
            </w:r>
          </w:p>
          <w:p>
            <w:pPr>
              <w:spacing w:line="440" w:lineRule="atLeast"/>
              <w:rPr>
                <w:rFonts w:ascii="宋体" w:hAnsi="宋体" w:eastAsia="宋体" w:cs="宋体"/>
                <w:color w:val="auto"/>
                <w:highlight w:val="none"/>
              </w:rPr>
            </w:pPr>
            <w:r>
              <w:rPr>
                <w:rFonts w:hint="eastAsia" w:ascii="宋体" w:hAnsi="宋体" w:eastAsia="宋体" w:cs="宋体"/>
                <w:color w:val="auto"/>
                <w:highlight w:val="none"/>
              </w:rPr>
              <w:t>（3）确定理论成本价LC</w:t>
            </w:r>
          </w:p>
          <w:p>
            <w:pPr>
              <w:spacing w:line="440" w:lineRule="atLeast"/>
              <w:rPr>
                <w:rFonts w:ascii="宋体" w:hAnsi="宋体" w:eastAsia="宋体" w:cs="宋体"/>
                <w:color w:val="auto"/>
                <w:highlight w:val="none"/>
              </w:rPr>
            </w:pPr>
            <w:r>
              <w:rPr>
                <w:rFonts w:hint="eastAsia" w:ascii="宋体" w:hAnsi="宋体" w:eastAsia="宋体" w:cs="宋体"/>
                <w:color w:val="auto"/>
                <w:highlight w:val="none"/>
              </w:rPr>
              <w:t>所有不高于G2的有效评标价的算术平均值的50%（当有效评标价有5个及以上时，应去掉其中的最高值和最低值）与G2的50%相加后，乘以成本价系数Z所得数值为该标包的理论成本价。</w:t>
            </w:r>
          </w:p>
          <w:p>
            <w:pPr>
              <w:spacing w:line="440" w:lineRule="atLeast"/>
              <w:rPr>
                <w:rFonts w:ascii="宋体" w:hAnsi="宋体" w:eastAsia="宋体" w:cs="宋体"/>
                <w:color w:val="auto"/>
                <w:highlight w:val="none"/>
              </w:rPr>
            </w:pPr>
            <w:r>
              <w:rPr>
                <w:rFonts w:hint="eastAsia" w:ascii="宋体" w:hAnsi="宋体" w:eastAsia="宋体" w:cs="宋体"/>
                <w:color w:val="auto"/>
                <w:highlight w:val="none"/>
              </w:rPr>
              <w:t>LC=（0.5×G2+0.5×SP1）×0.85</w:t>
            </w:r>
          </w:p>
          <w:p>
            <w:pPr>
              <w:spacing w:line="440" w:lineRule="atLeast"/>
              <w:rPr>
                <w:rFonts w:ascii="宋体" w:hAnsi="宋体" w:eastAsia="宋体" w:cs="宋体"/>
                <w:color w:val="auto"/>
                <w:highlight w:val="none"/>
              </w:rPr>
            </w:pPr>
            <w:r>
              <w:rPr>
                <w:rFonts w:hint="eastAsia" w:ascii="宋体" w:hAnsi="宋体" w:eastAsia="宋体" w:cs="宋体"/>
                <w:color w:val="auto"/>
                <w:highlight w:val="none"/>
              </w:rPr>
              <w:t>SP1——该标包所有不高于G2的有效评标价的算术平均值（当有效评标价有5个及以上时，应去掉其中的最高值和最低值）</w:t>
            </w:r>
          </w:p>
          <w:p>
            <w:pPr>
              <w:spacing w:line="440" w:lineRule="atLeast"/>
              <w:rPr>
                <w:rFonts w:ascii="宋体" w:hAnsi="宋体" w:eastAsia="宋体" w:cs="宋体"/>
                <w:color w:val="auto"/>
                <w:highlight w:val="none"/>
              </w:rPr>
            </w:pPr>
            <w:r>
              <w:rPr>
                <w:rFonts w:hint="eastAsia" w:ascii="宋体" w:hAnsi="宋体" w:eastAsia="宋体" w:cs="宋体"/>
                <w:color w:val="auto"/>
                <w:highlight w:val="none"/>
              </w:rPr>
              <w:t>（4）确定评标基准价JZ</w:t>
            </w:r>
          </w:p>
          <w:p>
            <w:pPr>
              <w:spacing w:line="440" w:lineRule="atLeast"/>
              <w:rPr>
                <w:rFonts w:ascii="宋体" w:hAnsi="宋体" w:eastAsia="宋体" w:cs="宋体"/>
                <w:color w:val="auto"/>
                <w:highlight w:val="none"/>
              </w:rPr>
            </w:pPr>
            <w:r>
              <w:rPr>
                <w:rFonts w:hint="eastAsia" w:ascii="宋体" w:hAnsi="宋体" w:eastAsia="宋体" w:cs="宋体"/>
                <w:color w:val="auto"/>
                <w:highlight w:val="none"/>
              </w:rPr>
              <w:t>评标基准价＝［最终投标控制价上限×加权系数＋有效评标价算术平均值×（1-加权系数）］×评标基准价系数</w:t>
            </w:r>
          </w:p>
          <w:p>
            <w:pPr>
              <w:spacing w:line="440" w:lineRule="atLeast"/>
              <w:rPr>
                <w:rFonts w:ascii="宋体" w:hAnsi="宋体" w:eastAsia="宋体" w:cs="宋体"/>
                <w:color w:val="auto"/>
                <w:highlight w:val="none"/>
              </w:rPr>
            </w:pPr>
            <w:r>
              <w:rPr>
                <w:rFonts w:hint="eastAsia" w:ascii="宋体" w:hAnsi="宋体" w:eastAsia="宋体" w:cs="宋体"/>
                <w:color w:val="auto"/>
                <w:highlight w:val="none"/>
              </w:rPr>
              <w:t>式中：加权系数（X2）应从0.3、0.35、0.4中选取，评标基准价系数（X3）应从0.96、0.97、0.98、0.99中选取，均由投标人代表或现场监督在开标现场随机抽取确定。</w:t>
            </w:r>
          </w:p>
          <w:p>
            <w:pPr>
              <w:spacing w:line="440" w:lineRule="atLeast"/>
              <w:rPr>
                <w:rFonts w:ascii="宋体" w:hAnsi="宋体" w:eastAsia="宋体" w:cs="宋体"/>
                <w:color w:val="auto"/>
                <w:highlight w:val="none"/>
              </w:rPr>
            </w:pPr>
            <w:r>
              <w:rPr>
                <w:rFonts w:hint="eastAsia" w:ascii="宋体" w:hAnsi="宋体" w:eastAsia="宋体" w:cs="宋体"/>
                <w:color w:val="auto"/>
                <w:highlight w:val="none"/>
              </w:rPr>
              <w:t>有效评标价指介于理论成本价（含）与最终投标控制价上限（含）范围内的评标价。当有效评标价数量大于5时，应去掉其中的最高和最低值，再进行有效评标价算术平均值计算。</w:t>
            </w:r>
          </w:p>
          <w:p>
            <w:pPr>
              <w:spacing w:line="440" w:lineRule="atLeast"/>
              <w:rPr>
                <w:rFonts w:ascii="宋体" w:hAnsi="宋体" w:eastAsia="宋体" w:cs="宋体"/>
                <w:color w:val="auto"/>
                <w:highlight w:val="none"/>
              </w:rPr>
            </w:pPr>
            <w:r>
              <w:rPr>
                <w:rFonts w:hint="eastAsia" w:ascii="宋体" w:hAnsi="宋体" w:eastAsia="宋体" w:cs="宋体"/>
                <w:color w:val="auto"/>
                <w:highlight w:val="none"/>
              </w:rPr>
              <w:t>在评标过程中，评标委员会应对招标人计算的评标基准价进行复核，存在计算错误的应予以修正并在评标报告中作出说明。除此之外，评标基准价在整个评标期间保持不变，不随任何因素发生变化。</w:t>
            </w:r>
          </w:p>
          <w:p>
            <w:pPr>
              <w:spacing w:before="34" w:line="253" w:lineRule="auto"/>
              <w:ind w:left="121" w:right="42" w:hanging="2"/>
              <w:rPr>
                <w:rFonts w:ascii="宋体" w:hAnsi="宋体" w:eastAsia="宋体" w:cs="宋体"/>
                <w:color w:val="auto"/>
                <w:highlight w:val="none"/>
              </w:rPr>
            </w:pPr>
            <w:r>
              <w:rPr>
                <w:rFonts w:hint="eastAsia" w:ascii="宋体" w:hAnsi="宋体" w:eastAsia="宋体" w:cs="宋体"/>
                <w:color w:val="auto"/>
                <w:highlight w:val="none"/>
              </w:rPr>
              <w:t>上述相关系数（X1、X2、X3）在开标现场由投标人推举代表或监督人按标包随机抽取。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45" w:hRule="atLeast"/>
          <w:jc w:val="center"/>
        </w:trPr>
        <w:tc>
          <w:tcPr>
            <w:tcW w:w="969" w:type="dxa"/>
            <w:gridSpan w:val="2"/>
          </w:tcPr>
          <w:p>
            <w:pPr>
              <w:spacing w:line="277" w:lineRule="auto"/>
              <w:rPr>
                <w:rFonts w:ascii="宋体" w:hAnsi="宋体" w:eastAsia="宋体" w:cs="宋体"/>
                <w:color w:val="auto"/>
                <w:highlight w:val="none"/>
              </w:rPr>
            </w:pPr>
          </w:p>
          <w:p>
            <w:pPr>
              <w:spacing w:before="61" w:line="189" w:lineRule="auto"/>
              <w:ind w:firstLine="220"/>
              <w:rPr>
                <w:rFonts w:ascii="宋体" w:hAnsi="宋体" w:eastAsia="宋体" w:cs="宋体"/>
                <w:color w:val="auto"/>
                <w:highlight w:val="none"/>
              </w:rPr>
            </w:pPr>
            <w:r>
              <w:rPr>
                <w:rFonts w:hint="eastAsia" w:ascii="宋体" w:hAnsi="宋体" w:eastAsia="宋体" w:cs="宋体"/>
                <w:color w:val="auto"/>
                <w:spacing w:val="-1"/>
                <w:highlight w:val="none"/>
              </w:rPr>
              <w:t>2.</w:t>
            </w:r>
            <w:r>
              <w:rPr>
                <w:rFonts w:hint="eastAsia" w:ascii="宋体" w:hAnsi="宋体" w:eastAsia="宋体" w:cs="宋体"/>
                <w:color w:val="auto"/>
                <w:highlight w:val="none"/>
              </w:rPr>
              <w:t>2.3</w:t>
            </w:r>
          </w:p>
        </w:tc>
        <w:tc>
          <w:tcPr>
            <w:tcW w:w="1415" w:type="dxa"/>
            <w:gridSpan w:val="4"/>
          </w:tcPr>
          <w:p>
            <w:pPr>
              <w:spacing w:before="34" w:line="219" w:lineRule="auto"/>
              <w:ind w:firstLine="211"/>
              <w:rPr>
                <w:rFonts w:ascii="宋体" w:hAnsi="宋体" w:eastAsia="宋体" w:cs="宋体"/>
                <w:color w:val="auto"/>
                <w:spacing w:val="-1"/>
                <w:highlight w:val="none"/>
              </w:rPr>
            </w:pPr>
          </w:p>
          <w:p>
            <w:pPr>
              <w:spacing w:before="34" w:line="219" w:lineRule="auto"/>
              <w:ind w:firstLine="211"/>
              <w:rPr>
                <w:rFonts w:ascii="宋体" w:hAnsi="宋体" w:eastAsia="宋体" w:cs="宋体"/>
                <w:color w:val="auto"/>
                <w:highlight w:val="none"/>
              </w:rPr>
            </w:pPr>
            <w:r>
              <w:rPr>
                <w:rFonts w:hint="eastAsia" w:ascii="宋体" w:hAnsi="宋体" w:eastAsia="宋体" w:cs="宋体"/>
                <w:color w:val="auto"/>
                <w:spacing w:val="-1"/>
                <w:highlight w:val="none"/>
              </w:rPr>
              <w:t>评标价的</w:t>
            </w:r>
          </w:p>
          <w:p>
            <w:pPr>
              <w:spacing w:before="21" w:line="221" w:lineRule="auto"/>
              <w:ind w:firstLine="212"/>
              <w:rPr>
                <w:rFonts w:ascii="宋体" w:hAnsi="宋体" w:eastAsia="宋体" w:cs="宋体"/>
                <w:color w:val="auto"/>
                <w:highlight w:val="none"/>
              </w:rPr>
            </w:pPr>
            <w:r>
              <w:rPr>
                <w:rFonts w:hint="eastAsia" w:ascii="宋体" w:hAnsi="宋体" w:eastAsia="宋体" w:cs="宋体"/>
                <w:color w:val="auto"/>
                <w:spacing w:val="-2"/>
                <w:highlight w:val="none"/>
              </w:rPr>
              <w:t>偏</w:t>
            </w:r>
            <w:r>
              <w:rPr>
                <w:rFonts w:hint="eastAsia" w:ascii="宋体" w:hAnsi="宋体" w:eastAsia="宋体" w:cs="宋体"/>
                <w:color w:val="auto"/>
                <w:spacing w:val="-1"/>
                <w:highlight w:val="none"/>
              </w:rPr>
              <w:t>差率计</w:t>
            </w:r>
          </w:p>
          <w:p>
            <w:pPr>
              <w:spacing w:before="22" w:line="218" w:lineRule="auto"/>
              <w:ind w:firstLine="317"/>
              <w:rPr>
                <w:rFonts w:ascii="宋体" w:hAnsi="宋体" w:eastAsia="宋体" w:cs="宋体"/>
                <w:color w:val="auto"/>
                <w:highlight w:val="none"/>
              </w:rPr>
            </w:pPr>
            <w:r>
              <w:rPr>
                <w:rFonts w:hint="eastAsia" w:ascii="宋体" w:hAnsi="宋体" w:eastAsia="宋体" w:cs="宋体"/>
                <w:color w:val="auto"/>
                <w:spacing w:val="-2"/>
                <w:highlight w:val="none"/>
              </w:rPr>
              <w:t>算公</w:t>
            </w:r>
            <w:r>
              <w:rPr>
                <w:rFonts w:hint="eastAsia" w:ascii="宋体" w:hAnsi="宋体" w:eastAsia="宋体" w:cs="宋体"/>
                <w:color w:val="auto"/>
                <w:spacing w:val="-1"/>
                <w:highlight w:val="none"/>
              </w:rPr>
              <w:t>式</w:t>
            </w:r>
          </w:p>
        </w:tc>
        <w:tc>
          <w:tcPr>
            <w:tcW w:w="6907" w:type="dxa"/>
            <w:gridSpan w:val="6"/>
          </w:tcPr>
          <w:p>
            <w:pPr>
              <w:spacing w:before="34" w:line="233" w:lineRule="auto"/>
              <w:ind w:firstLine="112"/>
              <w:rPr>
                <w:rFonts w:ascii="宋体" w:hAnsi="宋体" w:eastAsia="宋体" w:cs="宋体"/>
                <w:color w:val="auto"/>
                <w:highlight w:val="none"/>
              </w:rPr>
            </w:pPr>
          </w:p>
          <w:p>
            <w:pPr>
              <w:spacing w:before="34" w:line="233" w:lineRule="auto"/>
              <w:ind w:firstLine="112"/>
              <w:rPr>
                <w:rFonts w:ascii="宋体" w:hAnsi="宋体" w:eastAsia="宋体" w:cs="宋体"/>
                <w:color w:val="auto"/>
                <w:highlight w:val="none"/>
              </w:rPr>
            </w:pPr>
            <w:r>
              <w:rPr>
                <w:rFonts w:hint="eastAsia" w:ascii="宋体" w:hAnsi="宋体" w:eastAsia="宋体" w:cs="宋体"/>
                <w:color w:val="auto"/>
                <w:highlight w:val="none"/>
              </w:rPr>
              <w:t>偏差率=100%×（投标人评标价-评标基准价</w:t>
            </w:r>
            <w:r>
              <w:rPr>
                <w:rFonts w:hint="eastAsia" w:ascii="宋体" w:hAnsi="宋体" w:eastAsia="宋体" w:cs="宋体"/>
                <w:color w:val="auto"/>
                <w:spacing w:val="-106"/>
                <w:highlight w:val="none"/>
              </w:rPr>
              <w:t>）</w:t>
            </w:r>
            <w:r>
              <w:rPr>
                <w:rFonts w:hint="eastAsia" w:ascii="宋体" w:hAnsi="宋体" w:eastAsia="宋体" w:cs="宋体"/>
                <w:color w:val="auto"/>
                <w:highlight w:val="none"/>
              </w:rPr>
              <w:t>/评标基准价</w:t>
            </w:r>
          </w:p>
          <w:p>
            <w:pPr>
              <w:spacing w:before="6" w:line="229" w:lineRule="auto"/>
              <w:ind w:left="122" w:right="102" w:hanging="58"/>
              <w:rPr>
                <w:rFonts w:ascii="宋体" w:hAnsi="宋体" w:eastAsia="宋体" w:cs="宋体"/>
                <w:color w:val="auto"/>
                <w:highlight w:val="none"/>
              </w:rPr>
            </w:pPr>
            <w:r>
              <w:rPr>
                <w:rFonts w:hint="eastAsia" w:ascii="宋体" w:hAnsi="宋体" w:eastAsia="宋体" w:cs="宋体"/>
                <w:color w:val="auto"/>
                <w:spacing w:val="1"/>
                <w:highlight w:val="none"/>
              </w:rPr>
              <w:t>“（投标人评标价－评标基准价）/评标基准价”保留</w:t>
            </w:r>
            <w:r>
              <w:rPr>
                <w:rFonts w:hint="eastAsia" w:ascii="宋体" w:hAnsi="宋体" w:eastAsia="宋体" w:cs="宋体"/>
                <w:color w:val="auto"/>
                <w:highlight w:val="none"/>
              </w:rPr>
              <w:t>至小数点后三位</w:t>
            </w:r>
            <w:r>
              <w:rPr>
                <w:rFonts w:hint="eastAsia" w:ascii="宋体" w:hAnsi="宋体" w:eastAsia="宋体" w:cs="宋体"/>
                <w:color w:val="auto"/>
                <w:spacing w:val="1"/>
                <w:highlight w:val="none"/>
              </w:rPr>
              <w:t>，</w:t>
            </w:r>
            <w:r>
              <w:rPr>
                <w:rFonts w:hint="eastAsia" w:ascii="宋体" w:hAnsi="宋体" w:eastAsia="宋体" w:cs="宋体"/>
                <w:color w:val="auto"/>
                <w:highlight w:val="none"/>
              </w:rPr>
              <w:t>小数 点后第四位“四舍五入”</w:t>
            </w:r>
            <w:r>
              <w:rPr>
                <w:rFonts w:hint="eastAsia" w:ascii="宋体" w:hAnsi="宋体" w:eastAsia="宋体" w:cs="宋体"/>
                <w:color w:val="auto"/>
                <w:spacing w:val="-17"/>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10" w:type="dxa"/>
          <w:trHeight w:val="453" w:hRule="atLeast"/>
          <w:jc w:val="center"/>
        </w:trPr>
        <w:tc>
          <w:tcPr>
            <w:tcW w:w="5993" w:type="dxa"/>
            <w:gridSpan w:val="10"/>
          </w:tcPr>
          <w:p>
            <w:pPr>
              <w:spacing w:before="175" w:line="221" w:lineRule="auto"/>
              <w:ind w:firstLine="2135"/>
              <w:rPr>
                <w:rFonts w:ascii="宋体" w:hAnsi="宋体" w:eastAsia="宋体" w:cs="宋体"/>
                <w:color w:val="auto"/>
                <w:highlight w:val="none"/>
              </w:rPr>
            </w:pPr>
            <w:r>
              <w:rPr>
                <w:rFonts w:hint="eastAsia" w:ascii="宋体" w:hAnsi="宋体" w:eastAsia="宋体" w:cs="宋体"/>
                <w:color w:val="auto"/>
                <w:spacing w:val="-1"/>
                <w:highlight w:val="none"/>
              </w:rPr>
              <w:t>评分因素</w:t>
            </w:r>
            <w:r>
              <w:rPr>
                <w:rFonts w:hint="eastAsia" w:ascii="宋体" w:hAnsi="宋体" w:eastAsia="宋体" w:cs="宋体"/>
                <w:color w:val="auto"/>
                <w:highlight w:val="none"/>
              </w:rPr>
              <w:t>与权重分值</w:t>
            </w:r>
          </w:p>
          <w:p>
            <w:pPr>
              <w:spacing w:before="21" w:line="4" w:lineRule="exact"/>
              <w:ind w:firstLine="2061"/>
              <w:rPr>
                <w:rFonts w:ascii="宋体" w:hAnsi="宋体" w:eastAsia="宋体" w:cs="宋体"/>
                <w:color w:val="auto"/>
                <w:highlight w:val="none"/>
              </w:rPr>
            </w:pPr>
            <w:r>
              <w:rPr>
                <w:rFonts w:hint="eastAsia" w:ascii="宋体" w:hAnsi="宋体" w:eastAsia="宋体" w:cs="宋体"/>
                <w:color w:val="auto"/>
                <w:highlight w:val="none"/>
              </w:rPr>
              <w:drawing>
                <wp:inline distT="0" distB="0" distL="0" distR="0">
                  <wp:extent cx="685800" cy="2540"/>
                  <wp:effectExtent l="0" t="0" r="0" b="0"/>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5"/>
                          <a:stretch>
                            <a:fillRect/>
                          </a:stretch>
                        </pic:blipFill>
                        <pic:spPr>
                          <a:xfrm>
                            <a:off x="0" y="0"/>
                            <a:ext cx="686180" cy="2540"/>
                          </a:xfrm>
                          <a:prstGeom prst="rect">
                            <a:avLst/>
                          </a:prstGeom>
                        </pic:spPr>
                      </pic:pic>
                    </a:graphicData>
                  </a:graphic>
                </wp:inline>
              </w:drawing>
            </w:r>
          </w:p>
        </w:tc>
        <w:tc>
          <w:tcPr>
            <w:tcW w:w="3288" w:type="dxa"/>
            <w:vMerge w:val="restart"/>
            <w:tcBorders>
              <w:bottom w:val="nil"/>
            </w:tcBorders>
          </w:tcPr>
          <w:p>
            <w:pPr>
              <w:spacing w:line="261" w:lineRule="auto"/>
              <w:rPr>
                <w:rFonts w:ascii="宋体" w:hAnsi="宋体" w:eastAsia="宋体" w:cs="宋体"/>
                <w:color w:val="auto"/>
                <w:highlight w:val="none"/>
              </w:rPr>
            </w:pPr>
          </w:p>
          <w:p>
            <w:pPr>
              <w:spacing w:line="261" w:lineRule="auto"/>
              <w:rPr>
                <w:rFonts w:ascii="宋体" w:hAnsi="宋体" w:eastAsia="宋体" w:cs="宋体"/>
                <w:color w:val="auto"/>
                <w:highlight w:val="none"/>
              </w:rPr>
            </w:pPr>
          </w:p>
          <w:p>
            <w:pPr>
              <w:spacing w:before="69" w:line="221" w:lineRule="auto"/>
              <w:ind w:firstLine="1120"/>
              <w:rPr>
                <w:rFonts w:ascii="宋体" w:hAnsi="宋体" w:eastAsia="宋体" w:cs="宋体"/>
                <w:color w:val="auto"/>
                <w:highlight w:val="none"/>
              </w:rPr>
            </w:pPr>
            <w:r>
              <w:rPr>
                <w:rFonts w:hint="eastAsia" w:ascii="宋体" w:hAnsi="宋体" w:eastAsia="宋体" w:cs="宋体"/>
                <w:color w:val="auto"/>
                <w:spacing w:val="-1"/>
                <w:highlight w:val="none"/>
              </w:rPr>
              <w:t>评分标准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10" w:type="dxa"/>
          <w:trHeight w:val="835" w:hRule="atLeast"/>
          <w:jc w:val="center"/>
        </w:trPr>
        <w:tc>
          <w:tcPr>
            <w:tcW w:w="840" w:type="dxa"/>
          </w:tcPr>
          <w:p>
            <w:pPr>
              <w:spacing w:line="293" w:lineRule="auto"/>
              <w:rPr>
                <w:rFonts w:ascii="宋体" w:hAnsi="宋体" w:eastAsia="宋体" w:cs="宋体"/>
                <w:color w:val="auto"/>
                <w:highlight w:val="none"/>
              </w:rPr>
            </w:pPr>
          </w:p>
          <w:p>
            <w:pPr>
              <w:spacing w:before="68" w:line="221" w:lineRule="auto"/>
              <w:ind w:firstLine="110"/>
              <w:rPr>
                <w:rFonts w:ascii="宋体" w:hAnsi="宋体" w:eastAsia="宋体" w:cs="宋体"/>
                <w:color w:val="auto"/>
                <w:highlight w:val="none"/>
              </w:rPr>
            </w:pPr>
            <w:r>
              <w:rPr>
                <w:rFonts w:hint="eastAsia" w:ascii="宋体" w:hAnsi="宋体" w:eastAsia="宋体" w:cs="宋体"/>
                <w:color w:val="auto"/>
                <w:spacing w:val="-2"/>
                <w:highlight w:val="none"/>
              </w:rPr>
              <w:t>条款</w:t>
            </w:r>
            <w:r>
              <w:rPr>
                <w:rFonts w:hint="eastAsia" w:ascii="宋体" w:hAnsi="宋体" w:eastAsia="宋体" w:cs="宋体"/>
                <w:color w:val="auto"/>
                <w:spacing w:val="-1"/>
                <w:highlight w:val="none"/>
              </w:rPr>
              <w:t>号</w:t>
            </w:r>
          </w:p>
        </w:tc>
        <w:tc>
          <w:tcPr>
            <w:tcW w:w="1231" w:type="dxa"/>
            <w:gridSpan w:val="3"/>
          </w:tcPr>
          <w:p>
            <w:pPr>
              <w:spacing w:line="293" w:lineRule="auto"/>
              <w:rPr>
                <w:rFonts w:ascii="宋体" w:hAnsi="宋体" w:eastAsia="宋体" w:cs="宋体"/>
                <w:color w:val="auto"/>
                <w:highlight w:val="none"/>
              </w:rPr>
            </w:pPr>
          </w:p>
          <w:p>
            <w:pPr>
              <w:spacing w:before="68" w:line="221" w:lineRule="auto"/>
              <w:ind w:firstLine="199"/>
              <w:rPr>
                <w:rFonts w:ascii="宋体" w:hAnsi="宋体" w:eastAsia="宋体" w:cs="宋体"/>
                <w:color w:val="auto"/>
                <w:highlight w:val="none"/>
              </w:rPr>
            </w:pPr>
            <w:r>
              <w:rPr>
                <w:rFonts w:hint="eastAsia" w:ascii="宋体" w:hAnsi="宋体" w:eastAsia="宋体" w:cs="宋体"/>
                <w:color w:val="auto"/>
                <w:spacing w:val="-1"/>
                <w:highlight w:val="none"/>
              </w:rPr>
              <w:t>评分因素</w:t>
            </w:r>
          </w:p>
        </w:tc>
        <w:tc>
          <w:tcPr>
            <w:tcW w:w="1091" w:type="dxa"/>
            <w:gridSpan w:val="3"/>
          </w:tcPr>
          <w:p>
            <w:pPr>
              <w:spacing w:before="230" w:line="253" w:lineRule="auto"/>
              <w:ind w:left="117" w:right="112"/>
              <w:rPr>
                <w:rFonts w:ascii="宋体" w:hAnsi="宋体" w:eastAsia="宋体" w:cs="宋体"/>
                <w:color w:val="auto"/>
                <w:highlight w:val="none"/>
              </w:rPr>
            </w:pPr>
            <w:r>
              <w:rPr>
                <w:rFonts w:hint="eastAsia" w:ascii="宋体" w:hAnsi="宋体" w:eastAsia="宋体" w:cs="宋体"/>
                <w:color w:val="auto"/>
                <w:spacing w:val="-2"/>
                <w:highlight w:val="none"/>
              </w:rPr>
              <w:t>评</w:t>
            </w:r>
            <w:r>
              <w:rPr>
                <w:rFonts w:hint="eastAsia" w:ascii="宋体" w:hAnsi="宋体" w:eastAsia="宋体" w:cs="宋体"/>
                <w:color w:val="auto"/>
                <w:spacing w:val="-1"/>
                <w:highlight w:val="none"/>
              </w:rPr>
              <w:t>分因素</w:t>
            </w:r>
            <w:r>
              <w:rPr>
                <w:rFonts w:hint="eastAsia" w:ascii="宋体" w:hAnsi="宋体" w:eastAsia="宋体" w:cs="宋体"/>
                <w:color w:val="auto"/>
                <w:highlight w:val="none"/>
              </w:rPr>
              <w:t xml:space="preserve"> </w:t>
            </w:r>
            <w:r>
              <w:rPr>
                <w:rFonts w:hint="eastAsia" w:ascii="宋体" w:hAnsi="宋体" w:eastAsia="宋体" w:cs="宋体"/>
                <w:color w:val="auto"/>
                <w:spacing w:val="-2"/>
                <w:highlight w:val="none"/>
              </w:rPr>
              <w:t>权</w:t>
            </w:r>
            <w:r>
              <w:rPr>
                <w:rFonts w:hint="eastAsia" w:ascii="宋体" w:hAnsi="宋体" w:eastAsia="宋体" w:cs="宋体"/>
                <w:color w:val="auto"/>
                <w:spacing w:val="-1"/>
                <w:highlight w:val="none"/>
              </w:rPr>
              <w:t>重分值</w:t>
            </w:r>
          </w:p>
        </w:tc>
        <w:tc>
          <w:tcPr>
            <w:tcW w:w="1981" w:type="dxa"/>
            <w:gridSpan w:val="2"/>
          </w:tcPr>
          <w:p>
            <w:pPr>
              <w:spacing w:before="75" w:line="267" w:lineRule="auto"/>
              <w:ind w:left="78" w:right="73" w:firstLine="4"/>
              <w:rPr>
                <w:rFonts w:ascii="宋体" w:hAnsi="宋体" w:eastAsia="宋体" w:cs="宋体"/>
                <w:color w:val="auto"/>
                <w:highlight w:val="none"/>
              </w:rPr>
            </w:pPr>
          </w:p>
          <w:p>
            <w:pPr>
              <w:spacing w:before="75" w:line="267" w:lineRule="auto"/>
              <w:ind w:left="78" w:right="73" w:firstLine="4"/>
              <w:rPr>
                <w:rFonts w:ascii="宋体" w:hAnsi="宋体" w:eastAsia="宋体" w:cs="宋体"/>
                <w:color w:val="auto"/>
                <w:highlight w:val="none"/>
              </w:rPr>
            </w:pPr>
            <w:r>
              <w:rPr>
                <w:rFonts w:hint="eastAsia" w:ascii="宋体" w:hAnsi="宋体" w:eastAsia="宋体" w:cs="宋体"/>
                <w:color w:val="auto"/>
                <w:highlight w:val="none"/>
              </w:rPr>
              <w:t>各评分因素细分项</w:t>
            </w:r>
          </w:p>
        </w:tc>
        <w:tc>
          <w:tcPr>
            <w:tcW w:w="850" w:type="dxa"/>
          </w:tcPr>
          <w:p>
            <w:pPr>
              <w:spacing w:line="293" w:lineRule="auto"/>
              <w:rPr>
                <w:rFonts w:ascii="宋体" w:hAnsi="宋体" w:eastAsia="宋体" w:cs="宋体"/>
                <w:color w:val="auto"/>
                <w:highlight w:val="none"/>
              </w:rPr>
            </w:pPr>
          </w:p>
          <w:p>
            <w:pPr>
              <w:spacing w:before="68" w:line="221" w:lineRule="auto"/>
              <w:ind w:firstLine="184"/>
              <w:rPr>
                <w:rFonts w:ascii="宋体" w:hAnsi="宋体" w:eastAsia="宋体" w:cs="宋体"/>
                <w:color w:val="auto"/>
                <w:highlight w:val="none"/>
              </w:rPr>
            </w:pPr>
            <w:r>
              <w:rPr>
                <w:rFonts w:hint="eastAsia" w:ascii="宋体" w:hAnsi="宋体" w:eastAsia="宋体" w:cs="宋体"/>
                <w:color w:val="auto"/>
                <w:spacing w:val="-3"/>
                <w:highlight w:val="none"/>
              </w:rPr>
              <w:t>分</w:t>
            </w:r>
            <w:r>
              <w:rPr>
                <w:rFonts w:hint="eastAsia" w:ascii="宋体" w:hAnsi="宋体" w:eastAsia="宋体" w:cs="宋体"/>
                <w:color w:val="auto"/>
                <w:spacing w:val="-2"/>
                <w:highlight w:val="none"/>
              </w:rPr>
              <w:t>值</w:t>
            </w:r>
          </w:p>
        </w:tc>
        <w:tc>
          <w:tcPr>
            <w:tcW w:w="3288" w:type="dxa"/>
            <w:vMerge w:val="continue"/>
            <w:tcBorders>
              <w:top w:val="nil"/>
            </w:tcBorders>
          </w:tcPr>
          <w:p>
            <w:pPr>
              <w:rPr>
                <w:rFonts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10" w:type="dxa"/>
          <w:trHeight w:val="717" w:hRule="atLeast"/>
          <w:jc w:val="center"/>
        </w:trPr>
        <w:tc>
          <w:tcPr>
            <w:tcW w:w="840" w:type="dxa"/>
            <w:vMerge w:val="restart"/>
            <w:tcBorders>
              <w:bottom w:val="nil"/>
            </w:tcBorders>
          </w:tcPr>
          <w:p>
            <w:pPr>
              <w:spacing w:line="263" w:lineRule="auto"/>
              <w:rPr>
                <w:rFonts w:ascii="宋体" w:hAnsi="宋体" w:eastAsia="宋体" w:cs="宋体"/>
                <w:color w:val="auto"/>
                <w:highlight w:val="none"/>
              </w:rPr>
            </w:pPr>
          </w:p>
          <w:p>
            <w:pPr>
              <w:spacing w:line="263" w:lineRule="auto"/>
              <w:rPr>
                <w:rFonts w:ascii="宋体" w:hAnsi="宋体" w:eastAsia="宋体" w:cs="宋体"/>
                <w:color w:val="auto"/>
                <w:highlight w:val="none"/>
              </w:rPr>
            </w:pPr>
          </w:p>
          <w:p>
            <w:pPr>
              <w:spacing w:line="263" w:lineRule="auto"/>
              <w:rPr>
                <w:rFonts w:ascii="宋体" w:hAnsi="宋体" w:eastAsia="宋体" w:cs="宋体"/>
                <w:color w:val="auto"/>
                <w:highlight w:val="none"/>
              </w:rPr>
            </w:pPr>
          </w:p>
          <w:p>
            <w:pPr>
              <w:spacing w:line="264" w:lineRule="auto"/>
              <w:rPr>
                <w:rFonts w:ascii="宋体" w:hAnsi="宋体" w:eastAsia="宋体" w:cs="宋体"/>
                <w:color w:val="auto"/>
                <w:highlight w:val="none"/>
              </w:rPr>
            </w:pPr>
          </w:p>
          <w:p>
            <w:pPr>
              <w:spacing w:line="264" w:lineRule="auto"/>
              <w:rPr>
                <w:rFonts w:ascii="宋体" w:hAnsi="宋体" w:eastAsia="宋体" w:cs="宋体"/>
                <w:color w:val="auto"/>
                <w:highlight w:val="none"/>
              </w:rPr>
            </w:pPr>
          </w:p>
          <w:p>
            <w:pPr>
              <w:spacing w:line="264" w:lineRule="auto"/>
              <w:rPr>
                <w:rFonts w:ascii="宋体" w:hAnsi="宋体" w:eastAsia="宋体" w:cs="宋体"/>
                <w:color w:val="auto"/>
                <w:highlight w:val="none"/>
              </w:rPr>
            </w:pPr>
          </w:p>
          <w:p>
            <w:pPr>
              <w:spacing w:line="264" w:lineRule="auto"/>
              <w:rPr>
                <w:rFonts w:ascii="宋体" w:hAnsi="宋体" w:eastAsia="宋体" w:cs="宋体"/>
                <w:color w:val="auto"/>
                <w:highlight w:val="none"/>
              </w:rPr>
            </w:pPr>
          </w:p>
          <w:p>
            <w:pPr>
              <w:spacing w:before="60" w:line="224" w:lineRule="auto"/>
              <w:ind w:firstLine="210"/>
              <w:rPr>
                <w:rFonts w:ascii="宋体" w:hAnsi="宋体" w:eastAsia="宋体" w:cs="宋体"/>
                <w:color w:val="auto"/>
                <w:highlight w:val="none"/>
              </w:rPr>
            </w:pPr>
            <w:r>
              <w:rPr>
                <w:rFonts w:hint="eastAsia" w:ascii="宋体" w:hAnsi="宋体" w:eastAsia="宋体" w:cs="宋体"/>
                <w:color w:val="auto"/>
                <w:spacing w:val="-1"/>
                <w:highlight w:val="none"/>
              </w:rPr>
              <w:t>2.</w:t>
            </w:r>
            <w:r>
              <w:rPr>
                <w:rFonts w:hint="eastAsia" w:ascii="宋体" w:hAnsi="宋体" w:eastAsia="宋体" w:cs="宋体"/>
                <w:color w:val="auto"/>
                <w:highlight w:val="none"/>
              </w:rPr>
              <w:t>2.4</w:t>
            </w:r>
          </w:p>
          <w:p>
            <w:pPr>
              <w:spacing w:line="232" w:lineRule="auto"/>
              <w:ind w:firstLine="167"/>
              <w:rPr>
                <w:rFonts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spacing w:val="-13"/>
                <w:highlight w:val="none"/>
              </w:rPr>
              <w:t>）</w:t>
            </w:r>
          </w:p>
        </w:tc>
        <w:tc>
          <w:tcPr>
            <w:tcW w:w="1231" w:type="dxa"/>
            <w:gridSpan w:val="3"/>
            <w:vMerge w:val="restart"/>
            <w:tcBorders>
              <w:bottom w:val="nil"/>
            </w:tcBorders>
          </w:tcPr>
          <w:p>
            <w:pPr>
              <w:spacing w:line="242" w:lineRule="auto"/>
              <w:rPr>
                <w:rFonts w:ascii="宋体" w:hAnsi="宋体" w:eastAsia="宋体" w:cs="宋体"/>
                <w:color w:val="auto"/>
                <w:highlight w:val="none"/>
              </w:rPr>
            </w:pPr>
          </w:p>
          <w:p>
            <w:pPr>
              <w:spacing w:line="242" w:lineRule="auto"/>
              <w:rPr>
                <w:rFonts w:ascii="宋体" w:hAnsi="宋体" w:eastAsia="宋体" w:cs="宋体"/>
                <w:color w:val="auto"/>
                <w:highlight w:val="none"/>
              </w:rPr>
            </w:pPr>
          </w:p>
          <w:p>
            <w:pPr>
              <w:spacing w:line="242" w:lineRule="auto"/>
              <w:rPr>
                <w:rFonts w:ascii="宋体" w:hAnsi="宋体" w:eastAsia="宋体" w:cs="宋体"/>
                <w:color w:val="auto"/>
                <w:highlight w:val="none"/>
              </w:rPr>
            </w:pPr>
          </w:p>
          <w:p>
            <w:pPr>
              <w:spacing w:line="243" w:lineRule="auto"/>
              <w:rPr>
                <w:rFonts w:ascii="宋体" w:hAnsi="宋体" w:eastAsia="宋体" w:cs="宋体"/>
                <w:color w:val="auto"/>
                <w:highlight w:val="none"/>
              </w:rPr>
            </w:pPr>
          </w:p>
          <w:p>
            <w:pPr>
              <w:spacing w:line="243" w:lineRule="auto"/>
              <w:rPr>
                <w:rFonts w:ascii="宋体" w:hAnsi="宋体" w:eastAsia="宋体" w:cs="宋体"/>
                <w:color w:val="auto"/>
                <w:highlight w:val="none"/>
              </w:rPr>
            </w:pPr>
          </w:p>
          <w:p>
            <w:pPr>
              <w:spacing w:line="243" w:lineRule="auto"/>
              <w:rPr>
                <w:rFonts w:ascii="宋体" w:hAnsi="宋体" w:eastAsia="宋体" w:cs="宋体"/>
                <w:color w:val="auto"/>
                <w:highlight w:val="none"/>
              </w:rPr>
            </w:pPr>
          </w:p>
          <w:p>
            <w:pPr>
              <w:spacing w:line="243" w:lineRule="auto"/>
              <w:rPr>
                <w:rFonts w:ascii="宋体" w:hAnsi="宋体" w:eastAsia="宋体" w:cs="宋体"/>
                <w:color w:val="auto"/>
                <w:highlight w:val="none"/>
              </w:rPr>
            </w:pPr>
          </w:p>
          <w:p>
            <w:pPr>
              <w:spacing w:line="243" w:lineRule="auto"/>
              <w:rPr>
                <w:rFonts w:ascii="宋体" w:hAnsi="宋体" w:eastAsia="宋体" w:cs="宋体"/>
                <w:color w:val="auto"/>
                <w:highlight w:val="none"/>
              </w:rPr>
            </w:pPr>
          </w:p>
          <w:p>
            <w:pPr>
              <w:spacing w:before="69" w:line="220" w:lineRule="auto"/>
              <w:ind w:firstLine="95"/>
              <w:rPr>
                <w:rFonts w:ascii="宋体" w:hAnsi="宋体" w:eastAsia="宋体" w:cs="宋体"/>
                <w:color w:val="auto"/>
                <w:highlight w:val="none"/>
              </w:rPr>
            </w:pPr>
            <w:r>
              <w:rPr>
                <w:rFonts w:hint="eastAsia" w:ascii="宋体" w:hAnsi="宋体" w:eastAsia="宋体" w:cs="宋体"/>
                <w:color w:val="auto"/>
                <w:spacing w:val="-2"/>
                <w:highlight w:val="none"/>
              </w:rPr>
              <w:t>技</w:t>
            </w:r>
            <w:r>
              <w:rPr>
                <w:rFonts w:hint="eastAsia" w:ascii="宋体" w:hAnsi="宋体" w:eastAsia="宋体" w:cs="宋体"/>
                <w:color w:val="auto"/>
                <w:spacing w:val="-1"/>
                <w:highlight w:val="none"/>
              </w:rPr>
              <w:t>术建议书</w:t>
            </w:r>
          </w:p>
        </w:tc>
        <w:tc>
          <w:tcPr>
            <w:tcW w:w="1091" w:type="dxa"/>
            <w:gridSpan w:val="3"/>
            <w:vMerge w:val="restart"/>
            <w:tcBorders>
              <w:bottom w:val="nil"/>
            </w:tcBorders>
          </w:tcPr>
          <w:p>
            <w:pPr>
              <w:spacing w:line="242" w:lineRule="auto"/>
              <w:rPr>
                <w:rFonts w:ascii="宋体" w:hAnsi="宋体" w:eastAsia="宋体" w:cs="宋体"/>
                <w:color w:val="auto"/>
                <w:highlight w:val="none"/>
              </w:rPr>
            </w:pPr>
          </w:p>
          <w:p>
            <w:pPr>
              <w:spacing w:line="242" w:lineRule="auto"/>
              <w:rPr>
                <w:rFonts w:ascii="宋体" w:hAnsi="宋体" w:eastAsia="宋体" w:cs="宋体"/>
                <w:color w:val="auto"/>
                <w:highlight w:val="none"/>
              </w:rPr>
            </w:pPr>
          </w:p>
          <w:p>
            <w:pPr>
              <w:spacing w:line="243" w:lineRule="auto"/>
              <w:rPr>
                <w:rFonts w:ascii="宋体" w:hAnsi="宋体" w:eastAsia="宋体" w:cs="宋体"/>
                <w:color w:val="auto"/>
                <w:highlight w:val="none"/>
              </w:rPr>
            </w:pPr>
          </w:p>
          <w:p>
            <w:pPr>
              <w:spacing w:line="243" w:lineRule="auto"/>
              <w:rPr>
                <w:rFonts w:ascii="宋体" w:hAnsi="宋体" w:eastAsia="宋体" w:cs="宋体"/>
                <w:color w:val="auto"/>
                <w:highlight w:val="none"/>
              </w:rPr>
            </w:pPr>
          </w:p>
          <w:p>
            <w:pPr>
              <w:spacing w:line="243" w:lineRule="auto"/>
              <w:rPr>
                <w:rFonts w:ascii="宋体" w:hAnsi="宋体" w:eastAsia="宋体" w:cs="宋体"/>
                <w:color w:val="auto"/>
                <w:highlight w:val="none"/>
              </w:rPr>
            </w:pPr>
          </w:p>
          <w:p>
            <w:pPr>
              <w:spacing w:line="243" w:lineRule="auto"/>
              <w:rPr>
                <w:rFonts w:ascii="宋体" w:hAnsi="宋体" w:eastAsia="宋体" w:cs="宋体"/>
                <w:color w:val="auto"/>
                <w:highlight w:val="none"/>
              </w:rPr>
            </w:pPr>
          </w:p>
          <w:p>
            <w:pPr>
              <w:spacing w:line="243" w:lineRule="auto"/>
              <w:rPr>
                <w:rFonts w:ascii="宋体" w:hAnsi="宋体" w:eastAsia="宋体" w:cs="宋体"/>
                <w:color w:val="auto"/>
                <w:highlight w:val="none"/>
              </w:rPr>
            </w:pPr>
          </w:p>
          <w:p>
            <w:pPr>
              <w:spacing w:line="243" w:lineRule="auto"/>
              <w:rPr>
                <w:rFonts w:ascii="宋体" w:hAnsi="宋体" w:eastAsia="宋体" w:cs="宋体"/>
                <w:color w:val="auto"/>
                <w:highlight w:val="none"/>
              </w:rPr>
            </w:pPr>
          </w:p>
          <w:p>
            <w:pPr>
              <w:spacing w:before="68" w:line="221" w:lineRule="auto"/>
              <w:ind w:firstLine="318"/>
              <w:rPr>
                <w:rFonts w:ascii="宋体" w:hAnsi="宋体" w:eastAsia="宋体" w:cs="宋体"/>
                <w:color w:val="auto"/>
                <w:highlight w:val="none"/>
              </w:rPr>
            </w:pPr>
            <w:r>
              <w:rPr>
                <w:rFonts w:hint="eastAsia" w:ascii="宋体" w:hAnsi="宋体" w:eastAsia="宋体" w:cs="宋体"/>
                <w:color w:val="auto"/>
                <w:spacing w:val="-1"/>
                <w:highlight w:val="none"/>
                <w:lang w:val="en-US" w:eastAsia="zh-CN"/>
              </w:rPr>
              <w:t>15</w:t>
            </w:r>
            <w:r>
              <w:rPr>
                <w:rFonts w:hint="eastAsia" w:ascii="宋体" w:hAnsi="宋体" w:eastAsia="宋体" w:cs="宋体"/>
                <w:color w:val="auto"/>
                <w:spacing w:val="-10"/>
                <w:highlight w:val="none"/>
              </w:rPr>
              <w:t xml:space="preserve"> </w:t>
            </w:r>
            <w:r>
              <w:rPr>
                <w:rFonts w:hint="eastAsia" w:ascii="宋体" w:hAnsi="宋体" w:eastAsia="宋体" w:cs="宋体"/>
                <w:color w:val="auto"/>
                <w:spacing w:val="-1"/>
                <w:highlight w:val="none"/>
              </w:rPr>
              <w:t>分</w:t>
            </w:r>
          </w:p>
        </w:tc>
        <w:tc>
          <w:tcPr>
            <w:tcW w:w="1981" w:type="dxa"/>
            <w:gridSpan w:val="2"/>
          </w:tcPr>
          <w:p>
            <w:pPr>
              <w:spacing w:before="75" w:line="267" w:lineRule="auto"/>
              <w:ind w:left="78" w:right="73" w:firstLine="4"/>
              <w:rPr>
                <w:rFonts w:ascii="宋体" w:hAnsi="宋体" w:eastAsia="宋体" w:cs="宋体"/>
                <w:color w:val="auto"/>
                <w:highlight w:val="none"/>
              </w:rPr>
            </w:pPr>
            <w:r>
              <w:rPr>
                <w:rFonts w:hint="eastAsia" w:ascii="宋体" w:hAnsi="宋体" w:eastAsia="宋体" w:cs="宋体"/>
                <w:color w:val="auto"/>
                <w:highlight w:val="none"/>
              </w:rPr>
              <w:t>对招标项目的理解和总体设计思路</w:t>
            </w:r>
          </w:p>
        </w:tc>
        <w:tc>
          <w:tcPr>
            <w:tcW w:w="850" w:type="dxa"/>
          </w:tcPr>
          <w:p>
            <w:pPr>
              <w:spacing w:line="273" w:lineRule="auto"/>
              <w:rPr>
                <w:rFonts w:ascii="宋体" w:hAnsi="宋体" w:eastAsia="宋体" w:cs="宋体"/>
                <w:color w:val="auto"/>
                <w:highlight w:val="none"/>
              </w:rPr>
            </w:pPr>
          </w:p>
          <w:p>
            <w:pPr>
              <w:spacing w:before="61" w:line="189" w:lineRule="auto"/>
              <w:ind w:firstLine="333"/>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3</w:t>
            </w:r>
          </w:p>
        </w:tc>
        <w:tc>
          <w:tcPr>
            <w:tcW w:w="3288" w:type="dxa"/>
            <w:vMerge w:val="restart"/>
            <w:tcBorders>
              <w:bottom w:val="nil"/>
            </w:tcBorders>
          </w:tcPr>
          <w:p>
            <w:pPr>
              <w:spacing w:line="278" w:lineRule="auto"/>
              <w:rPr>
                <w:rFonts w:ascii="宋体" w:hAnsi="宋体" w:eastAsia="宋体" w:cs="宋体"/>
                <w:color w:val="auto"/>
                <w:highlight w:val="none"/>
              </w:rPr>
            </w:pPr>
          </w:p>
          <w:p>
            <w:pPr>
              <w:spacing w:line="278" w:lineRule="auto"/>
              <w:rPr>
                <w:rFonts w:ascii="宋体" w:hAnsi="宋体" w:eastAsia="宋体" w:cs="宋体"/>
                <w:color w:val="auto"/>
                <w:highlight w:val="none"/>
              </w:rPr>
            </w:pPr>
          </w:p>
          <w:p>
            <w:pPr>
              <w:spacing w:line="278" w:lineRule="auto"/>
              <w:rPr>
                <w:rFonts w:ascii="宋体" w:hAnsi="宋体" w:eastAsia="宋体" w:cs="宋体"/>
                <w:color w:val="auto"/>
                <w:highlight w:val="none"/>
              </w:rPr>
            </w:pPr>
          </w:p>
          <w:p>
            <w:pPr>
              <w:spacing w:line="279" w:lineRule="auto"/>
              <w:rPr>
                <w:rFonts w:ascii="宋体" w:hAnsi="宋体" w:eastAsia="宋体" w:cs="宋体"/>
                <w:color w:val="auto"/>
                <w:highlight w:val="none"/>
              </w:rPr>
            </w:pPr>
          </w:p>
          <w:p>
            <w:pPr>
              <w:spacing w:line="279" w:lineRule="auto"/>
              <w:rPr>
                <w:rFonts w:ascii="宋体" w:hAnsi="宋体" w:eastAsia="宋体" w:cs="宋体"/>
                <w:color w:val="auto"/>
                <w:highlight w:val="none"/>
              </w:rPr>
            </w:pPr>
          </w:p>
          <w:p>
            <w:pPr>
              <w:spacing w:before="68" w:line="250" w:lineRule="auto"/>
              <w:ind w:left="78" w:right="71"/>
              <w:rPr>
                <w:rFonts w:ascii="宋体" w:hAnsi="宋体" w:eastAsia="宋体" w:cs="宋体"/>
                <w:color w:val="auto"/>
                <w:highlight w:val="none"/>
              </w:rPr>
            </w:pPr>
            <w:r>
              <w:rPr>
                <w:rFonts w:hint="eastAsia" w:ascii="宋体" w:hAnsi="宋体" w:eastAsia="宋体" w:cs="宋体"/>
                <w:color w:val="auto"/>
                <w:highlight w:val="none"/>
              </w:rPr>
              <w:t>每项基本分</w:t>
            </w:r>
            <w:r>
              <w:rPr>
                <w:rFonts w:hint="eastAsia" w:ascii="宋体" w:hAnsi="宋体" w:eastAsia="宋体" w:cs="宋体"/>
                <w:color w:val="auto"/>
                <w:highlight w:val="none"/>
                <w:lang w:val="en-US" w:eastAsia="zh-CN"/>
              </w:rPr>
              <w:t>1.8</w:t>
            </w:r>
            <w:r>
              <w:rPr>
                <w:rFonts w:hint="eastAsia" w:ascii="宋体" w:hAnsi="宋体" w:eastAsia="宋体" w:cs="宋体"/>
                <w:color w:val="auto"/>
                <w:highlight w:val="none"/>
              </w:rPr>
              <w:t>分</w:t>
            </w:r>
            <w:r>
              <w:rPr>
                <w:rFonts w:hint="eastAsia" w:ascii="宋体" w:hAnsi="宋体" w:eastAsia="宋体" w:cs="宋体"/>
                <w:color w:val="auto"/>
                <w:spacing w:val="-22"/>
                <w:highlight w:val="none"/>
              </w:rPr>
              <w:t>。</w:t>
            </w:r>
            <w:r>
              <w:rPr>
                <w:rFonts w:hint="eastAsia" w:ascii="宋体" w:hAnsi="宋体" w:eastAsia="宋体" w:cs="宋体"/>
                <w:color w:val="auto"/>
                <w:highlight w:val="none"/>
              </w:rPr>
              <w:t>评标委员会 根据技术建议书是否合理</w:t>
            </w:r>
            <w:r>
              <w:rPr>
                <w:rFonts w:hint="eastAsia" w:ascii="宋体" w:hAnsi="宋体" w:eastAsia="宋体" w:cs="宋体"/>
                <w:color w:val="auto"/>
                <w:spacing w:val="-23"/>
                <w:highlight w:val="none"/>
              </w:rPr>
              <w:t>，</w:t>
            </w:r>
            <w:r>
              <w:rPr>
                <w:rFonts w:hint="eastAsia" w:ascii="宋体" w:hAnsi="宋体" w:eastAsia="宋体" w:cs="宋体"/>
                <w:color w:val="auto"/>
                <w:highlight w:val="none"/>
              </w:rPr>
              <w:t>酌情 加分</w:t>
            </w:r>
            <w:r>
              <w:rPr>
                <w:rFonts w:hint="eastAsia" w:ascii="宋体" w:hAnsi="宋体" w:eastAsia="宋体" w:cs="宋体"/>
                <w:color w:val="auto"/>
                <w:spacing w:val="-34"/>
                <w:highlight w:val="none"/>
              </w:rPr>
              <w:t>，</w:t>
            </w:r>
            <w:r>
              <w:rPr>
                <w:rFonts w:hint="eastAsia" w:ascii="宋体" w:hAnsi="宋体" w:eastAsia="宋体" w:cs="宋体"/>
                <w:color w:val="auto"/>
                <w:spacing w:val="-105"/>
                <w:highlight w:val="none"/>
              </w:rPr>
              <w:t xml:space="preserve"> </w:t>
            </w:r>
            <w:r>
              <w:rPr>
                <w:rFonts w:hint="eastAsia" w:ascii="宋体" w:hAnsi="宋体" w:eastAsia="宋体" w:cs="宋体"/>
                <w:color w:val="auto"/>
                <w:highlight w:val="none"/>
              </w:rPr>
              <w:t>每项最高加</w:t>
            </w:r>
            <w:r>
              <w:rPr>
                <w:rFonts w:hint="eastAsia" w:ascii="宋体" w:hAnsi="宋体" w:eastAsia="宋体" w:cs="宋体"/>
                <w:color w:val="auto"/>
                <w:highlight w:val="none"/>
                <w:lang w:val="en-US" w:eastAsia="zh-CN"/>
              </w:rPr>
              <w:t>1.2</w:t>
            </w:r>
            <w:r>
              <w:rPr>
                <w:rFonts w:hint="eastAsia" w:ascii="宋体" w:hAnsi="宋体" w:eastAsia="宋体" w:cs="宋体"/>
                <w:color w:val="auto"/>
                <w:highlight w:val="none"/>
              </w:rPr>
              <w:t>分</w:t>
            </w:r>
            <w:r>
              <w:rPr>
                <w:rFonts w:hint="eastAsia" w:ascii="宋体" w:hAnsi="宋体" w:eastAsia="宋体" w:cs="宋体"/>
                <w:color w:val="auto"/>
                <w:spacing w:val="-3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10" w:type="dxa"/>
          <w:trHeight w:val="988" w:hRule="atLeast"/>
          <w:jc w:val="center"/>
        </w:trPr>
        <w:tc>
          <w:tcPr>
            <w:tcW w:w="840" w:type="dxa"/>
            <w:vMerge w:val="continue"/>
            <w:tcBorders>
              <w:top w:val="nil"/>
              <w:bottom w:val="nil"/>
            </w:tcBorders>
          </w:tcPr>
          <w:p>
            <w:pPr>
              <w:rPr>
                <w:rFonts w:ascii="宋体" w:hAnsi="宋体" w:eastAsia="宋体" w:cs="宋体"/>
                <w:color w:val="auto"/>
                <w:highlight w:val="none"/>
              </w:rPr>
            </w:pPr>
          </w:p>
        </w:tc>
        <w:tc>
          <w:tcPr>
            <w:tcW w:w="1231" w:type="dxa"/>
            <w:gridSpan w:val="3"/>
            <w:vMerge w:val="continue"/>
            <w:tcBorders>
              <w:top w:val="nil"/>
              <w:bottom w:val="nil"/>
            </w:tcBorders>
          </w:tcPr>
          <w:p>
            <w:pPr>
              <w:rPr>
                <w:rFonts w:ascii="宋体" w:hAnsi="宋体" w:eastAsia="宋体" w:cs="宋体"/>
                <w:color w:val="auto"/>
                <w:highlight w:val="none"/>
              </w:rPr>
            </w:pPr>
          </w:p>
        </w:tc>
        <w:tc>
          <w:tcPr>
            <w:tcW w:w="1091" w:type="dxa"/>
            <w:gridSpan w:val="3"/>
            <w:vMerge w:val="continue"/>
            <w:tcBorders>
              <w:top w:val="nil"/>
              <w:bottom w:val="nil"/>
            </w:tcBorders>
          </w:tcPr>
          <w:p>
            <w:pPr>
              <w:rPr>
                <w:rFonts w:ascii="宋体" w:hAnsi="宋体" w:eastAsia="宋体" w:cs="宋体"/>
                <w:color w:val="auto"/>
                <w:highlight w:val="none"/>
              </w:rPr>
            </w:pPr>
          </w:p>
        </w:tc>
        <w:tc>
          <w:tcPr>
            <w:tcW w:w="1981" w:type="dxa"/>
            <w:gridSpan w:val="2"/>
          </w:tcPr>
          <w:p>
            <w:pPr>
              <w:spacing w:before="75" w:line="267" w:lineRule="auto"/>
              <w:ind w:left="78" w:right="73" w:firstLine="4"/>
              <w:rPr>
                <w:rFonts w:ascii="宋体" w:hAnsi="宋体" w:eastAsia="宋体" w:cs="宋体"/>
                <w:color w:val="auto"/>
                <w:highlight w:val="none"/>
              </w:rPr>
            </w:pPr>
            <w:r>
              <w:rPr>
                <w:rFonts w:hint="eastAsia" w:ascii="宋体" w:hAnsi="宋体" w:eastAsia="宋体" w:cs="宋体"/>
                <w:color w:val="auto"/>
                <w:highlight w:val="none"/>
              </w:rPr>
              <w:t>招标项目勘察设计的特点、关键技术问题的认识及其对策措施</w:t>
            </w:r>
          </w:p>
        </w:tc>
        <w:tc>
          <w:tcPr>
            <w:tcW w:w="850" w:type="dxa"/>
          </w:tcPr>
          <w:p>
            <w:pPr>
              <w:spacing w:line="410" w:lineRule="auto"/>
              <w:rPr>
                <w:rFonts w:ascii="宋体" w:hAnsi="宋体" w:eastAsia="宋体" w:cs="宋体"/>
                <w:color w:val="auto"/>
                <w:highlight w:val="none"/>
              </w:rPr>
            </w:pPr>
          </w:p>
          <w:p>
            <w:pPr>
              <w:spacing w:before="60" w:line="189" w:lineRule="auto"/>
              <w:ind w:firstLine="333"/>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3</w:t>
            </w:r>
          </w:p>
        </w:tc>
        <w:tc>
          <w:tcPr>
            <w:tcW w:w="3288" w:type="dxa"/>
            <w:vMerge w:val="continue"/>
            <w:tcBorders>
              <w:top w:val="nil"/>
              <w:bottom w:val="nil"/>
            </w:tcBorders>
          </w:tcPr>
          <w:p>
            <w:pPr>
              <w:rPr>
                <w:rFonts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10" w:type="dxa"/>
          <w:trHeight w:val="718" w:hRule="atLeast"/>
          <w:jc w:val="center"/>
        </w:trPr>
        <w:tc>
          <w:tcPr>
            <w:tcW w:w="840" w:type="dxa"/>
            <w:vMerge w:val="continue"/>
            <w:tcBorders>
              <w:top w:val="nil"/>
              <w:bottom w:val="nil"/>
            </w:tcBorders>
          </w:tcPr>
          <w:p>
            <w:pPr>
              <w:rPr>
                <w:rFonts w:ascii="宋体" w:hAnsi="宋体" w:eastAsia="宋体" w:cs="宋体"/>
                <w:color w:val="auto"/>
                <w:highlight w:val="none"/>
              </w:rPr>
            </w:pPr>
          </w:p>
        </w:tc>
        <w:tc>
          <w:tcPr>
            <w:tcW w:w="1231" w:type="dxa"/>
            <w:gridSpan w:val="3"/>
            <w:vMerge w:val="continue"/>
            <w:tcBorders>
              <w:top w:val="nil"/>
              <w:bottom w:val="nil"/>
            </w:tcBorders>
          </w:tcPr>
          <w:p>
            <w:pPr>
              <w:rPr>
                <w:rFonts w:ascii="宋体" w:hAnsi="宋体" w:eastAsia="宋体" w:cs="宋体"/>
                <w:color w:val="auto"/>
                <w:highlight w:val="none"/>
              </w:rPr>
            </w:pPr>
          </w:p>
        </w:tc>
        <w:tc>
          <w:tcPr>
            <w:tcW w:w="1091" w:type="dxa"/>
            <w:gridSpan w:val="3"/>
            <w:vMerge w:val="continue"/>
            <w:tcBorders>
              <w:top w:val="nil"/>
              <w:bottom w:val="nil"/>
            </w:tcBorders>
          </w:tcPr>
          <w:p>
            <w:pPr>
              <w:rPr>
                <w:rFonts w:ascii="宋体" w:hAnsi="宋体" w:eastAsia="宋体" w:cs="宋体"/>
                <w:color w:val="auto"/>
                <w:highlight w:val="none"/>
              </w:rPr>
            </w:pPr>
          </w:p>
        </w:tc>
        <w:tc>
          <w:tcPr>
            <w:tcW w:w="1981" w:type="dxa"/>
            <w:gridSpan w:val="2"/>
          </w:tcPr>
          <w:p>
            <w:pPr>
              <w:spacing w:before="75" w:line="267" w:lineRule="auto"/>
              <w:ind w:left="78" w:right="73" w:firstLine="4"/>
              <w:rPr>
                <w:rFonts w:ascii="宋体" w:hAnsi="宋体" w:eastAsia="宋体" w:cs="宋体"/>
                <w:color w:val="auto"/>
                <w:highlight w:val="none"/>
              </w:rPr>
            </w:pPr>
            <w:r>
              <w:rPr>
                <w:rFonts w:hint="eastAsia" w:ascii="宋体" w:hAnsi="宋体" w:eastAsia="宋体" w:cs="宋体"/>
                <w:color w:val="auto"/>
                <w:highlight w:val="none"/>
              </w:rPr>
              <w:t>勘察设计工作量及计划安排</w:t>
            </w:r>
          </w:p>
        </w:tc>
        <w:tc>
          <w:tcPr>
            <w:tcW w:w="850" w:type="dxa"/>
          </w:tcPr>
          <w:p>
            <w:pPr>
              <w:spacing w:line="277" w:lineRule="auto"/>
              <w:rPr>
                <w:rFonts w:ascii="宋体" w:hAnsi="宋体" w:eastAsia="宋体" w:cs="宋体"/>
                <w:color w:val="auto"/>
                <w:highlight w:val="none"/>
              </w:rPr>
            </w:pPr>
          </w:p>
          <w:p>
            <w:pPr>
              <w:spacing w:before="60" w:line="189" w:lineRule="auto"/>
              <w:ind w:firstLine="333"/>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3</w:t>
            </w:r>
          </w:p>
        </w:tc>
        <w:tc>
          <w:tcPr>
            <w:tcW w:w="3288" w:type="dxa"/>
            <w:vMerge w:val="continue"/>
            <w:tcBorders>
              <w:top w:val="nil"/>
              <w:bottom w:val="nil"/>
            </w:tcBorders>
          </w:tcPr>
          <w:p>
            <w:pPr>
              <w:rPr>
                <w:rFonts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0" w:type="dxa"/>
          <w:trHeight w:val="990" w:hRule="atLeast"/>
          <w:jc w:val="center"/>
        </w:trPr>
        <w:tc>
          <w:tcPr>
            <w:tcW w:w="840" w:type="dxa"/>
            <w:vMerge w:val="continue"/>
            <w:tcBorders>
              <w:top w:val="nil"/>
              <w:bottom w:val="nil"/>
            </w:tcBorders>
          </w:tcPr>
          <w:p>
            <w:pPr>
              <w:rPr>
                <w:rFonts w:ascii="宋体" w:hAnsi="宋体" w:eastAsia="宋体" w:cs="宋体"/>
                <w:color w:val="auto"/>
                <w:highlight w:val="none"/>
              </w:rPr>
            </w:pPr>
          </w:p>
        </w:tc>
        <w:tc>
          <w:tcPr>
            <w:tcW w:w="1231" w:type="dxa"/>
            <w:gridSpan w:val="3"/>
            <w:vMerge w:val="continue"/>
            <w:tcBorders>
              <w:top w:val="nil"/>
              <w:bottom w:val="nil"/>
            </w:tcBorders>
          </w:tcPr>
          <w:p>
            <w:pPr>
              <w:rPr>
                <w:rFonts w:ascii="宋体" w:hAnsi="宋体" w:eastAsia="宋体" w:cs="宋体"/>
                <w:color w:val="auto"/>
                <w:highlight w:val="none"/>
              </w:rPr>
            </w:pPr>
          </w:p>
        </w:tc>
        <w:tc>
          <w:tcPr>
            <w:tcW w:w="1091" w:type="dxa"/>
            <w:gridSpan w:val="3"/>
            <w:vMerge w:val="continue"/>
            <w:tcBorders>
              <w:top w:val="nil"/>
              <w:bottom w:val="nil"/>
            </w:tcBorders>
          </w:tcPr>
          <w:p>
            <w:pPr>
              <w:rPr>
                <w:rFonts w:ascii="宋体" w:hAnsi="宋体" w:eastAsia="宋体" w:cs="宋体"/>
                <w:color w:val="auto"/>
                <w:highlight w:val="none"/>
              </w:rPr>
            </w:pPr>
          </w:p>
        </w:tc>
        <w:tc>
          <w:tcPr>
            <w:tcW w:w="1981" w:type="dxa"/>
            <w:gridSpan w:val="2"/>
          </w:tcPr>
          <w:p>
            <w:pPr>
              <w:spacing w:before="75" w:line="267" w:lineRule="auto"/>
              <w:ind w:left="78" w:right="73" w:firstLine="4"/>
              <w:rPr>
                <w:rFonts w:ascii="宋体" w:hAnsi="宋体" w:eastAsia="宋体" w:cs="宋体"/>
                <w:color w:val="auto"/>
                <w:highlight w:val="none"/>
              </w:rPr>
            </w:pPr>
            <w:r>
              <w:rPr>
                <w:rFonts w:hint="eastAsia" w:ascii="宋体" w:hAnsi="宋体" w:eastAsia="宋体" w:cs="宋体"/>
                <w:color w:val="auto"/>
                <w:highlight w:val="none"/>
              </w:rPr>
              <w:t>勘察设计的质量保证措施、进度保证措施、安全保证措施</w:t>
            </w:r>
          </w:p>
        </w:tc>
        <w:tc>
          <w:tcPr>
            <w:tcW w:w="850" w:type="dxa"/>
          </w:tcPr>
          <w:p>
            <w:pPr>
              <w:spacing w:line="413" w:lineRule="auto"/>
              <w:rPr>
                <w:rFonts w:ascii="宋体" w:hAnsi="宋体" w:eastAsia="宋体" w:cs="宋体"/>
                <w:color w:val="auto"/>
                <w:highlight w:val="none"/>
              </w:rPr>
            </w:pPr>
          </w:p>
          <w:p>
            <w:pPr>
              <w:spacing w:before="60" w:line="189" w:lineRule="auto"/>
              <w:ind w:firstLine="333"/>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3</w:t>
            </w:r>
          </w:p>
        </w:tc>
        <w:tc>
          <w:tcPr>
            <w:tcW w:w="3288" w:type="dxa"/>
            <w:vMerge w:val="continue"/>
            <w:tcBorders>
              <w:top w:val="nil"/>
              <w:bottom w:val="nil"/>
            </w:tcBorders>
          </w:tcPr>
          <w:p>
            <w:pPr>
              <w:rPr>
                <w:rFonts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10" w:type="dxa"/>
          <w:trHeight w:val="717" w:hRule="atLeast"/>
          <w:jc w:val="center"/>
        </w:trPr>
        <w:tc>
          <w:tcPr>
            <w:tcW w:w="840" w:type="dxa"/>
            <w:vMerge w:val="continue"/>
            <w:tcBorders>
              <w:top w:val="nil"/>
            </w:tcBorders>
          </w:tcPr>
          <w:p>
            <w:pPr>
              <w:rPr>
                <w:rFonts w:ascii="宋体" w:hAnsi="宋体" w:eastAsia="宋体" w:cs="宋体"/>
                <w:color w:val="auto"/>
                <w:highlight w:val="none"/>
              </w:rPr>
            </w:pPr>
          </w:p>
        </w:tc>
        <w:tc>
          <w:tcPr>
            <w:tcW w:w="1231" w:type="dxa"/>
            <w:gridSpan w:val="3"/>
            <w:vMerge w:val="continue"/>
            <w:tcBorders>
              <w:top w:val="nil"/>
            </w:tcBorders>
          </w:tcPr>
          <w:p>
            <w:pPr>
              <w:rPr>
                <w:rFonts w:ascii="宋体" w:hAnsi="宋体" w:eastAsia="宋体" w:cs="宋体"/>
                <w:color w:val="auto"/>
                <w:highlight w:val="none"/>
              </w:rPr>
            </w:pPr>
          </w:p>
        </w:tc>
        <w:tc>
          <w:tcPr>
            <w:tcW w:w="1091" w:type="dxa"/>
            <w:gridSpan w:val="3"/>
            <w:vMerge w:val="continue"/>
            <w:tcBorders>
              <w:top w:val="nil"/>
            </w:tcBorders>
          </w:tcPr>
          <w:p>
            <w:pPr>
              <w:rPr>
                <w:rFonts w:ascii="宋体" w:hAnsi="宋体" w:eastAsia="宋体" w:cs="宋体"/>
                <w:color w:val="auto"/>
                <w:highlight w:val="none"/>
              </w:rPr>
            </w:pPr>
          </w:p>
        </w:tc>
        <w:tc>
          <w:tcPr>
            <w:tcW w:w="1981" w:type="dxa"/>
            <w:gridSpan w:val="2"/>
          </w:tcPr>
          <w:p>
            <w:pPr>
              <w:spacing w:before="75" w:line="267" w:lineRule="auto"/>
              <w:ind w:left="78" w:right="73" w:firstLine="4"/>
              <w:rPr>
                <w:rFonts w:ascii="宋体" w:hAnsi="宋体" w:eastAsia="宋体" w:cs="宋体"/>
                <w:color w:val="auto"/>
                <w:highlight w:val="none"/>
              </w:rPr>
            </w:pPr>
            <w:r>
              <w:rPr>
                <w:rFonts w:hint="eastAsia" w:ascii="宋体" w:hAnsi="宋体" w:eastAsia="宋体" w:cs="宋体"/>
                <w:color w:val="auto"/>
                <w:highlight w:val="none"/>
              </w:rPr>
              <w:t>后续服务的安排、保证措施及疫情防控措施</w:t>
            </w:r>
          </w:p>
        </w:tc>
        <w:tc>
          <w:tcPr>
            <w:tcW w:w="850" w:type="dxa"/>
          </w:tcPr>
          <w:p>
            <w:pPr>
              <w:spacing w:line="278" w:lineRule="auto"/>
              <w:rPr>
                <w:rFonts w:ascii="宋体" w:hAnsi="宋体" w:eastAsia="宋体" w:cs="宋体"/>
                <w:color w:val="auto"/>
                <w:highlight w:val="none"/>
              </w:rPr>
            </w:pPr>
          </w:p>
          <w:p>
            <w:pPr>
              <w:spacing w:before="60" w:line="189" w:lineRule="auto"/>
              <w:ind w:firstLine="333"/>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3</w:t>
            </w:r>
          </w:p>
        </w:tc>
        <w:tc>
          <w:tcPr>
            <w:tcW w:w="3288" w:type="dxa"/>
            <w:vMerge w:val="continue"/>
            <w:tcBorders>
              <w:top w:val="nil"/>
            </w:tcBorders>
          </w:tcPr>
          <w:p>
            <w:pPr>
              <w:rPr>
                <w:rFonts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10" w:type="dxa"/>
          <w:trHeight w:val="1565" w:hRule="atLeast"/>
          <w:jc w:val="center"/>
        </w:trPr>
        <w:tc>
          <w:tcPr>
            <w:tcW w:w="840" w:type="dxa"/>
          </w:tcPr>
          <w:p>
            <w:pPr>
              <w:spacing w:line="341" w:lineRule="auto"/>
              <w:rPr>
                <w:rFonts w:ascii="宋体" w:hAnsi="宋体" w:eastAsia="宋体" w:cs="宋体"/>
                <w:color w:val="auto"/>
                <w:highlight w:val="none"/>
              </w:rPr>
            </w:pPr>
          </w:p>
          <w:p>
            <w:pPr>
              <w:spacing w:line="342" w:lineRule="auto"/>
              <w:rPr>
                <w:rFonts w:ascii="宋体" w:hAnsi="宋体" w:eastAsia="宋体" w:cs="宋体"/>
                <w:color w:val="auto"/>
                <w:highlight w:val="none"/>
              </w:rPr>
            </w:pPr>
          </w:p>
          <w:p>
            <w:pPr>
              <w:spacing w:before="60" w:line="224" w:lineRule="auto"/>
              <w:ind w:firstLine="210"/>
              <w:rPr>
                <w:rFonts w:ascii="宋体" w:hAnsi="宋体" w:eastAsia="宋体" w:cs="宋体"/>
                <w:color w:val="auto"/>
                <w:highlight w:val="none"/>
              </w:rPr>
            </w:pPr>
            <w:r>
              <w:rPr>
                <w:rFonts w:hint="eastAsia" w:ascii="宋体" w:hAnsi="宋体" w:eastAsia="宋体" w:cs="宋体"/>
                <w:color w:val="auto"/>
                <w:spacing w:val="-1"/>
                <w:highlight w:val="none"/>
              </w:rPr>
              <w:t>2.</w:t>
            </w:r>
            <w:r>
              <w:rPr>
                <w:rFonts w:hint="eastAsia" w:ascii="宋体" w:hAnsi="宋体" w:eastAsia="宋体" w:cs="宋体"/>
                <w:color w:val="auto"/>
                <w:highlight w:val="none"/>
              </w:rPr>
              <w:t>2.4</w:t>
            </w:r>
          </w:p>
          <w:p>
            <w:pPr>
              <w:spacing w:line="232" w:lineRule="auto"/>
              <w:ind w:firstLine="167"/>
              <w:rPr>
                <w:rFonts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spacing w:val="-13"/>
                <w:highlight w:val="none"/>
              </w:rPr>
              <w:t>）</w:t>
            </w:r>
          </w:p>
        </w:tc>
        <w:tc>
          <w:tcPr>
            <w:tcW w:w="1231" w:type="dxa"/>
            <w:gridSpan w:val="3"/>
          </w:tcPr>
          <w:p>
            <w:pPr>
              <w:spacing w:line="260" w:lineRule="auto"/>
              <w:rPr>
                <w:rFonts w:ascii="宋体" w:hAnsi="宋体" w:eastAsia="宋体" w:cs="宋体"/>
                <w:color w:val="auto"/>
                <w:highlight w:val="none"/>
              </w:rPr>
            </w:pPr>
          </w:p>
          <w:p>
            <w:pPr>
              <w:spacing w:line="260" w:lineRule="auto"/>
              <w:rPr>
                <w:rFonts w:ascii="宋体" w:hAnsi="宋体" w:eastAsia="宋体" w:cs="宋体"/>
                <w:color w:val="auto"/>
                <w:highlight w:val="none"/>
              </w:rPr>
            </w:pPr>
          </w:p>
          <w:p>
            <w:pPr>
              <w:spacing w:before="68" w:line="222" w:lineRule="auto"/>
              <w:ind w:firstLine="201"/>
              <w:rPr>
                <w:rFonts w:ascii="宋体" w:hAnsi="宋体" w:eastAsia="宋体" w:cs="宋体"/>
                <w:color w:val="auto"/>
                <w:highlight w:val="none"/>
              </w:rPr>
            </w:pPr>
            <w:r>
              <w:rPr>
                <w:rFonts w:hint="eastAsia" w:ascii="宋体" w:hAnsi="宋体" w:eastAsia="宋体" w:cs="宋体"/>
                <w:color w:val="auto"/>
                <w:spacing w:val="-2"/>
                <w:highlight w:val="none"/>
              </w:rPr>
              <w:t>主要人</w:t>
            </w:r>
            <w:r>
              <w:rPr>
                <w:rFonts w:hint="eastAsia" w:ascii="宋体" w:hAnsi="宋体" w:eastAsia="宋体" w:cs="宋体"/>
                <w:color w:val="auto"/>
                <w:spacing w:val="-1"/>
                <w:highlight w:val="none"/>
              </w:rPr>
              <w:t>员</w:t>
            </w:r>
          </w:p>
        </w:tc>
        <w:tc>
          <w:tcPr>
            <w:tcW w:w="1091" w:type="dxa"/>
            <w:gridSpan w:val="3"/>
          </w:tcPr>
          <w:p>
            <w:pPr>
              <w:spacing w:line="260" w:lineRule="auto"/>
              <w:rPr>
                <w:rFonts w:ascii="宋体" w:hAnsi="宋体" w:eastAsia="宋体" w:cs="宋体"/>
                <w:color w:val="auto"/>
                <w:highlight w:val="none"/>
              </w:rPr>
            </w:pPr>
          </w:p>
          <w:p>
            <w:pPr>
              <w:spacing w:line="260" w:lineRule="auto"/>
              <w:rPr>
                <w:rFonts w:ascii="宋体" w:hAnsi="宋体" w:eastAsia="宋体" w:cs="宋体"/>
                <w:color w:val="auto"/>
                <w:highlight w:val="none"/>
              </w:rPr>
            </w:pPr>
          </w:p>
          <w:p>
            <w:pPr>
              <w:spacing w:before="69" w:line="221" w:lineRule="auto"/>
              <w:ind w:firstLine="301"/>
              <w:rPr>
                <w:rFonts w:ascii="宋体" w:hAnsi="宋体" w:eastAsia="宋体" w:cs="宋体"/>
                <w:color w:val="auto"/>
                <w:highlight w:val="none"/>
              </w:rPr>
            </w:pPr>
            <w:r>
              <w:rPr>
                <w:rFonts w:hint="eastAsia" w:ascii="宋体" w:hAnsi="宋体" w:eastAsia="宋体" w:cs="宋体"/>
                <w:color w:val="auto"/>
                <w:spacing w:val="1"/>
                <w:highlight w:val="none"/>
                <w:lang w:val="en-US" w:eastAsia="zh-CN"/>
              </w:rPr>
              <w:t>35</w:t>
            </w:r>
            <w:r>
              <w:rPr>
                <w:rFonts w:hint="eastAsia" w:ascii="宋体" w:hAnsi="宋体" w:eastAsia="宋体" w:cs="宋体"/>
                <w:color w:val="auto"/>
                <w:spacing w:val="1"/>
                <w:highlight w:val="none"/>
              </w:rPr>
              <w:t xml:space="preserve"> </w:t>
            </w:r>
            <w:r>
              <w:rPr>
                <w:rFonts w:hint="eastAsia" w:ascii="宋体" w:hAnsi="宋体" w:eastAsia="宋体" w:cs="宋体"/>
                <w:color w:val="auto"/>
                <w:highlight w:val="none"/>
              </w:rPr>
              <w:t>分</w:t>
            </w:r>
          </w:p>
        </w:tc>
        <w:tc>
          <w:tcPr>
            <w:tcW w:w="1981" w:type="dxa"/>
            <w:gridSpan w:val="2"/>
            <w:vAlign w:val="center"/>
          </w:tcPr>
          <w:p>
            <w:pPr>
              <w:spacing w:before="75" w:line="267" w:lineRule="auto"/>
              <w:ind w:left="78" w:right="73" w:firstLine="4"/>
              <w:jc w:val="center"/>
              <w:rPr>
                <w:rFonts w:ascii="宋体" w:hAnsi="宋体" w:eastAsia="宋体" w:cs="宋体"/>
                <w:color w:val="auto"/>
                <w:highlight w:val="none"/>
              </w:rPr>
            </w:pPr>
            <w:r>
              <w:rPr>
                <w:rFonts w:hint="eastAsia" w:ascii="宋体" w:hAnsi="宋体" w:eastAsia="宋体" w:cs="宋体"/>
                <w:color w:val="auto"/>
                <w:highlight w:val="none"/>
              </w:rPr>
              <w:t>项目负责人任职资格与业绩</w:t>
            </w:r>
          </w:p>
        </w:tc>
        <w:tc>
          <w:tcPr>
            <w:tcW w:w="850" w:type="dxa"/>
          </w:tcPr>
          <w:p>
            <w:pPr>
              <w:spacing w:line="273" w:lineRule="auto"/>
              <w:rPr>
                <w:rFonts w:ascii="宋体" w:hAnsi="宋体" w:eastAsia="宋体" w:cs="宋体"/>
                <w:color w:val="auto"/>
                <w:highlight w:val="none"/>
              </w:rPr>
            </w:pPr>
          </w:p>
          <w:p>
            <w:pPr>
              <w:spacing w:line="273"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 xml:space="preserve">  </w:t>
            </w:r>
          </w:p>
          <w:p>
            <w:pPr>
              <w:spacing w:line="273" w:lineRule="auto"/>
              <w:jc w:val="center"/>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35</w:t>
            </w:r>
          </w:p>
          <w:p>
            <w:pPr>
              <w:tabs>
                <w:tab w:val="left" w:pos="765"/>
              </w:tabs>
              <w:spacing w:before="61" w:line="1" w:lineRule="exact"/>
              <w:ind w:firstLine="763"/>
              <w:rPr>
                <w:rFonts w:ascii="宋体" w:hAnsi="宋体" w:eastAsia="宋体" w:cs="宋体"/>
                <w:color w:val="auto"/>
                <w:highlight w:val="none"/>
              </w:rPr>
            </w:pPr>
            <w:r>
              <w:rPr>
                <w:rFonts w:hint="eastAsia" w:ascii="宋体" w:hAnsi="宋体" w:eastAsia="宋体" w:cs="宋体"/>
                <w:color w:val="auto"/>
                <w:spacing w:val="-2"/>
                <w:highlight w:val="none"/>
                <w:lang w:val="en-US" w:eastAsia="zh-CN"/>
              </w:rPr>
              <w:t>35</w:t>
            </w:r>
            <w:r>
              <w:rPr>
                <w:rFonts w:hint="eastAsia" w:ascii="宋体" w:hAnsi="宋体" w:eastAsia="宋体" w:cs="宋体"/>
                <w:color w:val="auto"/>
                <w:position w:val="-8"/>
                <w:highlight w:val="none"/>
                <w:shd w:val="clear" w:color="auto" w:fill="000000"/>
              </w:rPr>
              <w:tab/>
            </w:r>
          </w:p>
        </w:tc>
        <w:tc>
          <w:tcPr>
            <w:tcW w:w="3288" w:type="dxa"/>
          </w:tcPr>
          <w:p>
            <w:pPr>
              <w:spacing w:before="173" w:line="239" w:lineRule="auto"/>
              <w:ind w:left="80" w:right="71" w:hanging="2"/>
              <w:rPr>
                <w:rFonts w:ascii="宋体" w:hAnsi="宋体" w:eastAsia="宋体" w:cs="宋体"/>
                <w:color w:val="auto"/>
                <w:highlight w:val="none"/>
              </w:rPr>
            </w:pPr>
            <w:r>
              <w:rPr>
                <w:rFonts w:hint="eastAsia" w:ascii="宋体" w:hAnsi="宋体" w:eastAsia="宋体" w:cs="宋体"/>
                <w:color w:val="auto"/>
                <w:spacing w:val="-2"/>
                <w:highlight w:val="none"/>
              </w:rPr>
              <w:t>满足资格审查条件</w:t>
            </w:r>
            <w:r>
              <w:rPr>
                <w:rFonts w:hint="eastAsia" w:ascii="宋体" w:hAnsi="宋体" w:eastAsia="宋体" w:cs="宋体"/>
                <w:color w:val="auto"/>
                <w:spacing w:val="-1"/>
                <w:highlight w:val="none"/>
              </w:rPr>
              <w:t>（项目负责人</w:t>
            </w:r>
            <w:r>
              <w:rPr>
                <w:rFonts w:hint="eastAsia" w:ascii="宋体" w:hAnsi="宋体" w:eastAsia="宋体" w:cs="宋体"/>
                <w:color w:val="auto"/>
                <w:highlight w:val="none"/>
              </w:rPr>
              <w:t xml:space="preserve"> 最低要求</w:t>
            </w:r>
            <w:r>
              <w:rPr>
                <w:rFonts w:hint="eastAsia" w:ascii="宋体" w:hAnsi="宋体" w:eastAsia="宋体" w:cs="宋体"/>
                <w:color w:val="auto"/>
                <w:spacing w:val="-39"/>
                <w:highlight w:val="none"/>
              </w:rPr>
              <w:t>）</w:t>
            </w:r>
            <w:r>
              <w:rPr>
                <w:rFonts w:hint="eastAsia" w:ascii="宋体" w:hAnsi="宋体" w:eastAsia="宋体" w:cs="宋体"/>
                <w:color w:val="auto"/>
                <w:spacing w:val="-105"/>
                <w:highlight w:val="none"/>
              </w:rPr>
              <w:t xml:space="preserve"> </w:t>
            </w:r>
            <w:r>
              <w:rPr>
                <w:rFonts w:hint="eastAsia" w:ascii="宋体" w:hAnsi="宋体" w:eastAsia="宋体" w:cs="宋体"/>
                <w:color w:val="auto"/>
                <w:highlight w:val="none"/>
              </w:rPr>
              <w:t>得</w:t>
            </w:r>
            <w:r>
              <w:rPr>
                <w:rFonts w:hint="eastAsia" w:ascii="宋体" w:hAnsi="宋体" w:eastAsia="宋体" w:cs="宋体"/>
                <w:color w:val="auto"/>
                <w:highlight w:val="none"/>
                <w:lang w:val="en-US" w:eastAsia="zh-CN"/>
              </w:rPr>
              <w:t>21</w:t>
            </w:r>
            <w:r>
              <w:rPr>
                <w:rFonts w:hint="eastAsia" w:ascii="宋体" w:hAnsi="宋体" w:eastAsia="宋体" w:cs="宋体"/>
                <w:color w:val="auto"/>
                <w:highlight w:val="none"/>
              </w:rPr>
              <w:t>分</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在满足资格条件基础上</w:t>
            </w:r>
            <w:r>
              <w:rPr>
                <w:rFonts w:hint="eastAsia" w:ascii="宋体" w:hAnsi="宋体" w:eastAsia="宋体" w:cs="宋体"/>
                <w:color w:val="auto"/>
                <w:spacing w:val="-22"/>
                <w:highlight w:val="none"/>
              </w:rPr>
              <w:t>，</w:t>
            </w:r>
            <w:r>
              <w:rPr>
                <w:rFonts w:hint="eastAsia" w:ascii="宋体" w:hAnsi="宋体" w:eastAsia="宋体" w:cs="宋体"/>
                <w:color w:val="auto"/>
                <w:highlight w:val="none"/>
              </w:rPr>
              <w:t xml:space="preserve">每增加 </w:t>
            </w:r>
            <w:r>
              <w:rPr>
                <w:rFonts w:hint="eastAsia" w:ascii="宋体" w:hAnsi="宋体" w:eastAsia="宋体" w:cs="宋体"/>
                <w:color w:val="auto"/>
                <w:spacing w:val="1"/>
                <w:highlight w:val="none"/>
              </w:rPr>
              <w:t>1</w:t>
            </w:r>
            <w:r>
              <w:rPr>
                <w:rFonts w:hint="eastAsia" w:ascii="宋体" w:hAnsi="宋体" w:eastAsia="宋体" w:cs="宋体"/>
                <w:color w:val="auto"/>
                <w:spacing w:val="2"/>
                <w:highlight w:val="none"/>
              </w:rPr>
              <w:t>个满足资格审查条件最低要</w:t>
            </w:r>
            <w:r>
              <w:rPr>
                <w:rFonts w:hint="eastAsia" w:ascii="宋体" w:hAnsi="宋体" w:eastAsia="宋体" w:cs="宋体"/>
                <w:color w:val="auto"/>
                <w:spacing w:val="1"/>
                <w:highlight w:val="none"/>
              </w:rPr>
              <w:t>求</w:t>
            </w:r>
            <w:r>
              <w:rPr>
                <w:rFonts w:hint="eastAsia" w:ascii="宋体" w:hAnsi="宋体" w:eastAsia="宋体" w:cs="宋体"/>
                <w:color w:val="auto"/>
                <w:highlight w:val="none"/>
              </w:rPr>
              <w:t>的个人业绩加2分</w:t>
            </w:r>
            <w:r>
              <w:rPr>
                <w:rFonts w:hint="eastAsia" w:ascii="宋体" w:hAnsi="宋体" w:eastAsia="宋体" w:cs="宋体"/>
                <w:color w:val="auto"/>
                <w:spacing w:val="-27"/>
                <w:highlight w:val="none"/>
              </w:rPr>
              <w:t>，</w:t>
            </w:r>
            <w:r>
              <w:rPr>
                <w:rFonts w:hint="eastAsia" w:ascii="宋体" w:hAnsi="宋体" w:eastAsia="宋体" w:cs="宋体"/>
                <w:color w:val="auto"/>
                <w:highlight w:val="none"/>
              </w:rPr>
              <w:t>最多加</w:t>
            </w:r>
            <w:r>
              <w:rPr>
                <w:rFonts w:hint="eastAsia" w:ascii="宋体" w:hAnsi="宋体" w:eastAsia="宋体" w:cs="宋体"/>
                <w:color w:val="auto"/>
                <w:highlight w:val="none"/>
                <w:lang w:val="en-US" w:eastAsia="zh-CN"/>
              </w:rPr>
              <w:t>14</w:t>
            </w:r>
            <w:r>
              <w:rPr>
                <w:rFonts w:hint="eastAsia" w:ascii="宋体" w:hAnsi="宋体" w:eastAsia="宋体" w:cs="宋体"/>
                <w:color w:val="auto"/>
                <w:highlight w:val="none"/>
              </w:rPr>
              <w:t>分</w:t>
            </w:r>
            <w:r>
              <w:rPr>
                <w:rFonts w:hint="eastAsia" w:ascii="宋体" w:hAnsi="宋体" w:eastAsia="宋体" w:cs="宋体"/>
                <w:color w:val="auto"/>
                <w:spacing w:val="-20"/>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0" w:type="dxa"/>
          <w:trHeight w:val="2555" w:hRule="atLeast"/>
          <w:jc w:val="center"/>
        </w:trPr>
        <w:tc>
          <w:tcPr>
            <w:tcW w:w="840" w:type="dxa"/>
          </w:tcPr>
          <w:p>
            <w:pPr>
              <w:spacing w:line="264" w:lineRule="auto"/>
              <w:rPr>
                <w:rFonts w:ascii="宋体" w:hAnsi="宋体" w:eastAsia="宋体" w:cs="宋体"/>
                <w:color w:val="auto"/>
                <w:highlight w:val="none"/>
              </w:rPr>
            </w:pPr>
          </w:p>
          <w:p>
            <w:pPr>
              <w:spacing w:line="264" w:lineRule="auto"/>
              <w:rPr>
                <w:rFonts w:ascii="宋体" w:hAnsi="宋体" w:eastAsia="宋体" w:cs="宋体"/>
                <w:color w:val="auto"/>
                <w:highlight w:val="none"/>
              </w:rPr>
            </w:pPr>
          </w:p>
          <w:p>
            <w:pPr>
              <w:spacing w:line="264" w:lineRule="auto"/>
              <w:rPr>
                <w:rFonts w:ascii="宋体" w:hAnsi="宋体" w:eastAsia="宋体" w:cs="宋体"/>
                <w:color w:val="auto"/>
                <w:highlight w:val="none"/>
              </w:rPr>
            </w:pPr>
          </w:p>
          <w:p>
            <w:pPr>
              <w:spacing w:line="264" w:lineRule="auto"/>
              <w:rPr>
                <w:rFonts w:ascii="宋体" w:hAnsi="宋体" w:eastAsia="宋体" w:cs="宋体"/>
                <w:color w:val="auto"/>
                <w:highlight w:val="none"/>
              </w:rPr>
            </w:pPr>
          </w:p>
          <w:p>
            <w:pPr>
              <w:spacing w:before="60" w:line="224" w:lineRule="auto"/>
              <w:ind w:firstLine="210"/>
              <w:rPr>
                <w:rFonts w:ascii="宋体" w:hAnsi="宋体" w:eastAsia="宋体" w:cs="宋体"/>
                <w:color w:val="auto"/>
                <w:highlight w:val="none"/>
              </w:rPr>
            </w:pPr>
            <w:r>
              <w:rPr>
                <w:rFonts w:hint="eastAsia" w:ascii="宋体" w:hAnsi="宋体" w:eastAsia="宋体" w:cs="宋体"/>
                <w:color w:val="auto"/>
                <w:spacing w:val="-1"/>
                <w:highlight w:val="none"/>
              </w:rPr>
              <w:t>2.</w:t>
            </w:r>
            <w:r>
              <w:rPr>
                <w:rFonts w:hint="eastAsia" w:ascii="宋体" w:hAnsi="宋体" w:eastAsia="宋体" w:cs="宋体"/>
                <w:color w:val="auto"/>
                <w:highlight w:val="none"/>
              </w:rPr>
              <w:t>2.4</w:t>
            </w:r>
          </w:p>
          <w:p>
            <w:pPr>
              <w:spacing w:line="232" w:lineRule="auto"/>
              <w:ind w:firstLine="167"/>
              <w:rPr>
                <w:rFonts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spacing w:val="-13"/>
                <w:highlight w:val="none"/>
              </w:rPr>
              <w:t>）</w:t>
            </w:r>
          </w:p>
        </w:tc>
        <w:tc>
          <w:tcPr>
            <w:tcW w:w="1231" w:type="dxa"/>
            <w:gridSpan w:val="3"/>
          </w:tcPr>
          <w:p>
            <w:pPr>
              <w:spacing w:line="288" w:lineRule="auto"/>
              <w:rPr>
                <w:rFonts w:ascii="宋体" w:hAnsi="宋体" w:eastAsia="宋体" w:cs="宋体"/>
                <w:color w:val="auto"/>
                <w:highlight w:val="none"/>
              </w:rPr>
            </w:pPr>
          </w:p>
          <w:p>
            <w:pPr>
              <w:spacing w:line="288" w:lineRule="auto"/>
              <w:rPr>
                <w:rFonts w:ascii="宋体" w:hAnsi="宋体" w:eastAsia="宋体" w:cs="宋体"/>
                <w:color w:val="auto"/>
                <w:highlight w:val="none"/>
              </w:rPr>
            </w:pPr>
          </w:p>
          <w:p>
            <w:pPr>
              <w:spacing w:line="288" w:lineRule="auto"/>
              <w:rPr>
                <w:rFonts w:ascii="宋体" w:hAnsi="宋体" w:eastAsia="宋体" w:cs="宋体"/>
                <w:color w:val="auto"/>
                <w:highlight w:val="none"/>
              </w:rPr>
            </w:pPr>
          </w:p>
          <w:p>
            <w:pPr>
              <w:spacing w:line="289" w:lineRule="auto"/>
              <w:rPr>
                <w:rFonts w:ascii="宋体" w:hAnsi="宋体" w:eastAsia="宋体" w:cs="宋体"/>
                <w:color w:val="auto"/>
                <w:highlight w:val="none"/>
              </w:rPr>
            </w:pPr>
          </w:p>
          <w:p>
            <w:pPr>
              <w:spacing w:before="68" w:line="219" w:lineRule="auto"/>
              <w:ind w:firstLine="302"/>
              <w:rPr>
                <w:rFonts w:ascii="宋体" w:hAnsi="宋体" w:eastAsia="宋体" w:cs="宋体"/>
                <w:color w:val="auto"/>
                <w:highlight w:val="none"/>
              </w:rPr>
            </w:pPr>
            <w:r>
              <w:rPr>
                <w:rFonts w:hint="eastAsia" w:ascii="宋体" w:hAnsi="宋体" w:eastAsia="宋体" w:cs="宋体"/>
                <w:color w:val="auto"/>
                <w:spacing w:val="-1"/>
                <w:highlight w:val="none"/>
              </w:rPr>
              <w:t>评标价</w:t>
            </w:r>
          </w:p>
        </w:tc>
        <w:tc>
          <w:tcPr>
            <w:tcW w:w="1091" w:type="dxa"/>
            <w:gridSpan w:val="3"/>
          </w:tcPr>
          <w:p>
            <w:pPr>
              <w:spacing w:line="288" w:lineRule="auto"/>
              <w:rPr>
                <w:rFonts w:ascii="宋体" w:hAnsi="宋体" w:eastAsia="宋体" w:cs="宋体"/>
                <w:color w:val="auto"/>
                <w:highlight w:val="none"/>
              </w:rPr>
            </w:pPr>
          </w:p>
          <w:p>
            <w:pPr>
              <w:spacing w:line="288" w:lineRule="auto"/>
              <w:rPr>
                <w:rFonts w:ascii="宋体" w:hAnsi="宋体" w:eastAsia="宋体" w:cs="宋体"/>
                <w:color w:val="auto"/>
                <w:highlight w:val="none"/>
              </w:rPr>
            </w:pPr>
          </w:p>
          <w:p>
            <w:pPr>
              <w:spacing w:line="288" w:lineRule="auto"/>
              <w:rPr>
                <w:rFonts w:ascii="宋体" w:hAnsi="宋体" w:eastAsia="宋体" w:cs="宋体"/>
                <w:color w:val="auto"/>
                <w:highlight w:val="none"/>
              </w:rPr>
            </w:pPr>
          </w:p>
          <w:p>
            <w:pPr>
              <w:spacing w:line="289" w:lineRule="auto"/>
              <w:rPr>
                <w:rFonts w:ascii="宋体" w:hAnsi="宋体" w:eastAsia="宋体" w:cs="宋体"/>
                <w:color w:val="auto"/>
                <w:highlight w:val="none"/>
              </w:rPr>
            </w:pPr>
          </w:p>
          <w:p>
            <w:pPr>
              <w:spacing w:before="68" w:line="221" w:lineRule="auto"/>
              <w:ind w:firstLine="318"/>
              <w:rPr>
                <w:rFonts w:ascii="宋体" w:hAnsi="宋体" w:eastAsia="宋体" w:cs="宋体"/>
                <w:color w:val="auto"/>
                <w:highlight w:val="none"/>
              </w:rPr>
            </w:pPr>
            <w:r>
              <w:rPr>
                <w:rFonts w:hint="eastAsia" w:ascii="宋体" w:hAnsi="宋体" w:eastAsia="宋体" w:cs="宋体"/>
                <w:color w:val="auto"/>
                <w:spacing w:val="-1"/>
                <w:highlight w:val="none"/>
              </w:rPr>
              <w:t>10</w:t>
            </w:r>
            <w:r>
              <w:rPr>
                <w:rFonts w:hint="eastAsia" w:ascii="宋体" w:hAnsi="宋体" w:eastAsia="宋体" w:cs="宋体"/>
                <w:color w:val="auto"/>
                <w:spacing w:val="-10"/>
                <w:highlight w:val="none"/>
              </w:rPr>
              <w:t xml:space="preserve"> </w:t>
            </w:r>
            <w:r>
              <w:rPr>
                <w:rFonts w:hint="eastAsia" w:ascii="宋体" w:hAnsi="宋体" w:eastAsia="宋体" w:cs="宋体"/>
                <w:color w:val="auto"/>
                <w:spacing w:val="-1"/>
                <w:highlight w:val="none"/>
              </w:rPr>
              <w:t>分</w:t>
            </w:r>
          </w:p>
        </w:tc>
        <w:tc>
          <w:tcPr>
            <w:tcW w:w="6119" w:type="dxa"/>
            <w:gridSpan w:val="4"/>
          </w:tcPr>
          <w:p>
            <w:pPr>
              <w:spacing w:before="174" w:line="233" w:lineRule="auto"/>
              <w:ind w:firstLine="78"/>
              <w:rPr>
                <w:rFonts w:ascii="宋体" w:hAnsi="宋体" w:eastAsia="宋体" w:cs="宋体"/>
                <w:color w:val="auto"/>
                <w:highlight w:val="none"/>
              </w:rPr>
            </w:pPr>
            <w:r>
              <w:rPr>
                <w:rFonts w:hint="eastAsia" w:ascii="宋体" w:hAnsi="宋体" w:eastAsia="宋体" w:cs="宋体"/>
                <w:color w:val="auto"/>
                <w:spacing w:val="-1"/>
                <w:highlight w:val="none"/>
              </w:rPr>
              <w:t>投标价得分计算</w:t>
            </w:r>
            <w:r>
              <w:rPr>
                <w:rFonts w:hint="eastAsia" w:ascii="宋体" w:hAnsi="宋体" w:eastAsia="宋体" w:cs="宋体"/>
                <w:color w:val="auto"/>
                <w:highlight w:val="none"/>
              </w:rPr>
              <w:t>公式:</w:t>
            </w:r>
          </w:p>
          <w:p>
            <w:pPr>
              <w:spacing w:before="75" w:line="267" w:lineRule="auto"/>
              <w:ind w:left="78" w:right="73" w:firstLine="4"/>
              <w:rPr>
                <w:rFonts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spacing w:val="-21"/>
                <w:highlight w:val="none"/>
              </w:rPr>
              <w:t>）</w:t>
            </w:r>
            <w:r>
              <w:rPr>
                <w:rFonts w:hint="eastAsia" w:ascii="宋体" w:hAnsi="宋体" w:eastAsia="宋体" w:cs="宋体"/>
                <w:color w:val="auto"/>
                <w:highlight w:val="none"/>
              </w:rPr>
              <w:t>如果投标人的评标价＞评标基准价</w:t>
            </w:r>
            <w:r>
              <w:rPr>
                <w:rFonts w:hint="eastAsia" w:ascii="宋体" w:hAnsi="宋体" w:eastAsia="宋体" w:cs="宋体"/>
                <w:color w:val="auto"/>
                <w:spacing w:val="-21"/>
                <w:highlight w:val="none"/>
              </w:rPr>
              <w:t>，</w:t>
            </w:r>
            <w:r>
              <w:rPr>
                <w:rFonts w:hint="eastAsia" w:ascii="宋体" w:hAnsi="宋体" w:eastAsia="宋体" w:cs="宋体"/>
                <w:color w:val="auto"/>
                <w:highlight w:val="none"/>
              </w:rPr>
              <w:t>则投标价得分=10-偏差 率×100×E1</w:t>
            </w:r>
            <w:r>
              <w:rPr>
                <w:rFonts w:hint="eastAsia" w:ascii="宋体" w:hAnsi="宋体" w:eastAsia="宋体" w:cs="宋体"/>
                <w:color w:val="auto"/>
                <w:spacing w:val="-8"/>
                <w:highlight w:val="none"/>
              </w:rPr>
              <w:t>；</w:t>
            </w:r>
          </w:p>
          <w:p>
            <w:pPr>
              <w:spacing w:before="75" w:line="267" w:lineRule="auto"/>
              <w:ind w:left="78" w:right="73" w:firstLine="4"/>
              <w:rPr>
                <w:rFonts w:ascii="宋体" w:hAnsi="宋体" w:eastAsia="宋体" w:cs="宋体"/>
                <w:color w:val="auto"/>
                <w:highlight w:val="none"/>
              </w:rPr>
            </w:pPr>
            <w:r>
              <w:rPr>
                <w:rFonts w:hint="eastAsia" w:ascii="宋体" w:hAnsi="宋体" w:eastAsia="宋体" w:cs="宋体"/>
                <w:color w:val="auto"/>
                <w:highlight w:val="none"/>
              </w:rPr>
              <w:t>（2）如果投标人的评标价≤评标基准价，则投标价得分=10+偏差率×100×E2。</w:t>
            </w:r>
          </w:p>
          <w:p>
            <w:pPr>
              <w:spacing w:line="221" w:lineRule="auto"/>
              <w:ind w:firstLine="77"/>
              <w:rPr>
                <w:rFonts w:ascii="宋体" w:hAnsi="宋体" w:eastAsia="宋体" w:cs="宋体"/>
                <w:color w:val="auto"/>
                <w:highlight w:val="none"/>
              </w:rPr>
            </w:pPr>
            <w:r>
              <w:rPr>
                <w:rFonts w:hint="eastAsia" w:ascii="宋体" w:hAnsi="宋体" w:eastAsia="宋体" w:cs="宋体"/>
                <w:color w:val="auto"/>
                <w:highlight w:val="none"/>
              </w:rPr>
              <w:t>其中</w:t>
            </w:r>
            <w:r>
              <w:rPr>
                <w:rFonts w:hint="eastAsia" w:ascii="宋体" w:hAnsi="宋体" w:eastAsia="宋体" w:cs="宋体"/>
                <w:color w:val="auto"/>
                <w:spacing w:val="-1"/>
                <w:highlight w:val="none"/>
              </w:rPr>
              <w:t>：</w:t>
            </w:r>
            <w:r>
              <w:rPr>
                <w:rFonts w:hint="eastAsia" w:ascii="宋体" w:hAnsi="宋体" w:eastAsia="宋体" w:cs="宋体"/>
                <w:color w:val="auto"/>
                <w:spacing w:val="-82"/>
                <w:highlight w:val="none"/>
              </w:rPr>
              <w:t xml:space="preserve">  </w:t>
            </w:r>
            <w:r>
              <w:rPr>
                <w:rFonts w:hint="eastAsia" w:ascii="宋体" w:hAnsi="宋体" w:eastAsia="宋体" w:cs="宋体"/>
                <w:color w:val="auto"/>
                <w:highlight w:val="none"/>
              </w:rPr>
              <w:t>E1=1</w:t>
            </w:r>
            <w:r>
              <w:rPr>
                <w:rFonts w:hint="eastAsia" w:ascii="宋体" w:hAnsi="宋体" w:eastAsia="宋体" w:cs="宋体"/>
                <w:color w:val="auto"/>
                <w:spacing w:val="-1"/>
                <w:highlight w:val="none"/>
              </w:rPr>
              <w:t>，</w:t>
            </w:r>
            <w:r>
              <w:rPr>
                <w:rFonts w:hint="eastAsia" w:ascii="宋体" w:hAnsi="宋体" w:eastAsia="宋体" w:cs="宋体"/>
                <w:color w:val="auto"/>
                <w:highlight w:val="none"/>
              </w:rPr>
              <w:t>E2=0.5 。</w:t>
            </w:r>
          </w:p>
          <w:p>
            <w:pPr>
              <w:spacing w:before="89" w:line="219" w:lineRule="auto"/>
              <w:ind w:firstLine="75"/>
              <w:rPr>
                <w:rFonts w:ascii="宋体" w:hAnsi="宋体" w:eastAsia="宋体" w:cs="宋体"/>
                <w:color w:val="auto"/>
                <w:highlight w:val="none"/>
              </w:rPr>
            </w:pPr>
            <w:r>
              <w:rPr>
                <w:rFonts w:hint="eastAsia" w:ascii="宋体" w:hAnsi="宋体" w:eastAsia="宋体" w:cs="宋体"/>
                <w:color w:val="auto"/>
                <w:highlight w:val="none"/>
              </w:rPr>
              <w:t>评标价最高得分为10分</w:t>
            </w:r>
            <w:r>
              <w:rPr>
                <w:rFonts w:hint="eastAsia" w:ascii="宋体" w:hAnsi="宋体" w:eastAsia="宋体" w:cs="宋体"/>
                <w:color w:val="auto"/>
                <w:spacing w:val="-7"/>
                <w:highlight w:val="none"/>
              </w:rPr>
              <w:t>，</w:t>
            </w:r>
            <w:r>
              <w:rPr>
                <w:rFonts w:hint="eastAsia" w:ascii="宋体" w:hAnsi="宋体" w:eastAsia="宋体" w:cs="宋体"/>
                <w:color w:val="auto"/>
                <w:highlight w:val="none"/>
              </w:rPr>
              <w:t>最低得分为0分</w:t>
            </w:r>
            <w:r>
              <w:rPr>
                <w:rFonts w:hint="eastAsia" w:ascii="宋体" w:hAnsi="宋体" w:eastAsia="宋体" w:cs="宋体"/>
                <w:color w:val="auto"/>
                <w:spacing w:val="-7"/>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0" w:type="dxa"/>
          <w:trHeight w:val="1536" w:hRule="atLeast"/>
          <w:jc w:val="center"/>
        </w:trPr>
        <w:tc>
          <w:tcPr>
            <w:tcW w:w="840" w:type="dxa"/>
            <w:vMerge w:val="restart"/>
          </w:tcPr>
          <w:p>
            <w:pPr>
              <w:spacing w:line="246" w:lineRule="auto"/>
              <w:rPr>
                <w:rFonts w:ascii="宋体" w:hAnsi="宋体" w:eastAsia="宋体" w:cs="宋体"/>
                <w:color w:val="auto"/>
                <w:highlight w:val="none"/>
              </w:rPr>
            </w:pPr>
          </w:p>
          <w:p>
            <w:pPr>
              <w:spacing w:line="247" w:lineRule="auto"/>
              <w:rPr>
                <w:rFonts w:ascii="宋体" w:hAnsi="宋体" w:eastAsia="宋体" w:cs="宋体"/>
                <w:color w:val="auto"/>
                <w:highlight w:val="none"/>
              </w:rPr>
            </w:pPr>
          </w:p>
          <w:p>
            <w:pPr>
              <w:spacing w:before="60" w:line="224" w:lineRule="auto"/>
              <w:ind w:firstLine="210"/>
              <w:rPr>
                <w:rFonts w:ascii="宋体" w:hAnsi="宋体" w:eastAsia="宋体" w:cs="宋体"/>
                <w:color w:val="auto"/>
                <w:highlight w:val="none"/>
              </w:rPr>
            </w:pPr>
            <w:r>
              <w:rPr>
                <w:rFonts w:hint="eastAsia" w:ascii="宋体" w:hAnsi="宋体" w:eastAsia="宋体" w:cs="宋体"/>
                <w:color w:val="auto"/>
                <w:spacing w:val="-1"/>
                <w:highlight w:val="none"/>
              </w:rPr>
              <w:t>2.</w:t>
            </w:r>
            <w:r>
              <w:rPr>
                <w:rFonts w:hint="eastAsia" w:ascii="宋体" w:hAnsi="宋体" w:eastAsia="宋体" w:cs="宋体"/>
                <w:color w:val="auto"/>
                <w:highlight w:val="none"/>
              </w:rPr>
              <w:t>2.4</w:t>
            </w:r>
          </w:p>
          <w:p>
            <w:pPr>
              <w:spacing w:line="232" w:lineRule="auto"/>
              <w:ind w:firstLine="167"/>
              <w:rPr>
                <w:rFonts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spacing w:val="-13"/>
                <w:highlight w:val="none"/>
              </w:rPr>
              <w:t>）</w:t>
            </w:r>
          </w:p>
        </w:tc>
        <w:tc>
          <w:tcPr>
            <w:tcW w:w="758" w:type="dxa"/>
            <w:gridSpan w:val="2"/>
            <w:vMerge w:val="restart"/>
          </w:tcPr>
          <w:p>
            <w:pPr>
              <w:spacing w:line="241" w:lineRule="auto"/>
              <w:rPr>
                <w:rFonts w:ascii="宋体" w:hAnsi="宋体" w:eastAsia="宋体" w:cs="宋体"/>
                <w:color w:val="auto"/>
                <w:highlight w:val="none"/>
              </w:rPr>
            </w:pPr>
          </w:p>
          <w:p>
            <w:pPr>
              <w:spacing w:line="241" w:lineRule="auto"/>
              <w:rPr>
                <w:rFonts w:ascii="宋体" w:hAnsi="宋体" w:eastAsia="宋体" w:cs="宋体"/>
                <w:color w:val="auto"/>
                <w:highlight w:val="none"/>
              </w:rPr>
            </w:pPr>
          </w:p>
          <w:p>
            <w:pPr>
              <w:spacing w:before="68" w:line="238" w:lineRule="auto"/>
              <w:ind w:firstLine="172"/>
              <w:rPr>
                <w:rFonts w:ascii="宋体" w:hAnsi="宋体" w:eastAsia="宋体" w:cs="宋体"/>
                <w:color w:val="auto"/>
                <w:highlight w:val="none"/>
              </w:rPr>
            </w:pPr>
            <w:r>
              <w:rPr>
                <w:rFonts w:hint="eastAsia" w:ascii="宋体" w:hAnsi="宋体" w:eastAsia="宋体" w:cs="宋体"/>
                <w:color w:val="auto"/>
                <w:spacing w:val="-2"/>
                <w:highlight w:val="none"/>
              </w:rPr>
              <w:t>其他</w:t>
            </w:r>
          </w:p>
          <w:p>
            <w:pPr>
              <w:spacing w:line="220" w:lineRule="auto"/>
              <w:ind w:firstLine="187"/>
              <w:rPr>
                <w:rFonts w:ascii="宋体" w:hAnsi="宋体" w:eastAsia="宋体" w:cs="宋体"/>
                <w:color w:val="auto"/>
                <w:highlight w:val="none"/>
              </w:rPr>
            </w:pPr>
            <w:r>
              <w:rPr>
                <w:rFonts w:hint="eastAsia" w:ascii="宋体" w:hAnsi="宋体" w:eastAsia="宋体" w:cs="宋体"/>
                <w:color w:val="auto"/>
                <w:spacing w:val="-6"/>
                <w:highlight w:val="none"/>
              </w:rPr>
              <w:t>因素</w:t>
            </w:r>
          </w:p>
        </w:tc>
        <w:tc>
          <w:tcPr>
            <w:tcW w:w="473" w:type="dxa"/>
            <w:textDirection w:val="tbRlV"/>
          </w:tcPr>
          <w:p>
            <w:pPr>
              <w:spacing w:before="128" w:line="210" w:lineRule="auto"/>
              <w:ind w:firstLine="584"/>
              <w:rPr>
                <w:rFonts w:ascii="宋体" w:hAnsi="宋体" w:eastAsia="宋体" w:cs="宋体"/>
                <w:color w:val="auto"/>
                <w:highlight w:val="none"/>
              </w:rPr>
            </w:pPr>
            <w:r>
              <w:rPr>
                <w:rFonts w:hint="eastAsia" w:ascii="宋体" w:hAnsi="宋体" w:eastAsia="宋体" w:cs="宋体"/>
                <w:color w:val="auto"/>
                <w:spacing w:val="-5"/>
                <w:highlight w:val="none"/>
              </w:rPr>
              <w:t>业</w:t>
            </w:r>
            <w:r>
              <w:rPr>
                <w:rFonts w:hint="eastAsia" w:ascii="宋体" w:hAnsi="宋体" w:eastAsia="宋体" w:cs="宋体"/>
                <w:color w:val="auto"/>
                <w:spacing w:val="-33"/>
                <w:highlight w:val="none"/>
              </w:rPr>
              <w:t xml:space="preserve"> </w:t>
            </w:r>
            <w:r>
              <w:rPr>
                <w:rFonts w:hint="eastAsia" w:ascii="宋体" w:hAnsi="宋体" w:eastAsia="宋体" w:cs="宋体"/>
                <w:color w:val="auto"/>
                <w:spacing w:val="-5"/>
                <w:highlight w:val="none"/>
              </w:rPr>
              <w:t>绩</w:t>
            </w:r>
          </w:p>
        </w:tc>
        <w:tc>
          <w:tcPr>
            <w:tcW w:w="1091" w:type="dxa"/>
            <w:gridSpan w:val="3"/>
          </w:tcPr>
          <w:p>
            <w:pPr>
              <w:spacing w:line="323" w:lineRule="auto"/>
              <w:rPr>
                <w:rFonts w:ascii="宋体" w:hAnsi="宋体" w:eastAsia="宋体" w:cs="宋体"/>
                <w:color w:val="auto"/>
                <w:highlight w:val="none"/>
              </w:rPr>
            </w:pPr>
          </w:p>
          <w:p>
            <w:pPr>
              <w:spacing w:line="323" w:lineRule="auto"/>
              <w:rPr>
                <w:rFonts w:ascii="宋体" w:hAnsi="宋体" w:eastAsia="宋体" w:cs="宋体"/>
                <w:color w:val="auto"/>
                <w:highlight w:val="none"/>
              </w:rPr>
            </w:pPr>
          </w:p>
          <w:p>
            <w:pPr>
              <w:spacing w:before="68" w:line="221" w:lineRule="auto"/>
              <w:ind w:firstLine="301"/>
              <w:rPr>
                <w:rFonts w:ascii="宋体" w:hAnsi="宋体" w:eastAsia="宋体" w:cs="宋体"/>
                <w:color w:val="auto"/>
                <w:highlight w:val="none"/>
              </w:rPr>
            </w:pPr>
            <w:r>
              <w:rPr>
                <w:rFonts w:hint="eastAsia" w:ascii="宋体" w:hAnsi="宋体" w:eastAsia="宋体" w:cs="宋体"/>
                <w:color w:val="auto"/>
                <w:spacing w:val="1"/>
                <w:highlight w:val="none"/>
                <w:lang w:val="en-US" w:eastAsia="zh-CN"/>
              </w:rPr>
              <w:t>35</w:t>
            </w:r>
            <w:r>
              <w:rPr>
                <w:rFonts w:hint="eastAsia" w:ascii="宋体" w:hAnsi="宋体" w:eastAsia="宋体" w:cs="宋体"/>
                <w:color w:val="auto"/>
                <w:spacing w:val="1"/>
                <w:highlight w:val="none"/>
              </w:rPr>
              <w:t xml:space="preserve"> </w:t>
            </w:r>
            <w:r>
              <w:rPr>
                <w:rFonts w:hint="eastAsia" w:ascii="宋体" w:hAnsi="宋体" w:eastAsia="宋体" w:cs="宋体"/>
                <w:color w:val="auto"/>
                <w:highlight w:val="none"/>
              </w:rPr>
              <w:t>分</w:t>
            </w:r>
          </w:p>
        </w:tc>
        <w:tc>
          <w:tcPr>
            <w:tcW w:w="6119" w:type="dxa"/>
            <w:gridSpan w:val="4"/>
          </w:tcPr>
          <w:p>
            <w:pPr>
              <w:spacing w:before="175" w:line="221" w:lineRule="auto"/>
              <w:ind w:firstLine="92"/>
              <w:rPr>
                <w:rFonts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spacing w:val="-31"/>
                <w:highlight w:val="none"/>
              </w:rPr>
              <w:t>、</w:t>
            </w:r>
            <w:r>
              <w:rPr>
                <w:rFonts w:hint="eastAsia" w:ascii="宋体" w:hAnsi="宋体" w:eastAsia="宋体" w:cs="宋体"/>
                <w:color w:val="auto"/>
                <w:highlight w:val="none"/>
              </w:rPr>
              <w:t>满足资格审查条件（业绩最低要求</w:t>
            </w:r>
            <w:r>
              <w:rPr>
                <w:rFonts w:hint="eastAsia" w:ascii="宋体" w:hAnsi="宋体" w:eastAsia="宋体" w:cs="宋体"/>
                <w:color w:val="auto"/>
                <w:spacing w:val="-31"/>
                <w:highlight w:val="none"/>
              </w:rPr>
              <w:t>）</w:t>
            </w:r>
            <w:r>
              <w:rPr>
                <w:rFonts w:hint="eastAsia" w:ascii="宋体" w:hAnsi="宋体" w:eastAsia="宋体" w:cs="宋体"/>
                <w:color w:val="auto"/>
                <w:highlight w:val="none"/>
              </w:rPr>
              <w:t>得</w:t>
            </w:r>
            <w:r>
              <w:rPr>
                <w:rFonts w:hint="eastAsia" w:ascii="宋体" w:hAnsi="宋体" w:eastAsia="宋体" w:cs="宋体"/>
                <w:color w:val="auto"/>
                <w:highlight w:val="none"/>
                <w:lang w:val="en-US" w:eastAsia="zh-CN"/>
              </w:rPr>
              <w:t>21</w:t>
            </w:r>
            <w:r>
              <w:rPr>
                <w:rFonts w:hint="eastAsia" w:ascii="宋体" w:hAnsi="宋体" w:eastAsia="宋体" w:cs="宋体"/>
                <w:color w:val="auto"/>
                <w:highlight w:val="none"/>
              </w:rPr>
              <w:t>分</w:t>
            </w:r>
            <w:r>
              <w:rPr>
                <w:rFonts w:hint="eastAsia" w:ascii="宋体" w:hAnsi="宋体" w:eastAsia="宋体" w:cs="宋体"/>
                <w:color w:val="auto"/>
                <w:spacing w:val="-31"/>
                <w:highlight w:val="none"/>
              </w:rPr>
              <w:t>；</w:t>
            </w:r>
          </w:p>
          <w:p>
            <w:pPr>
              <w:spacing w:before="91" w:line="273" w:lineRule="auto"/>
              <w:ind w:left="78" w:right="71" w:hanging="6"/>
              <w:rPr>
                <w:rFonts w:ascii="宋体" w:hAnsi="宋体" w:eastAsia="宋体" w:cs="宋体"/>
                <w:color w:val="auto"/>
                <w:highlight w:val="none"/>
              </w:rPr>
            </w:pPr>
            <w:r>
              <w:rPr>
                <w:rFonts w:hint="eastAsia" w:ascii="宋体" w:hAnsi="宋体" w:eastAsia="宋体" w:cs="宋体"/>
                <w:color w:val="auto"/>
                <w:spacing w:val="-1"/>
                <w:highlight w:val="none"/>
              </w:rPr>
              <w:t>2</w:t>
            </w:r>
            <w:r>
              <w:rPr>
                <w:rFonts w:hint="eastAsia" w:ascii="宋体" w:hAnsi="宋体" w:eastAsia="宋体" w:cs="宋体"/>
                <w:color w:val="auto"/>
                <w:spacing w:val="-106"/>
                <w:highlight w:val="none"/>
              </w:rPr>
              <w:t>、</w:t>
            </w:r>
            <w:r>
              <w:rPr>
                <w:rFonts w:hint="eastAsia" w:ascii="宋体" w:hAnsi="宋体" w:eastAsia="宋体" w:cs="宋体"/>
                <w:color w:val="auto"/>
                <w:spacing w:val="-1"/>
                <w:highlight w:val="none"/>
              </w:rPr>
              <w:t>投标人近5年（201</w:t>
            </w:r>
            <w:r>
              <w:rPr>
                <w:rFonts w:hint="eastAsia" w:ascii="宋体" w:hAnsi="宋体" w:eastAsia="宋体" w:cs="宋体"/>
                <w:color w:val="auto"/>
                <w:spacing w:val="-1"/>
                <w:highlight w:val="none"/>
                <w:lang w:val="en-US" w:eastAsia="zh-CN"/>
              </w:rPr>
              <w:t>8</w:t>
            </w:r>
            <w:r>
              <w:rPr>
                <w:rFonts w:hint="eastAsia" w:ascii="宋体" w:hAnsi="宋体" w:eastAsia="宋体" w:cs="宋体"/>
                <w:color w:val="auto"/>
                <w:spacing w:val="-1"/>
                <w:highlight w:val="none"/>
              </w:rPr>
              <w:t>年</w:t>
            </w:r>
            <w:r>
              <w:rPr>
                <w:rFonts w:hint="eastAsia" w:ascii="宋体" w:hAnsi="宋体" w:eastAsia="宋体" w:cs="宋体"/>
                <w:color w:val="auto"/>
                <w:spacing w:val="-1"/>
                <w:highlight w:val="none"/>
                <w:lang w:val="en-US" w:eastAsia="zh-CN"/>
              </w:rPr>
              <w:t>1</w:t>
            </w:r>
            <w:bookmarkStart w:id="15" w:name="_GoBack"/>
            <w:bookmarkEnd w:id="15"/>
            <w:r>
              <w:rPr>
                <w:rFonts w:hint="eastAsia" w:ascii="宋体" w:hAnsi="宋体" w:eastAsia="宋体" w:cs="宋体"/>
                <w:color w:val="auto"/>
                <w:spacing w:val="-1"/>
                <w:highlight w:val="none"/>
              </w:rPr>
              <w:t>月1日至投标文件递交截止日，以合同协议书签订时间为准）</w:t>
            </w:r>
            <w:r>
              <w:rPr>
                <w:rFonts w:hint="eastAsia" w:ascii="宋体" w:hAnsi="宋体" w:eastAsia="宋体" w:cs="宋体"/>
                <w:color w:val="auto"/>
                <w:spacing w:val="-105"/>
                <w:highlight w:val="none"/>
              </w:rPr>
              <w:t xml:space="preserve"> </w:t>
            </w:r>
            <w:r>
              <w:rPr>
                <w:rFonts w:hint="eastAsia" w:ascii="宋体" w:hAnsi="宋体" w:eastAsia="宋体" w:cs="宋体"/>
                <w:color w:val="auto"/>
                <w:highlight w:val="none"/>
              </w:rPr>
              <w:t>每增加1项新建（改扩建）高速公路工程或高速公路养护工程设计工作业绩加</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分</w:t>
            </w:r>
            <w:r>
              <w:rPr>
                <w:rFonts w:hint="eastAsia" w:ascii="宋体" w:hAnsi="宋体" w:eastAsia="宋体" w:cs="宋体"/>
                <w:color w:val="auto"/>
                <w:spacing w:val="-14"/>
                <w:highlight w:val="none"/>
              </w:rPr>
              <w:t>，</w:t>
            </w:r>
            <w:r>
              <w:rPr>
                <w:rFonts w:hint="eastAsia" w:ascii="宋体" w:hAnsi="宋体" w:eastAsia="宋体" w:cs="宋体"/>
                <w:color w:val="auto"/>
                <w:spacing w:val="-105"/>
                <w:highlight w:val="none"/>
              </w:rPr>
              <w:t xml:space="preserve"> </w:t>
            </w:r>
            <w:r>
              <w:rPr>
                <w:rFonts w:hint="eastAsia" w:ascii="宋体" w:hAnsi="宋体" w:eastAsia="宋体" w:cs="宋体"/>
                <w:color w:val="auto"/>
                <w:highlight w:val="none"/>
              </w:rPr>
              <w:t>最高加</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4分</w:t>
            </w:r>
            <w:r>
              <w:rPr>
                <w:rFonts w:hint="eastAsia" w:ascii="宋体" w:hAnsi="宋体" w:eastAsia="宋体" w:cs="宋体"/>
                <w:color w:val="auto"/>
                <w:spacing w:val="-1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10" w:type="dxa"/>
          <w:trHeight w:val="3578" w:hRule="atLeast"/>
          <w:jc w:val="center"/>
        </w:trPr>
        <w:tc>
          <w:tcPr>
            <w:tcW w:w="840" w:type="dxa"/>
            <w:vMerge w:val="continue"/>
            <w:tcBorders>
              <w:bottom w:val="single" w:color="000000" w:sz="2" w:space="0"/>
            </w:tcBorders>
          </w:tcPr>
          <w:p>
            <w:pPr>
              <w:rPr>
                <w:rFonts w:ascii="宋体" w:hAnsi="宋体" w:eastAsia="宋体" w:cs="宋体"/>
                <w:color w:val="auto"/>
                <w:highlight w:val="none"/>
              </w:rPr>
            </w:pPr>
          </w:p>
        </w:tc>
        <w:tc>
          <w:tcPr>
            <w:tcW w:w="758" w:type="dxa"/>
            <w:gridSpan w:val="2"/>
            <w:vMerge w:val="continue"/>
            <w:tcBorders>
              <w:bottom w:val="single" w:color="000000" w:sz="2" w:space="0"/>
            </w:tcBorders>
          </w:tcPr>
          <w:p>
            <w:pPr>
              <w:rPr>
                <w:rFonts w:ascii="宋体" w:hAnsi="宋体" w:eastAsia="宋体" w:cs="宋体"/>
                <w:color w:val="auto"/>
                <w:highlight w:val="none"/>
              </w:rPr>
            </w:pPr>
          </w:p>
        </w:tc>
        <w:tc>
          <w:tcPr>
            <w:tcW w:w="640" w:type="dxa"/>
            <w:gridSpan w:val="2"/>
            <w:tcBorders>
              <w:bottom w:val="single" w:color="000000" w:sz="2" w:space="0"/>
            </w:tcBorders>
            <w:textDirection w:val="tbRlV"/>
          </w:tcPr>
          <w:p>
            <w:pPr>
              <w:spacing w:before="129" w:line="208" w:lineRule="auto"/>
              <w:ind w:firstLine="718"/>
              <w:rPr>
                <w:rFonts w:ascii="宋体" w:hAnsi="宋体" w:eastAsia="宋体" w:cs="宋体"/>
                <w:color w:val="auto"/>
                <w:highlight w:val="none"/>
              </w:rPr>
            </w:pPr>
            <w:r>
              <w:rPr>
                <w:rFonts w:hint="eastAsia" w:ascii="宋体" w:hAnsi="宋体" w:eastAsia="宋体" w:cs="宋体"/>
                <w:color w:val="auto"/>
                <w:spacing w:val="-7"/>
                <w:highlight w:val="none"/>
              </w:rPr>
              <w:t>履</w:t>
            </w:r>
            <w:r>
              <w:rPr>
                <w:rFonts w:hint="eastAsia" w:ascii="宋体" w:hAnsi="宋体" w:eastAsia="宋体" w:cs="宋体"/>
                <w:color w:val="auto"/>
                <w:spacing w:val="-34"/>
                <w:highlight w:val="none"/>
              </w:rPr>
              <w:t xml:space="preserve"> </w:t>
            </w:r>
            <w:r>
              <w:rPr>
                <w:rFonts w:hint="eastAsia" w:ascii="宋体" w:hAnsi="宋体" w:eastAsia="宋体" w:cs="宋体"/>
                <w:color w:val="auto"/>
                <w:spacing w:val="-7"/>
                <w:highlight w:val="none"/>
              </w:rPr>
              <w:t>约</w:t>
            </w:r>
            <w:r>
              <w:rPr>
                <w:rFonts w:hint="eastAsia" w:ascii="宋体" w:hAnsi="宋体" w:eastAsia="宋体" w:cs="宋体"/>
                <w:color w:val="auto"/>
                <w:spacing w:val="-34"/>
                <w:highlight w:val="none"/>
              </w:rPr>
              <w:t xml:space="preserve"> </w:t>
            </w:r>
            <w:r>
              <w:rPr>
                <w:rFonts w:hint="eastAsia" w:ascii="宋体" w:hAnsi="宋体" w:eastAsia="宋体" w:cs="宋体"/>
                <w:color w:val="auto"/>
                <w:spacing w:val="-6"/>
                <w:highlight w:val="none"/>
              </w:rPr>
              <w:t>信</w:t>
            </w:r>
            <w:r>
              <w:rPr>
                <w:rFonts w:hint="eastAsia" w:ascii="宋体" w:hAnsi="宋体" w:eastAsia="宋体" w:cs="宋体"/>
                <w:color w:val="auto"/>
                <w:spacing w:val="-34"/>
                <w:highlight w:val="none"/>
              </w:rPr>
              <w:t xml:space="preserve"> </w:t>
            </w:r>
            <w:r>
              <w:rPr>
                <w:rFonts w:hint="eastAsia" w:ascii="宋体" w:hAnsi="宋体" w:eastAsia="宋体" w:cs="宋体"/>
                <w:color w:val="auto"/>
                <w:spacing w:val="-6"/>
                <w:highlight w:val="none"/>
              </w:rPr>
              <w:t>誉</w:t>
            </w:r>
          </w:p>
        </w:tc>
        <w:tc>
          <w:tcPr>
            <w:tcW w:w="924" w:type="dxa"/>
            <w:gridSpan w:val="2"/>
            <w:tcBorders>
              <w:bottom w:val="single" w:color="000000" w:sz="2" w:space="0"/>
            </w:tcBorders>
          </w:tcPr>
          <w:p>
            <w:pPr>
              <w:spacing w:line="262" w:lineRule="auto"/>
              <w:rPr>
                <w:rFonts w:ascii="宋体" w:hAnsi="宋体" w:eastAsia="宋体" w:cs="宋体"/>
                <w:color w:val="auto"/>
                <w:highlight w:val="none"/>
              </w:rPr>
            </w:pPr>
          </w:p>
          <w:p>
            <w:pPr>
              <w:spacing w:line="263" w:lineRule="auto"/>
              <w:rPr>
                <w:rFonts w:ascii="宋体" w:hAnsi="宋体" w:eastAsia="宋体" w:cs="宋体"/>
                <w:color w:val="auto"/>
                <w:highlight w:val="none"/>
              </w:rPr>
            </w:pPr>
          </w:p>
          <w:p>
            <w:pPr>
              <w:spacing w:line="263" w:lineRule="auto"/>
              <w:rPr>
                <w:rFonts w:ascii="宋体" w:hAnsi="宋体" w:eastAsia="宋体" w:cs="宋体"/>
                <w:color w:val="auto"/>
                <w:highlight w:val="none"/>
              </w:rPr>
            </w:pPr>
          </w:p>
          <w:p>
            <w:pPr>
              <w:spacing w:line="263" w:lineRule="auto"/>
              <w:rPr>
                <w:rFonts w:ascii="宋体" w:hAnsi="宋体" w:eastAsia="宋体" w:cs="宋体"/>
                <w:color w:val="auto"/>
                <w:highlight w:val="none"/>
              </w:rPr>
            </w:pPr>
          </w:p>
          <w:p>
            <w:pPr>
              <w:spacing w:before="69" w:line="221" w:lineRule="auto"/>
              <w:ind w:firstLine="318"/>
              <w:rPr>
                <w:rFonts w:ascii="宋体" w:hAnsi="宋体" w:eastAsia="宋体" w:cs="宋体"/>
                <w:color w:val="auto"/>
                <w:highlight w:val="none"/>
              </w:rPr>
            </w:pPr>
            <w:r>
              <w:rPr>
                <w:rFonts w:hint="eastAsia" w:ascii="宋体" w:hAnsi="宋体" w:eastAsia="宋体" w:cs="宋体"/>
                <w:color w:val="auto"/>
                <w:spacing w:val="-1"/>
                <w:highlight w:val="none"/>
                <w:lang w:val="en-US" w:eastAsia="zh-CN"/>
              </w:rPr>
              <w:t>5</w:t>
            </w:r>
            <w:r>
              <w:rPr>
                <w:rFonts w:hint="eastAsia" w:ascii="宋体" w:hAnsi="宋体" w:eastAsia="宋体" w:cs="宋体"/>
                <w:color w:val="auto"/>
                <w:spacing w:val="-10"/>
                <w:highlight w:val="none"/>
              </w:rPr>
              <w:t xml:space="preserve"> </w:t>
            </w:r>
            <w:r>
              <w:rPr>
                <w:rFonts w:hint="eastAsia" w:ascii="宋体" w:hAnsi="宋体" w:eastAsia="宋体" w:cs="宋体"/>
                <w:color w:val="auto"/>
                <w:spacing w:val="-1"/>
                <w:highlight w:val="none"/>
              </w:rPr>
              <w:t>分</w:t>
            </w:r>
          </w:p>
        </w:tc>
        <w:tc>
          <w:tcPr>
            <w:tcW w:w="1058" w:type="dxa"/>
            <w:tcBorders>
              <w:bottom w:val="single" w:color="000000" w:sz="2" w:space="0"/>
            </w:tcBorders>
          </w:tcPr>
          <w:p>
            <w:pPr>
              <w:spacing w:line="262" w:lineRule="auto"/>
              <w:rPr>
                <w:rFonts w:ascii="宋体" w:hAnsi="宋体" w:eastAsia="宋体" w:cs="宋体"/>
                <w:color w:val="auto"/>
                <w:highlight w:val="none"/>
              </w:rPr>
            </w:pPr>
          </w:p>
          <w:p>
            <w:pPr>
              <w:spacing w:line="263" w:lineRule="auto"/>
              <w:rPr>
                <w:rFonts w:ascii="宋体" w:hAnsi="宋体" w:eastAsia="宋体" w:cs="宋体"/>
                <w:color w:val="auto"/>
                <w:highlight w:val="none"/>
              </w:rPr>
            </w:pPr>
          </w:p>
          <w:p>
            <w:pPr>
              <w:spacing w:line="263" w:lineRule="auto"/>
              <w:rPr>
                <w:rFonts w:ascii="宋体" w:hAnsi="宋体" w:eastAsia="宋体" w:cs="宋体"/>
                <w:color w:val="auto"/>
                <w:highlight w:val="none"/>
              </w:rPr>
            </w:pPr>
          </w:p>
          <w:p>
            <w:pPr>
              <w:spacing w:line="263" w:lineRule="auto"/>
              <w:rPr>
                <w:rFonts w:ascii="宋体" w:hAnsi="宋体" w:eastAsia="宋体" w:cs="宋体"/>
                <w:color w:val="auto"/>
                <w:highlight w:val="none"/>
              </w:rPr>
            </w:pPr>
          </w:p>
          <w:p>
            <w:pPr>
              <w:spacing w:before="68" w:line="221" w:lineRule="auto"/>
              <w:ind w:firstLine="121"/>
              <w:rPr>
                <w:rFonts w:ascii="宋体" w:hAnsi="宋体" w:eastAsia="宋体" w:cs="宋体"/>
                <w:color w:val="auto"/>
                <w:highlight w:val="none"/>
              </w:rPr>
            </w:pPr>
            <w:r>
              <w:rPr>
                <w:rFonts w:hint="eastAsia" w:ascii="宋体" w:hAnsi="宋体" w:eastAsia="宋体" w:cs="宋体"/>
                <w:color w:val="auto"/>
                <w:spacing w:val="-2"/>
                <w:highlight w:val="none"/>
              </w:rPr>
              <w:t>信</w:t>
            </w:r>
            <w:r>
              <w:rPr>
                <w:rFonts w:hint="eastAsia" w:ascii="宋体" w:hAnsi="宋体" w:eastAsia="宋体" w:cs="宋体"/>
                <w:color w:val="auto"/>
                <w:spacing w:val="-1"/>
                <w:highlight w:val="none"/>
              </w:rPr>
              <w:t>用等级</w:t>
            </w:r>
          </w:p>
        </w:tc>
        <w:tc>
          <w:tcPr>
            <w:tcW w:w="923" w:type="dxa"/>
            <w:tcBorders>
              <w:bottom w:val="single" w:color="000000" w:sz="2" w:space="0"/>
            </w:tcBorders>
          </w:tcPr>
          <w:p>
            <w:pPr>
              <w:spacing w:line="262" w:lineRule="auto"/>
              <w:rPr>
                <w:rFonts w:ascii="宋体" w:hAnsi="宋体" w:eastAsia="宋体" w:cs="宋体"/>
                <w:color w:val="auto"/>
                <w:highlight w:val="none"/>
              </w:rPr>
            </w:pPr>
          </w:p>
          <w:p>
            <w:pPr>
              <w:spacing w:line="263" w:lineRule="auto"/>
              <w:rPr>
                <w:rFonts w:ascii="宋体" w:hAnsi="宋体" w:eastAsia="宋体" w:cs="宋体"/>
                <w:color w:val="auto"/>
                <w:highlight w:val="none"/>
              </w:rPr>
            </w:pPr>
          </w:p>
          <w:p>
            <w:pPr>
              <w:spacing w:line="263" w:lineRule="auto"/>
              <w:rPr>
                <w:rFonts w:ascii="宋体" w:hAnsi="宋体" w:eastAsia="宋体" w:cs="宋体"/>
                <w:color w:val="auto"/>
                <w:highlight w:val="none"/>
              </w:rPr>
            </w:pPr>
          </w:p>
          <w:p>
            <w:pPr>
              <w:spacing w:line="263" w:lineRule="auto"/>
              <w:rPr>
                <w:rFonts w:ascii="宋体" w:hAnsi="宋体" w:eastAsia="宋体" w:cs="宋体"/>
                <w:color w:val="auto"/>
                <w:highlight w:val="none"/>
              </w:rPr>
            </w:pPr>
          </w:p>
          <w:p>
            <w:pPr>
              <w:spacing w:before="69" w:line="221" w:lineRule="auto"/>
              <w:jc w:val="center"/>
              <w:rPr>
                <w:rFonts w:ascii="宋体" w:hAnsi="宋体" w:eastAsia="宋体" w:cs="宋体"/>
                <w:color w:val="auto"/>
                <w:highlight w:val="none"/>
              </w:rPr>
            </w:pPr>
            <w:r>
              <w:rPr>
                <w:rFonts w:hint="eastAsia" w:ascii="宋体" w:hAnsi="宋体" w:eastAsia="宋体" w:cs="宋体"/>
                <w:color w:val="auto"/>
                <w:spacing w:val="-1"/>
                <w:highlight w:val="none"/>
                <w:lang w:val="en-US" w:eastAsia="zh-CN"/>
              </w:rPr>
              <w:t>5</w:t>
            </w:r>
            <w:r>
              <w:rPr>
                <w:rFonts w:hint="eastAsia" w:ascii="宋体" w:hAnsi="宋体" w:eastAsia="宋体" w:cs="宋体"/>
                <w:color w:val="auto"/>
                <w:spacing w:val="-10"/>
                <w:highlight w:val="none"/>
              </w:rPr>
              <w:t xml:space="preserve"> </w:t>
            </w:r>
            <w:r>
              <w:rPr>
                <w:rFonts w:hint="eastAsia" w:ascii="宋体" w:hAnsi="宋体" w:eastAsia="宋体" w:cs="宋体"/>
                <w:color w:val="auto"/>
                <w:spacing w:val="-1"/>
                <w:highlight w:val="none"/>
              </w:rPr>
              <w:t>分</w:t>
            </w:r>
          </w:p>
        </w:tc>
        <w:tc>
          <w:tcPr>
            <w:tcW w:w="4138" w:type="dxa"/>
            <w:gridSpan w:val="2"/>
            <w:tcBorders>
              <w:bottom w:val="single" w:color="000000" w:sz="2" w:space="0"/>
            </w:tcBorders>
          </w:tcPr>
          <w:p>
            <w:pPr>
              <w:spacing w:before="34" w:line="233" w:lineRule="auto"/>
              <w:rPr>
                <w:rFonts w:ascii="宋体" w:hAnsi="宋体" w:eastAsia="宋体" w:cs="宋体"/>
                <w:color w:val="auto"/>
                <w:highlight w:val="none"/>
              </w:rPr>
            </w:pPr>
            <w:r>
              <w:rPr>
                <w:rFonts w:hint="eastAsia" w:ascii="宋体" w:hAnsi="宋体" w:eastAsia="宋体" w:cs="宋体"/>
                <w:color w:val="auto"/>
                <w:highlight w:val="none"/>
              </w:rPr>
              <w:t>（a）满足资格审查条件（信誉最低要求）得</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分；</w:t>
            </w:r>
          </w:p>
          <w:p>
            <w:pPr>
              <w:rPr>
                <w:rFonts w:ascii="宋体" w:hAnsi="宋体" w:eastAsia="宋体" w:cs="宋体"/>
                <w:color w:val="auto"/>
                <w:highlight w:val="none"/>
              </w:rPr>
            </w:pPr>
            <w:r>
              <w:rPr>
                <w:rFonts w:hint="eastAsia" w:ascii="宋体" w:hAnsi="宋体" w:eastAsia="宋体" w:cs="宋体"/>
                <w:color w:val="auto"/>
                <w:highlight w:val="none"/>
              </w:rPr>
              <w:t>（b）按山西省交通运输厅网站最新公告的设计信用评价结果和“全国公路建设市场信用信息管理系统”最新年度的综合信用评价结果中投标人的设计信用等级进行评分（同时具有山西省和全国设计信用的以山西省信用评价结果为准），标准如下：</w:t>
            </w:r>
          </w:p>
          <w:p>
            <w:pPr>
              <w:rPr>
                <w:rFonts w:ascii="宋体" w:hAnsi="宋体" w:eastAsia="宋体" w:cs="宋体"/>
                <w:color w:val="auto"/>
                <w:highlight w:val="none"/>
              </w:rPr>
            </w:pPr>
            <w:r>
              <w:rPr>
                <w:rFonts w:hint="eastAsia" w:ascii="宋体" w:hAnsi="宋体" w:eastAsia="宋体" w:cs="宋体"/>
                <w:color w:val="auto"/>
                <w:highlight w:val="none"/>
              </w:rPr>
              <w:t>AA级：</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分；A级：</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分；B级：</w:t>
            </w:r>
            <w:r>
              <w:rPr>
                <w:rFonts w:hint="eastAsia" w:ascii="宋体" w:hAnsi="宋体" w:eastAsia="宋体" w:cs="宋体"/>
                <w:color w:val="auto"/>
                <w:highlight w:val="none"/>
                <w:lang w:val="en-US" w:eastAsia="zh-CN"/>
              </w:rPr>
              <w:t>0.5</w:t>
            </w:r>
            <w:r>
              <w:rPr>
                <w:rFonts w:hint="eastAsia" w:ascii="宋体" w:hAnsi="宋体" w:eastAsia="宋体" w:cs="宋体"/>
                <w:color w:val="auto"/>
                <w:highlight w:val="none"/>
              </w:rPr>
              <w:t>分；C级：0分。</w:t>
            </w:r>
          </w:p>
          <w:p>
            <w:pPr>
              <w:spacing w:before="34" w:line="233" w:lineRule="auto"/>
              <w:rPr>
                <w:rFonts w:ascii="宋体" w:hAnsi="宋体" w:eastAsia="宋体" w:cs="宋体"/>
                <w:color w:val="auto"/>
                <w:highlight w:val="none"/>
              </w:rPr>
            </w:pPr>
            <w:r>
              <w:rPr>
                <w:rFonts w:hint="eastAsia" w:ascii="宋体" w:hAnsi="宋体" w:eastAsia="宋体" w:cs="宋体"/>
                <w:color w:val="auto"/>
                <w:highlight w:val="none"/>
              </w:rPr>
              <w:t>(若在山西省交通运输厅网站或全国公路建设市场信用信息管理系统中无信用评价的按C级计</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若同时在</w:t>
            </w:r>
            <w:r>
              <w:rPr>
                <w:rFonts w:hint="eastAsia" w:ascii="宋体" w:hAnsi="宋体" w:eastAsia="宋体" w:cs="宋体"/>
                <w:color w:val="auto"/>
                <w:highlight w:val="none"/>
              </w:rPr>
              <w:t>山西省交通运输厅网站</w:t>
            </w:r>
            <w:r>
              <w:rPr>
                <w:rFonts w:hint="eastAsia" w:ascii="宋体" w:hAnsi="宋体" w:eastAsia="宋体" w:cs="宋体"/>
                <w:color w:val="auto"/>
                <w:highlight w:val="none"/>
                <w:lang w:val="en-US" w:eastAsia="zh-CN"/>
              </w:rPr>
              <w:t>和</w:t>
            </w:r>
            <w:r>
              <w:rPr>
                <w:rFonts w:hint="eastAsia" w:ascii="宋体" w:hAnsi="宋体" w:eastAsia="宋体" w:cs="宋体"/>
                <w:color w:val="auto"/>
                <w:highlight w:val="none"/>
              </w:rPr>
              <w:t>全国公路建设市场信用信息管理系统中</w:t>
            </w:r>
            <w:r>
              <w:rPr>
                <w:rFonts w:hint="eastAsia" w:ascii="宋体" w:hAnsi="宋体" w:eastAsia="宋体" w:cs="宋体"/>
                <w:color w:val="auto"/>
                <w:highlight w:val="none"/>
                <w:lang w:val="en-US" w:eastAsia="zh-CN"/>
              </w:rPr>
              <w:t>有信用评价以山西省交通运输厅网站的为准。</w:t>
            </w:r>
            <w:r>
              <w:rPr>
                <w:rFonts w:hint="eastAsia" w:ascii="宋体" w:hAnsi="宋体" w:eastAsia="宋体" w:cs="宋体"/>
                <w:color w:val="auto"/>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0" w:type="dxa"/>
          <w:trHeight w:val="4939" w:hRule="atLeast"/>
          <w:jc w:val="center"/>
        </w:trPr>
        <w:tc>
          <w:tcPr>
            <w:tcW w:w="9281" w:type="dxa"/>
            <w:gridSpan w:val="11"/>
          </w:tcPr>
          <w:p>
            <w:pPr>
              <w:spacing w:before="73" w:line="299" w:lineRule="auto"/>
              <w:ind w:left="78" w:right="71" w:firstLine="4"/>
              <w:rPr>
                <w:rFonts w:ascii="宋体" w:hAnsi="宋体" w:eastAsia="宋体" w:cs="宋体"/>
                <w:color w:val="auto"/>
                <w:spacing w:val="1"/>
                <w:highlight w:val="none"/>
              </w:rPr>
            </w:pPr>
            <w:r>
              <w:rPr>
                <w:rFonts w:hint="eastAsia" w:ascii="宋体" w:hAnsi="宋体" w:eastAsia="宋体" w:cs="宋体"/>
                <w:color w:val="auto"/>
                <w:spacing w:val="1"/>
                <w:highlight w:val="none"/>
              </w:rPr>
              <w:t>需要补充的其他内容：</w:t>
            </w:r>
          </w:p>
          <w:p>
            <w:pPr>
              <w:spacing w:before="73" w:line="299" w:lineRule="auto"/>
              <w:ind w:left="78" w:right="71" w:firstLine="4"/>
              <w:rPr>
                <w:rFonts w:ascii="宋体" w:hAnsi="宋体" w:eastAsia="宋体" w:cs="宋体"/>
                <w:color w:val="auto"/>
                <w:spacing w:val="1"/>
                <w:highlight w:val="none"/>
              </w:rPr>
            </w:pPr>
            <w:r>
              <w:rPr>
                <w:rFonts w:hint="eastAsia" w:ascii="宋体" w:hAnsi="宋体" w:eastAsia="宋体" w:cs="宋体"/>
                <w:color w:val="auto"/>
                <w:spacing w:val="1"/>
                <w:highlight w:val="none"/>
              </w:rPr>
              <w:t xml:space="preserve">本项目采用双信封综合评分法进行评标， 评标办法正文第3条部分条款内容细化如下： </w:t>
            </w:r>
          </w:p>
          <w:p>
            <w:pPr>
              <w:spacing w:before="73" w:line="299" w:lineRule="auto"/>
              <w:ind w:left="78" w:right="71" w:firstLine="4"/>
              <w:rPr>
                <w:rFonts w:ascii="宋体" w:hAnsi="宋体" w:eastAsia="宋体" w:cs="宋体"/>
                <w:color w:val="auto"/>
                <w:spacing w:val="1"/>
                <w:highlight w:val="none"/>
              </w:rPr>
            </w:pPr>
            <w:r>
              <w:rPr>
                <w:rFonts w:hint="eastAsia" w:ascii="宋体" w:hAnsi="宋体" w:eastAsia="宋体" w:cs="宋体"/>
                <w:color w:val="auto"/>
                <w:spacing w:val="1"/>
                <w:highlight w:val="none"/>
              </w:rPr>
              <w:t>第 3.1.1 项内容细化为：</w:t>
            </w:r>
          </w:p>
          <w:p>
            <w:pPr>
              <w:spacing w:before="73" w:line="299" w:lineRule="auto"/>
              <w:ind w:left="78" w:right="71" w:firstLine="4"/>
              <w:rPr>
                <w:rFonts w:ascii="宋体" w:hAnsi="宋体" w:eastAsia="宋体" w:cs="宋体"/>
                <w:color w:val="auto"/>
                <w:spacing w:val="1"/>
                <w:highlight w:val="none"/>
              </w:rPr>
            </w:pPr>
            <w:r>
              <w:rPr>
                <w:rFonts w:hint="eastAsia" w:ascii="宋体" w:hAnsi="宋体" w:eastAsia="宋体" w:cs="宋体"/>
                <w:color w:val="auto"/>
                <w:spacing w:val="1"/>
                <w:highlight w:val="none"/>
              </w:rPr>
              <w:t>3.1.1 评标委员会可以要求投标人提交第二章“投标人须知”第3.5.1 项至第3.5.5项规定的有关证明和 证件的原件，以便核验。评标委员会依据本章第2.1款规定的标准对投标文件第一个信封（商务及技术文件） 进行初步评审。有一项不符合评审标准的，评标委员会应否决其投标。</w:t>
            </w:r>
          </w:p>
          <w:p>
            <w:pPr>
              <w:spacing w:before="73" w:line="299" w:lineRule="auto"/>
              <w:ind w:left="78" w:right="71" w:firstLine="4"/>
              <w:rPr>
                <w:rFonts w:ascii="宋体" w:hAnsi="宋体" w:eastAsia="宋体" w:cs="宋体"/>
                <w:color w:val="auto"/>
                <w:spacing w:val="1"/>
                <w:highlight w:val="none"/>
              </w:rPr>
            </w:pPr>
            <w:r>
              <w:rPr>
                <w:rFonts w:hint="eastAsia" w:ascii="宋体" w:hAnsi="宋体" w:eastAsia="宋体" w:cs="宋体"/>
                <w:color w:val="auto"/>
                <w:spacing w:val="1"/>
                <w:highlight w:val="none"/>
              </w:rPr>
              <w:t>通过第一个信封初步评审的投标人不足3个时，不再进行后续评审，招标人将重新组织招标。</w:t>
            </w:r>
          </w:p>
          <w:p>
            <w:pPr>
              <w:spacing w:before="73" w:line="299" w:lineRule="auto"/>
              <w:ind w:left="78" w:right="71" w:firstLine="4"/>
              <w:rPr>
                <w:rFonts w:ascii="宋体" w:hAnsi="宋体" w:eastAsia="宋体" w:cs="宋体"/>
                <w:color w:val="auto"/>
                <w:spacing w:val="1"/>
                <w:highlight w:val="none"/>
              </w:rPr>
            </w:pPr>
            <w:r>
              <w:rPr>
                <w:rFonts w:hint="eastAsia" w:ascii="宋体" w:hAnsi="宋体" w:eastAsia="宋体" w:cs="宋体"/>
                <w:color w:val="auto"/>
                <w:spacing w:val="1"/>
                <w:highlight w:val="none"/>
              </w:rPr>
              <w:t>第 3.2 款内容细化如下：</w:t>
            </w:r>
          </w:p>
          <w:p>
            <w:pPr>
              <w:spacing w:before="73" w:line="299" w:lineRule="auto"/>
              <w:ind w:left="78" w:right="71" w:firstLine="4"/>
              <w:rPr>
                <w:rFonts w:ascii="宋体" w:hAnsi="宋体" w:eastAsia="宋体" w:cs="宋体"/>
                <w:color w:val="auto"/>
                <w:spacing w:val="1"/>
                <w:highlight w:val="none"/>
              </w:rPr>
            </w:pPr>
            <w:r>
              <w:rPr>
                <w:rFonts w:hint="eastAsia" w:ascii="宋体" w:hAnsi="宋体" w:eastAsia="宋体" w:cs="宋体"/>
                <w:color w:val="auto"/>
                <w:spacing w:val="1"/>
                <w:highlight w:val="none"/>
              </w:rPr>
              <w:t>3.2 第一个信封详细评审</w:t>
            </w:r>
          </w:p>
          <w:p>
            <w:pPr>
              <w:spacing w:before="73" w:line="299" w:lineRule="auto"/>
              <w:ind w:left="78" w:right="71" w:firstLine="4"/>
              <w:rPr>
                <w:rFonts w:ascii="宋体" w:hAnsi="宋体" w:eastAsia="宋体" w:cs="宋体"/>
                <w:color w:val="auto"/>
                <w:spacing w:val="1"/>
                <w:highlight w:val="none"/>
              </w:rPr>
            </w:pPr>
            <w:r>
              <w:rPr>
                <w:rFonts w:hint="eastAsia" w:ascii="宋体" w:hAnsi="宋体" w:eastAsia="宋体" w:cs="宋体"/>
                <w:color w:val="auto"/>
                <w:spacing w:val="1"/>
                <w:highlight w:val="none"/>
              </w:rPr>
              <w:t>3.2.1  评标委员会按本章第2.2款规定的量化因素和分值进行打分，并计算出各投标人的商务和技术得分。</w:t>
            </w:r>
          </w:p>
          <w:p>
            <w:pPr>
              <w:spacing w:before="73" w:line="299" w:lineRule="auto"/>
              <w:ind w:left="78" w:right="71" w:firstLine="4"/>
              <w:rPr>
                <w:rFonts w:ascii="宋体" w:hAnsi="宋体" w:eastAsia="宋体" w:cs="宋体"/>
                <w:color w:val="auto"/>
                <w:spacing w:val="1"/>
                <w:highlight w:val="none"/>
              </w:rPr>
            </w:pPr>
            <w:r>
              <w:rPr>
                <w:rFonts w:hint="eastAsia" w:ascii="宋体" w:hAnsi="宋体" w:eastAsia="宋体" w:cs="宋体"/>
                <w:color w:val="auto"/>
                <w:spacing w:val="1"/>
                <w:highlight w:val="none"/>
              </w:rPr>
              <w:t>（1）按本章第 2.2.4 项（1）目规定的评审因素和分值对技术建议书部分计算出得分 A；</w:t>
            </w:r>
          </w:p>
          <w:p>
            <w:pPr>
              <w:spacing w:before="73" w:line="299" w:lineRule="auto"/>
              <w:ind w:left="78" w:right="71" w:firstLine="4"/>
              <w:rPr>
                <w:rFonts w:ascii="宋体" w:hAnsi="宋体" w:eastAsia="宋体" w:cs="宋体"/>
                <w:color w:val="auto"/>
                <w:spacing w:val="1"/>
                <w:highlight w:val="none"/>
              </w:rPr>
            </w:pPr>
            <w:r>
              <w:rPr>
                <w:rFonts w:hint="eastAsia" w:ascii="宋体" w:hAnsi="宋体" w:eastAsia="宋体" w:cs="宋体"/>
                <w:color w:val="auto"/>
                <w:spacing w:val="1"/>
                <w:highlight w:val="none"/>
              </w:rPr>
              <w:t>（2）按本章第 2.2.4 项（2）目规定的评审因素和分值对主要人员部分计算出得分 B；</w:t>
            </w:r>
          </w:p>
          <w:p>
            <w:pPr>
              <w:spacing w:before="73" w:line="299" w:lineRule="auto"/>
              <w:ind w:left="78" w:right="71" w:firstLine="4"/>
              <w:rPr>
                <w:rFonts w:ascii="宋体" w:hAnsi="宋体" w:eastAsia="宋体" w:cs="宋体"/>
                <w:color w:val="auto"/>
                <w:spacing w:val="1"/>
                <w:highlight w:val="none"/>
              </w:rPr>
            </w:pPr>
            <w:r>
              <w:rPr>
                <w:rFonts w:hint="eastAsia" w:ascii="宋体" w:hAnsi="宋体" w:eastAsia="宋体" w:cs="宋体"/>
                <w:color w:val="auto"/>
                <w:spacing w:val="1"/>
                <w:highlight w:val="none"/>
              </w:rPr>
              <w:t>（3）按本章第 2.2.4 项（4）目规定的评审因素和分值对其他部分计算出得分 D。</w:t>
            </w:r>
          </w:p>
          <w:p>
            <w:pPr>
              <w:spacing w:before="73" w:line="299" w:lineRule="auto"/>
              <w:ind w:left="78" w:right="71" w:firstLine="4"/>
              <w:rPr>
                <w:rFonts w:ascii="宋体" w:hAnsi="宋体" w:eastAsia="宋体" w:cs="宋体"/>
                <w:color w:val="auto"/>
                <w:spacing w:val="1"/>
                <w:highlight w:val="none"/>
              </w:rPr>
            </w:pPr>
            <w:r>
              <w:rPr>
                <w:rFonts w:hint="eastAsia" w:ascii="宋体" w:hAnsi="宋体" w:eastAsia="宋体" w:cs="宋体"/>
                <w:color w:val="auto"/>
                <w:spacing w:val="1"/>
                <w:highlight w:val="none"/>
              </w:rPr>
              <w:t>3.2.2  投标人的商务和技术得分分值计算保留小数点后两位，小数点后第三位“四舍五入”。</w:t>
            </w:r>
          </w:p>
          <w:p>
            <w:pPr>
              <w:spacing w:before="73" w:line="299" w:lineRule="auto"/>
              <w:ind w:left="78" w:right="71" w:firstLine="4"/>
              <w:rPr>
                <w:rFonts w:ascii="宋体" w:hAnsi="宋体" w:eastAsia="宋体" w:cs="宋体"/>
                <w:color w:val="auto"/>
                <w:spacing w:val="1"/>
                <w:highlight w:val="none"/>
              </w:rPr>
            </w:pPr>
            <w:r>
              <w:rPr>
                <w:rFonts w:hint="eastAsia" w:ascii="宋体" w:hAnsi="宋体" w:eastAsia="宋体" w:cs="宋体"/>
                <w:color w:val="auto"/>
                <w:spacing w:val="1"/>
                <w:highlight w:val="none"/>
              </w:rPr>
              <w:t>3.2.3  投标人的商务和技术得分=A+B+D。</w:t>
            </w:r>
          </w:p>
          <w:p>
            <w:pPr>
              <w:spacing w:before="73" w:line="299" w:lineRule="auto"/>
              <w:ind w:left="78" w:right="71" w:firstLine="4"/>
              <w:rPr>
                <w:rFonts w:ascii="宋体" w:hAnsi="宋体" w:eastAsia="宋体" w:cs="宋体"/>
                <w:color w:val="auto"/>
                <w:spacing w:val="1"/>
                <w:highlight w:val="none"/>
              </w:rPr>
            </w:pPr>
            <w:r>
              <w:rPr>
                <w:rFonts w:hint="eastAsia" w:ascii="宋体" w:hAnsi="宋体" w:eastAsia="宋体" w:cs="宋体"/>
                <w:color w:val="auto"/>
                <w:spacing w:val="1"/>
                <w:highlight w:val="none"/>
              </w:rPr>
              <w:t>评标委员会对通过初步评审商务文件和技术建议书进行评分。每个投标人商务文件和技术建议书各分项的得分为评标委员会全体成员的对应分项打分去掉一个最高分和一个最低分后的算术平均值（当评标委员会成员人数为5人时不去掉最高和最低分），得分四舍五入，保留两位小数。</w:t>
            </w:r>
          </w:p>
          <w:p>
            <w:pPr>
              <w:spacing w:before="73" w:line="299" w:lineRule="auto"/>
              <w:ind w:left="78" w:right="71" w:firstLine="4"/>
              <w:rPr>
                <w:rFonts w:ascii="宋体" w:hAnsi="宋体" w:eastAsia="宋体" w:cs="宋体"/>
                <w:color w:val="auto"/>
                <w:spacing w:val="1"/>
                <w:highlight w:val="none"/>
              </w:rPr>
            </w:pPr>
            <w:r>
              <w:rPr>
                <w:rFonts w:hint="eastAsia" w:ascii="宋体" w:hAnsi="宋体" w:eastAsia="宋体" w:cs="宋体"/>
                <w:color w:val="auto"/>
                <w:spacing w:val="1"/>
                <w:highlight w:val="none"/>
              </w:rPr>
              <w:t>各评分因素（评标价和履约信誉评分项除外）得分一般不得低于其权重分值的60%，评标委员会成员对某一项评分因素的评分低于权重分值60%的，应在评标报告中作出说明。</w:t>
            </w:r>
          </w:p>
          <w:p>
            <w:pPr>
              <w:spacing w:before="73" w:line="299" w:lineRule="auto"/>
              <w:ind w:left="78" w:right="71" w:firstLine="4"/>
              <w:rPr>
                <w:rFonts w:ascii="宋体" w:hAnsi="宋体" w:eastAsia="宋体" w:cs="宋体"/>
                <w:color w:val="auto"/>
                <w:spacing w:val="1"/>
                <w:highlight w:val="none"/>
              </w:rPr>
            </w:pPr>
            <w:r>
              <w:rPr>
                <w:rFonts w:hint="eastAsia" w:ascii="宋体" w:hAnsi="宋体" w:eastAsia="宋体" w:cs="宋体"/>
                <w:color w:val="auto"/>
                <w:spacing w:val="1"/>
                <w:highlight w:val="none"/>
              </w:rPr>
              <w:t>3.6投标文件相关信息的核查</w:t>
            </w:r>
          </w:p>
          <w:p>
            <w:pPr>
              <w:spacing w:before="73" w:line="299" w:lineRule="auto"/>
              <w:ind w:left="78" w:right="71" w:firstLine="4"/>
              <w:rPr>
                <w:rFonts w:ascii="宋体" w:hAnsi="宋体" w:eastAsia="宋体" w:cs="宋体"/>
                <w:color w:val="auto"/>
                <w:spacing w:val="1"/>
                <w:highlight w:val="none"/>
              </w:rPr>
            </w:pPr>
            <w:r>
              <w:rPr>
                <w:rFonts w:hint="eastAsia" w:ascii="宋体" w:hAnsi="宋体" w:eastAsia="宋体" w:cs="宋体"/>
                <w:color w:val="auto"/>
                <w:spacing w:val="1"/>
                <w:highlight w:val="none"/>
              </w:rPr>
              <w:t>补充3.6.3投标人存在晋交建管发【2021】2号文规定的，否决其投标：</w:t>
            </w:r>
          </w:p>
          <w:p>
            <w:pPr>
              <w:spacing w:before="73" w:line="299" w:lineRule="auto"/>
              <w:ind w:left="78" w:right="71" w:firstLine="4"/>
              <w:rPr>
                <w:rFonts w:ascii="宋体" w:hAnsi="宋体" w:eastAsia="宋体" w:cs="宋体"/>
                <w:color w:val="auto"/>
                <w:spacing w:val="1"/>
                <w:highlight w:val="none"/>
              </w:rPr>
            </w:pPr>
            <w:r>
              <w:rPr>
                <w:rFonts w:hint="eastAsia" w:ascii="宋体" w:hAnsi="宋体" w:eastAsia="宋体" w:cs="宋体"/>
                <w:color w:val="auto"/>
                <w:spacing w:val="1"/>
                <w:highlight w:val="none"/>
              </w:rPr>
              <w:t>（1）不同投标人间不得有下列情形：</w:t>
            </w:r>
          </w:p>
          <w:p>
            <w:pPr>
              <w:spacing w:before="73" w:line="299" w:lineRule="auto"/>
              <w:ind w:left="78" w:right="71" w:firstLine="4"/>
              <w:rPr>
                <w:rFonts w:ascii="宋体" w:hAnsi="宋体" w:eastAsia="宋体" w:cs="宋体"/>
                <w:color w:val="auto"/>
                <w:spacing w:val="1"/>
                <w:highlight w:val="none"/>
              </w:rPr>
            </w:pPr>
            <w:r>
              <w:rPr>
                <w:rFonts w:hint="eastAsia" w:ascii="宋体" w:hAnsi="宋体" w:eastAsia="宋体" w:cs="宋体"/>
                <w:color w:val="auto"/>
                <w:spacing w:val="1"/>
                <w:highlight w:val="none"/>
              </w:rPr>
              <w:t>a.不同投标人的投标文件由同一电子设备编制、打印加密或者上传；</w:t>
            </w:r>
          </w:p>
          <w:p>
            <w:pPr>
              <w:spacing w:before="73" w:line="299" w:lineRule="auto"/>
              <w:ind w:left="78" w:right="71" w:firstLine="4"/>
              <w:rPr>
                <w:rFonts w:ascii="宋体" w:hAnsi="宋体" w:eastAsia="宋体" w:cs="宋体"/>
                <w:color w:val="auto"/>
                <w:spacing w:val="1"/>
                <w:highlight w:val="none"/>
              </w:rPr>
            </w:pPr>
            <w:r>
              <w:rPr>
                <w:rFonts w:hint="eastAsia" w:ascii="宋体" w:hAnsi="宋体" w:eastAsia="宋体" w:cs="宋体"/>
                <w:color w:val="auto"/>
                <w:spacing w:val="1"/>
                <w:highlight w:val="none"/>
              </w:rPr>
              <w:t>b.不同投标人的投标文件的实质性内容存在两处以上细节错误一致；</w:t>
            </w:r>
          </w:p>
          <w:p>
            <w:pPr>
              <w:spacing w:before="73" w:line="299" w:lineRule="auto"/>
              <w:ind w:left="78" w:right="71" w:firstLine="4"/>
              <w:rPr>
                <w:rFonts w:ascii="宋体" w:hAnsi="宋体" w:eastAsia="宋体" w:cs="宋体"/>
                <w:color w:val="auto"/>
                <w:spacing w:val="1"/>
                <w:highlight w:val="none"/>
              </w:rPr>
            </w:pPr>
            <w:r>
              <w:rPr>
                <w:rFonts w:hint="eastAsia" w:ascii="宋体" w:hAnsi="宋体" w:eastAsia="宋体" w:cs="宋体"/>
                <w:color w:val="auto"/>
                <w:spacing w:val="1"/>
                <w:highlight w:val="none"/>
              </w:rPr>
              <w:t>c.电子投标文件记录的MAC地址、硬盘序列号等硬件信息出现任一相同情况，包含不同投标人在不同批次投标活动中信息相同情况；</w:t>
            </w:r>
          </w:p>
          <w:p>
            <w:pPr>
              <w:spacing w:before="73" w:line="299" w:lineRule="auto"/>
              <w:ind w:left="78" w:right="71" w:firstLine="4"/>
              <w:rPr>
                <w:rFonts w:ascii="宋体" w:hAnsi="宋体" w:eastAsia="宋体" w:cs="宋体"/>
                <w:color w:val="auto"/>
                <w:spacing w:val="1"/>
                <w:highlight w:val="none"/>
              </w:rPr>
            </w:pPr>
            <w:r>
              <w:rPr>
                <w:rFonts w:hint="eastAsia" w:ascii="宋体" w:hAnsi="宋体" w:eastAsia="宋体" w:cs="宋体"/>
                <w:color w:val="auto"/>
                <w:spacing w:val="1"/>
                <w:highlight w:val="none"/>
              </w:rPr>
              <w:t>d.投标文件的制作、记录上传IP地址，投标人购买招标文件IP地址等信息出现任一相同情况。</w:t>
            </w:r>
          </w:p>
          <w:p>
            <w:pPr>
              <w:spacing w:before="73" w:line="299" w:lineRule="auto"/>
              <w:ind w:left="78" w:right="71" w:firstLine="4"/>
              <w:rPr>
                <w:rFonts w:ascii="宋体" w:hAnsi="宋体" w:eastAsia="宋体" w:cs="宋体"/>
                <w:color w:val="auto"/>
                <w:spacing w:val="1"/>
                <w:highlight w:val="none"/>
              </w:rPr>
            </w:pPr>
            <w:r>
              <w:rPr>
                <w:rFonts w:hint="eastAsia" w:ascii="宋体" w:hAnsi="宋体" w:eastAsia="宋体" w:cs="宋体"/>
                <w:color w:val="auto"/>
                <w:spacing w:val="1"/>
                <w:highlight w:val="none"/>
              </w:rPr>
              <w:t>（2）发现（1）所列情形的，评标委员会应当否决相应投标文件并详细记录至评标报告。因此导致有效投标不足3个使得投标明显缺乏竞争的，可以否决全部投标；未否决全部投标的，评标委员会应当在评标报告中阐明理由并推荐中标候选人。</w:t>
            </w:r>
          </w:p>
          <w:p>
            <w:pPr>
              <w:spacing w:before="73" w:line="299" w:lineRule="auto"/>
              <w:ind w:left="78" w:right="71" w:firstLine="4"/>
              <w:rPr>
                <w:rFonts w:ascii="宋体" w:hAnsi="宋体" w:eastAsia="宋体" w:cs="宋体"/>
                <w:color w:val="auto"/>
                <w:spacing w:val="1"/>
                <w:highlight w:val="none"/>
              </w:rPr>
            </w:pPr>
            <w:r>
              <w:rPr>
                <w:rFonts w:hint="eastAsia" w:ascii="宋体" w:hAnsi="宋体" w:eastAsia="宋体" w:cs="宋体"/>
                <w:color w:val="auto"/>
                <w:spacing w:val="1"/>
                <w:highlight w:val="none"/>
              </w:rPr>
              <w:t>（3）发现（1）所列情形的，招标人在评标结束后，应就相关投标人是否涉嫌围标串标行为进行调查取证，形成明确认定意见，逐级备案至交通运输主管部门。</w:t>
            </w:r>
          </w:p>
          <w:p>
            <w:pPr>
              <w:spacing w:before="73" w:line="299" w:lineRule="auto"/>
              <w:ind w:left="78" w:right="71" w:firstLine="4"/>
              <w:rPr>
                <w:rFonts w:ascii="宋体" w:hAnsi="宋体" w:eastAsia="宋体" w:cs="宋体"/>
                <w:color w:val="auto"/>
                <w:spacing w:val="1"/>
                <w:highlight w:val="none"/>
              </w:rPr>
            </w:pPr>
            <w:r>
              <w:rPr>
                <w:rFonts w:hint="eastAsia" w:ascii="宋体" w:hAnsi="宋体" w:eastAsia="宋体" w:cs="宋体"/>
                <w:color w:val="auto"/>
                <w:spacing w:val="1"/>
                <w:highlight w:val="none"/>
              </w:rPr>
              <w:t>第3.9款内容细化如下：</w:t>
            </w:r>
          </w:p>
          <w:p>
            <w:pPr>
              <w:spacing w:before="73" w:line="299" w:lineRule="auto"/>
              <w:ind w:left="78" w:right="71" w:firstLine="4"/>
              <w:rPr>
                <w:rFonts w:ascii="宋体" w:hAnsi="宋体" w:eastAsia="宋体" w:cs="宋体"/>
                <w:color w:val="auto"/>
                <w:spacing w:val="1"/>
                <w:highlight w:val="none"/>
              </w:rPr>
            </w:pPr>
            <w:r>
              <w:rPr>
                <w:rFonts w:hint="eastAsia" w:ascii="宋体" w:hAnsi="宋体" w:eastAsia="宋体" w:cs="宋体"/>
                <w:color w:val="auto"/>
                <w:spacing w:val="1"/>
                <w:highlight w:val="none"/>
              </w:rPr>
              <w:t>3.9   评标结果</w:t>
            </w:r>
          </w:p>
          <w:p>
            <w:pPr>
              <w:spacing w:before="73" w:line="299" w:lineRule="auto"/>
              <w:ind w:left="78" w:right="71" w:firstLine="4"/>
              <w:rPr>
                <w:rFonts w:ascii="宋体" w:hAnsi="宋体" w:eastAsia="宋体" w:cs="宋体"/>
                <w:color w:val="auto"/>
                <w:spacing w:val="1"/>
                <w:highlight w:val="none"/>
              </w:rPr>
            </w:pPr>
            <w:r>
              <w:rPr>
                <w:rFonts w:hint="eastAsia" w:ascii="宋体" w:hAnsi="宋体" w:eastAsia="宋体" w:cs="宋体"/>
                <w:color w:val="auto"/>
                <w:spacing w:val="1"/>
                <w:highlight w:val="none"/>
              </w:rPr>
              <w:t>3.9.1 评标委员会根据投标人得分由高到低的顺序，推荐1名中标候选人。</w:t>
            </w:r>
          </w:p>
          <w:p>
            <w:pPr>
              <w:spacing w:before="73" w:line="299" w:lineRule="auto"/>
              <w:ind w:left="78" w:right="71" w:firstLine="4"/>
              <w:rPr>
                <w:rFonts w:ascii="宋体" w:hAnsi="宋体" w:eastAsia="宋体" w:cs="宋体"/>
                <w:color w:val="auto"/>
                <w:highlight w:val="none"/>
              </w:rPr>
            </w:pPr>
            <w:r>
              <w:rPr>
                <w:rFonts w:hint="eastAsia" w:ascii="宋体" w:hAnsi="宋体" w:eastAsia="宋体" w:cs="宋体"/>
                <w:color w:val="auto"/>
                <w:spacing w:val="1"/>
                <w:highlight w:val="none"/>
              </w:rPr>
              <w:t>3.9.2 评标委员会完成评标后，应当向招标人提交书面评标报告并推荐中标候选人。</w:t>
            </w:r>
          </w:p>
        </w:tc>
      </w:tr>
    </w:tbl>
    <w:p>
      <w:pPr>
        <w:rPr>
          <w:rFonts w:ascii="宋体" w:hAnsi="宋体" w:eastAsia="宋体" w:cs="宋体"/>
          <w:b/>
          <w:bCs/>
          <w:color w:val="auto"/>
          <w:spacing w:val="-2"/>
          <w:sz w:val="24"/>
          <w:szCs w:val="24"/>
          <w:highlight w:val="none"/>
        </w:rPr>
      </w:pPr>
      <w:bookmarkStart w:id="1" w:name="_Toc29801"/>
      <w:r>
        <w:rPr>
          <w:rFonts w:hint="eastAsia" w:ascii="宋体" w:hAnsi="宋体" w:eastAsia="宋体" w:cs="宋体"/>
          <w:b/>
          <w:bCs/>
          <w:color w:val="auto"/>
          <w:spacing w:val="-2"/>
          <w:sz w:val="24"/>
          <w:szCs w:val="24"/>
          <w:highlight w:val="none"/>
        </w:rPr>
        <w:br w:type="page"/>
      </w:r>
    </w:p>
    <w:p>
      <w:pPr>
        <w:spacing w:before="78" w:line="220" w:lineRule="auto"/>
        <w:ind w:firstLine="44"/>
        <w:outlineLvl w:val="1"/>
        <w:rPr>
          <w:rFonts w:ascii="宋体" w:hAnsi="宋体" w:eastAsia="宋体" w:cs="宋体"/>
          <w:color w:val="auto"/>
          <w:sz w:val="24"/>
          <w:szCs w:val="24"/>
          <w:highlight w:val="none"/>
        </w:rPr>
      </w:pPr>
      <w:r>
        <w:rPr>
          <w:rFonts w:hint="eastAsia" w:ascii="宋体" w:hAnsi="宋体" w:eastAsia="宋体" w:cs="宋体"/>
          <w:b/>
          <w:bCs/>
          <w:color w:val="auto"/>
          <w:spacing w:val="-2"/>
          <w:sz w:val="24"/>
          <w:szCs w:val="24"/>
          <w:highlight w:val="none"/>
        </w:rPr>
        <w:t>1.</w:t>
      </w:r>
      <w:r>
        <w:rPr>
          <w:rFonts w:hint="eastAsia" w:ascii="宋体" w:hAnsi="宋体" w:eastAsia="宋体" w:cs="宋体"/>
          <w:color w:val="auto"/>
          <w:spacing w:val="-2"/>
          <w:sz w:val="24"/>
          <w:szCs w:val="24"/>
          <w:highlight w:val="none"/>
        </w:rPr>
        <w:t>评标方法</w:t>
      </w:r>
      <w:bookmarkEnd w:id="1"/>
    </w:p>
    <w:p>
      <w:pPr>
        <w:spacing w:before="173" w:line="361" w:lineRule="auto"/>
        <w:ind w:left="37" w:right="23" w:firstLine="42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本次评标采用综合评分法</w:t>
      </w:r>
      <w:r>
        <w:rPr>
          <w:rFonts w:hint="eastAsia" w:ascii="宋体" w:hAnsi="宋体" w:eastAsia="宋体" w:cs="宋体"/>
          <w:color w:val="auto"/>
          <w:spacing w:val="-60"/>
          <w:sz w:val="24"/>
          <w:szCs w:val="24"/>
          <w:highlight w:val="none"/>
        </w:rPr>
        <w:t>。</w:t>
      </w:r>
      <w:r>
        <w:rPr>
          <w:rFonts w:hint="eastAsia" w:ascii="宋体" w:hAnsi="宋体" w:eastAsia="宋体" w:cs="宋体"/>
          <w:color w:val="auto"/>
          <w:sz w:val="24"/>
          <w:szCs w:val="24"/>
          <w:highlight w:val="none"/>
        </w:rPr>
        <w:t>评标委员会对满足招标文件实质性要求的投标文件</w:t>
      </w:r>
      <w:r>
        <w:rPr>
          <w:rFonts w:hint="eastAsia" w:ascii="宋体" w:hAnsi="宋体" w:eastAsia="宋体" w:cs="宋体"/>
          <w:color w:val="auto"/>
          <w:spacing w:val="-60"/>
          <w:sz w:val="24"/>
          <w:szCs w:val="24"/>
          <w:highlight w:val="none"/>
        </w:rPr>
        <w:t>，</w:t>
      </w:r>
      <w:r>
        <w:rPr>
          <w:rFonts w:hint="eastAsia" w:ascii="宋体" w:hAnsi="宋体" w:eastAsia="宋体" w:cs="宋体"/>
          <w:color w:val="auto"/>
          <w:spacing w:val="-105"/>
          <w:sz w:val="24"/>
          <w:szCs w:val="24"/>
          <w:highlight w:val="none"/>
        </w:rPr>
        <w:t xml:space="preserve"> </w:t>
      </w:r>
      <w:r>
        <w:rPr>
          <w:rFonts w:hint="eastAsia" w:ascii="宋体" w:hAnsi="宋体" w:eastAsia="宋体" w:cs="宋体"/>
          <w:color w:val="auto"/>
          <w:sz w:val="24"/>
          <w:szCs w:val="24"/>
          <w:highlight w:val="none"/>
        </w:rPr>
        <w:t>按照本章第</w:t>
      </w:r>
      <w:r>
        <w:rPr>
          <w:rFonts w:hint="eastAsia" w:ascii="宋体" w:hAnsi="宋体" w:eastAsia="宋体" w:cs="宋体"/>
          <w:color w:val="auto"/>
          <w:spacing w:val="-1"/>
          <w:sz w:val="24"/>
          <w:szCs w:val="24"/>
          <w:highlight w:val="none"/>
        </w:rPr>
        <w:t xml:space="preserve"> </w:t>
      </w:r>
      <w:r>
        <w:rPr>
          <w:rFonts w:hint="eastAsia" w:ascii="宋体" w:hAnsi="宋体" w:eastAsia="宋体" w:cs="宋体"/>
          <w:color w:val="auto"/>
          <w:sz w:val="24"/>
          <w:szCs w:val="24"/>
          <w:highlight w:val="none"/>
        </w:rPr>
        <w:t xml:space="preserve">2.2 </w:t>
      </w:r>
      <w:r>
        <w:rPr>
          <w:rFonts w:hint="eastAsia" w:ascii="宋体" w:hAnsi="宋体" w:eastAsia="宋体" w:cs="宋体"/>
          <w:color w:val="auto"/>
          <w:spacing w:val="1"/>
          <w:sz w:val="24"/>
          <w:szCs w:val="24"/>
          <w:highlight w:val="none"/>
        </w:rPr>
        <w:t>款规定的评分标准进行打分，并按得分由高到低顺序推荐中标候选人，或根据招</w:t>
      </w:r>
      <w:r>
        <w:rPr>
          <w:rFonts w:hint="eastAsia" w:ascii="宋体" w:hAnsi="宋体" w:eastAsia="宋体" w:cs="宋体"/>
          <w:color w:val="auto"/>
          <w:sz w:val="24"/>
          <w:szCs w:val="24"/>
          <w:highlight w:val="none"/>
        </w:rPr>
        <w:t>标人授权直接确定</w:t>
      </w:r>
      <w:r>
        <w:rPr>
          <w:rFonts w:hint="eastAsia" w:ascii="宋体" w:hAnsi="宋体" w:eastAsia="宋体" w:cs="宋体"/>
          <w:color w:val="auto"/>
          <w:spacing w:val="1"/>
          <w:sz w:val="24"/>
          <w:szCs w:val="24"/>
          <w:highlight w:val="none"/>
        </w:rPr>
        <w:t>中标人，但投标报价低于其成本的除外。综合评分相等时，评标委员会应按照评</w:t>
      </w:r>
      <w:r>
        <w:rPr>
          <w:rFonts w:hint="eastAsia" w:ascii="宋体" w:hAnsi="宋体" w:eastAsia="宋体" w:cs="宋体"/>
          <w:color w:val="auto"/>
          <w:sz w:val="24"/>
          <w:szCs w:val="24"/>
          <w:highlight w:val="none"/>
        </w:rPr>
        <w:t>标办法前附表规定 的优先次序推荐中标候选人或确定中标人</w:t>
      </w:r>
      <w:r>
        <w:rPr>
          <w:rFonts w:hint="eastAsia" w:ascii="宋体" w:hAnsi="宋体" w:eastAsia="宋体" w:cs="宋体"/>
          <w:color w:val="auto"/>
          <w:spacing w:val="-4"/>
          <w:sz w:val="24"/>
          <w:szCs w:val="24"/>
          <w:highlight w:val="none"/>
        </w:rPr>
        <w:t>。</w:t>
      </w:r>
    </w:p>
    <w:p>
      <w:pPr>
        <w:spacing w:line="459" w:lineRule="exact"/>
        <w:ind w:firstLine="34"/>
        <w:outlineLvl w:val="1"/>
        <w:rPr>
          <w:rFonts w:ascii="宋体" w:hAnsi="宋体" w:eastAsia="宋体" w:cs="宋体"/>
          <w:color w:val="auto"/>
          <w:sz w:val="24"/>
          <w:szCs w:val="24"/>
          <w:highlight w:val="none"/>
        </w:rPr>
      </w:pPr>
      <w:bookmarkStart w:id="2" w:name="_Toc23561"/>
      <w:r>
        <w:rPr>
          <w:rFonts w:hint="eastAsia" w:ascii="宋体" w:hAnsi="宋体" w:eastAsia="宋体" w:cs="宋体"/>
          <w:b/>
          <w:bCs/>
          <w:color w:val="auto"/>
          <w:spacing w:val="-1"/>
          <w:position w:val="16"/>
          <w:sz w:val="24"/>
          <w:szCs w:val="24"/>
          <w:highlight w:val="none"/>
        </w:rPr>
        <w:t>2.</w:t>
      </w:r>
      <w:r>
        <w:rPr>
          <w:rFonts w:hint="eastAsia" w:ascii="宋体" w:hAnsi="宋体" w:eastAsia="宋体" w:cs="宋体"/>
          <w:color w:val="auto"/>
          <w:position w:val="16"/>
          <w:sz w:val="24"/>
          <w:szCs w:val="24"/>
          <w:highlight w:val="none"/>
        </w:rPr>
        <w:t>评审标准</w:t>
      </w:r>
      <w:bookmarkEnd w:id="2"/>
    </w:p>
    <w:p>
      <w:pPr>
        <w:spacing w:line="220" w:lineRule="auto"/>
        <w:ind w:firstLine="33"/>
        <w:outlineLvl w:val="2"/>
        <w:rPr>
          <w:rFonts w:ascii="宋体" w:hAnsi="宋体" w:eastAsia="宋体" w:cs="宋体"/>
          <w:color w:val="auto"/>
          <w:sz w:val="24"/>
          <w:szCs w:val="24"/>
          <w:highlight w:val="none"/>
        </w:rPr>
      </w:pPr>
      <w:bookmarkStart w:id="3" w:name="_Toc4287"/>
      <w:r>
        <w:rPr>
          <w:rFonts w:hint="eastAsia" w:ascii="宋体" w:hAnsi="宋体" w:eastAsia="宋体" w:cs="宋体"/>
          <w:b/>
          <w:bCs/>
          <w:color w:val="auto"/>
          <w:sz w:val="24"/>
          <w:szCs w:val="24"/>
          <w:highlight w:val="none"/>
        </w:rPr>
        <w:t>2.1</w:t>
      </w:r>
      <w:r>
        <w:rPr>
          <w:rFonts w:hint="eastAsia" w:ascii="宋体" w:hAnsi="宋体" w:eastAsia="宋体" w:cs="宋体"/>
          <w:color w:val="auto"/>
          <w:spacing w:val="1"/>
          <w:sz w:val="24"/>
          <w:szCs w:val="24"/>
          <w:highlight w:val="none"/>
        </w:rPr>
        <w:t xml:space="preserve"> </w:t>
      </w:r>
      <w:r>
        <w:rPr>
          <w:rFonts w:hint="eastAsia" w:ascii="宋体" w:hAnsi="宋体" w:eastAsia="宋体" w:cs="宋体"/>
          <w:color w:val="auto"/>
          <w:sz w:val="24"/>
          <w:szCs w:val="24"/>
          <w:highlight w:val="none"/>
        </w:rPr>
        <w:t>初步评审标准</w:t>
      </w:r>
      <w:bookmarkEnd w:id="3"/>
    </w:p>
    <w:p>
      <w:pPr>
        <w:spacing w:before="156" w:line="220" w:lineRule="auto"/>
        <w:ind w:firstLine="453"/>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2.1.1</w:t>
      </w:r>
      <w:r>
        <w:rPr>
          <w:rFonts w:hint="eastAsia" w:ascii="宋体" w:hAnsi="宋体" w:eastAsia="宋体" w:cs="宋体"/>
          <w:color w:val="auto"/>
          <w:spacing w:val="-1"/>
          <w:sz w:val="24"/>
          <w:szCs w:val="24"/>
          <w:highlight w:val="none"/>
        </w:rPr>
        <w:t xml:space="preserve"> </w:t>
      </w:r>
      <w:r>
        <w:rPr>
          <w:rFonts w:hint="eastAsia" w:ascii="宋体" w:hAnsi="宋体" w:eastAsia="宋体" w:cs="宋体"/>
          <w:color w:val="auto"/>
          <w:sz w:val="24"/>
          <w:szCs w:val="24"/>
          <w:highlight w:val="none"/>
        </w:rPr>
        <w:t>形式评审标准</w:t>
      </w:r>
      <w:r>
        <w:rPr>
          <w:rFonts w:hint="eastAsia" w:ascii="宋体" w:hAnsi="宋体" w:eastAsia="宋体" w:cs="宋体"/>
          <w:color w:val="auto"/>
          <w:spacing w:val="-8"/>
          <w:sz w:val="24"/>
          <w:szCs w:val="24"/>
          <w:highlight w:val="none"/>
        </w:rPr>
        <w:t>：</w:t>
      </w:r>
      <w:r>
        <w:rPr>
          <w:rFonts w:hint="eastAsia" w:ascii="宋体" w:hAnsi="宋体" w:eastAsia="宋体" w:cs="宋体"/>
          <w:color w:val="auto"/>
          <w:sz w:val="24"/>
          <w:szCs w:val="24"/>
          <w:highlight w:val="none"/>
        </w:rPr>
        <w:t>见评标办法前附表</w:t>
      </w:r>
      <w:r>
        <w:rPr>
          <w:rFonts w:hint="eastAsia" w:ascii="宋体" w:hAnsi="宋体" w:eastAsia="宋体" w:cs="宋体"/>
          <w:color w:val="auto"/>
          <w:spacing w:val="-8"/>
          <w:sz w:val="24"/>
          <w:szCs w:val="24"/>
          <w:highlight w:val="none"/>
        </w:rPr>
        <w:t>。</w:t>
      </w:r>
    </w:p>
    <w:p>
      <w:pPr>
        <w:spacing w:before="161" w:line="220" w:lineRule="auto"/>
        <w:ind w:firstLine="453"/>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2.1.2</w:t>
      </w:r>
      <w:r>
        <w:rPr>
          <w:rFonts w:hint="eastAsia" w:ascii="宋体" w:hAnsi="宋体" w:eastAsia="宋体" w:cs="宋体"/>
          <w:color w:val="auto"/>
          <w:spacing w:val="-1"/>
          <w:sz w:val="24"/>
          <w:szCs w:val="24"/>
          <w:highlight w:val="none"/>
        </w:rPr>
        <w:t xml:space="preserve"> </w:t>
      </w:r>
      <w:r>
        <w:rPr>
          <w:rFonts w:hint="eastAsia" w:ascii="宋体" w:hAnsi="宋体" w:eastAsia="宋体" w:cs="宋体"/>
          <w:color w:val="auto"/>
          <w:sz w:val="24"/>
          <w:szCs w:val="24"/>
          <w:highlight w:val="none"/>
        </w:rPr>
        <w:t>资格评审标准</w:t>
      </w:r>
      <w:r>
        <w:rPr>
          <w:rFonts w:hint="eastAsia" w:ascii="宋体" w:hAnsi="宋体" w:eastAsia="宋体" w:cs="宋体"/>
          <w:color w:val="auto"/>
          <w:spacing w:val="-8"/>
          <w:sz w:val="24"/>
          <w:szCs w:val="24"/>
          <w:highlight w:val="none"/>
        </w:rPr>
        <w:t>：</w:t>
      </w:r>
      <w:r>
        <w:rPr>
          <w:rFonts w:hint="eastAsia" w:ascii="宋体" w:hAnsi="宋体" w:eastAsia="宋体" w:cs="宋体"/>
          <w:color w:val="auto"/>
          <w:sz w:val="24"/>
          <w:szCs w:val="24"/>
          <w:highlight w:val="none"/>
        </w:rPr>
        <w:t>见评标办法前附表</w:t>
      </w:r>
      <w:r>
        <w:rPr>
          <w:rFonts w:hint="eastAsia" w:ascii="宋体" w:hAnsi="宋体" w:eastAsia="宋体" w:cs="宋体"/>
          <w:color w:val="auto"/>
          <w:spacing w:val="-8"/>
          <w:sz w:val="24"/>
          <w:szCs w:val="24"/>
          <w:highlight w:val="none"/>
        </w:rPr>
        <w:t>。</w:t>
      </w:r>
    </w:p>
    <w:p>
      <w:pPr>
        <w:spacing w:before="158" w:line="220" w:lineRule="auto"/>
        <w:ind w:firstLine="453"/>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2.1.3 响应性评审标准</w:t>
      </w:r>
      <w:r>
        <w:rPr>
          <w:rFonts w:hint="eastAsia" w:ascii="宋体" w:hAnsi="宋体" w:eastAsia="宋体" w:cs="宋体"/>
          <w:color w:val="auto"/>
          <w:spacing w:val="-1"/>
          <w:sz w:val="24"/>
          <w:szCs w:val="24"/>
          <w:highlight w:val="none"/>
        </w:rPr>
        <w:t>：</w:t>
      </w:r>
      <w:r>
        <w:rPr>
          <w:rFonts w:hint="eastAsia" w:ascii="宋体" w:hAnsi="宋体" w:eastAsia="宋体" w:cs="宋体"/>
          <w:color w:val="auto"/>
          <w:spacing w:val="-105"/>
          <w:sz w:val="24"/>
          <w:szCs w:val="24"/>
          <w:highlight w:val="none"/>
        </w:rPr>
        <w:t xml:space="preserve"> </w:t>
      </w:r>
      <w:r>
        <w:rPr>
          <w:rFonts w:hint="eastAsia" w:ascii="宋体" w:hAnsi="宋体" w:eastAsia="宋体" w:cs="宋体"/>
          <w:color w:val="auto"/>
          <w:sz w:val="24"/>
          <w:szCs w:val="24"/>
          <w:highlight w:val="none"/>
        </w:rPr>
        <w:t>见评标办法前附表</w:t>
      </w:r>
      <w:r>
        <w:rPr>
          <w:rFonts w:hint="eastAsia" w:ascii="宋体" w:hAnsi="宋体" w:eastAsia="宋体" w:cs="宋体"/>
          <w:color w:val="auto"/>
          <w:spacing w:val="-1"/>
          <w:sz w:val="24"/>
          <w:szCs w:val="24"/>
          <w:highlight w:val="none"/>
        </w:rPr>
        <w:t>。</w:t>
      </w:r>
    </w:p>
    <w:p>
      <w:pPr>
        <w:spacing w:before="157" w:line="221" w:lineRule="auto"/>
        <w:ind w:firstLine="33"/>
        <w:outlineLvl w:val="2"/>
        <w:rPr>
          <w:rFonts w:ascii="宋体" w:hAnsi="宋体" w:eastAsia="宋体" w:cs="宋体"/>
          <w:color w:val="auto"/>
          <w:sz w:val="24"/>
          <w:szCs w:val="24"/>
          <w:highlight w:val="none"/>
        </w:rPr>
      </w:pPr>
      <w:bookmarkStart w:id="4" w:name="_Toc21389"/>
      <w:r>
        <w:rPr>
          <w:rFonts w:hint="eastAsia" w:ascii="宋体" w:hAnsi="宋体" w:eastAsia="宋体" w:cs="宋体"/>
          <w:b/>
          <w:bCs/>
          <w:color w:val="auto"/>
          <w:spacing w:val="1"/>
          <w:sz w:val="24"/>
          <w:szCs w:val="24"/>
          <w:highlight w:val="none"/>
        </w:rPr>
        <w:t>2.2</w:t>
      </w:r>
      <w:r>
        <w:rPr>
          <w:rFonts w:hint="eastAsia" w:ascii="宋体" w:hAnsi="宋体" w:eastAsia="宋体" w:cs="宋体"/>
          <w:color w:val="auto"/>
          <w:spacing w:val="1"/>
          <w:sz w:val="24"/>
          <w:szCs w:val="24"/>
          <w:highlight w:val="none"/>
        </w:rPr>
        <w:t xml:space="preserve"> 分</w:t>
      </w:r>
      <w:r>
        <w:rPr>
          <w:rFonts w:hint="eastAsia" w:ascii="宋体" w:hAnsi="宋体" w:eastAsia="宋体" w:cs="宋体"/>
          <w:color w:val="auto"/>
          <w:sz w:val="24"/>
          <w:szCs w:val="24"/>
          <w:highlight w:val="none"/>
        </w:rPr>
        <w:t>值构成与评分标准</w:t>
      </w:r>
      <w:bookmarkEnd w:id="4"/>
    </w:p>
    <w:p>
      <w:pPr>
        <w:spacing w:before="157" w:line="221" w:lineRule="auto"/>
        <w:ind w:firstLine="453"/>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2.2.1</w:t>
      </w:r>
      <w:r>
        <w:rPr>
          <w:rFonts w:hint="eastAsia" w:ascii="宋体" w:hAnsi="宋体" w:eastAsia="宋体" w:cs="宋体"/>
          <w:color w:val="auto"/>
          <w:spacing w:val="-2"/>
          <w:sz w:val="24"/>
          <w:szCs w:val="24"/>
          <w:highlight w:val="none"/>
        </w:rPr>
        <w:t xml:space="preserve"> </w:t>
      </w:r>
      <w:r>
        <w:rPr>
          <w:rFonts w:hint="eastAsia" w:ascii="宋体" w:hAnsi="宋体" w:eastAsia="宋体" w:cs="宋体"/>
          <w:color w:val="auto"/>
          <w:sz w:val="24"/>
          <w:szCs w:val="24"/>
          <w:highlight w:val="none"/>
        </w:rPr>
        <w:t>分值构成</w:t>
      </w:r>
    </w:p>
    <w:p>
      <w:pPr>
        <w:spacing w:before="157" w:line="213" w:lineRule="auto"/>
        <w:ind w:firstLine="457"/>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(1)技术建议书</w:t>
      </w:r>
      <w:r>
        <w:rPr>
          <w:rFonts w:hint="eastAsia" w:ascii="宋体" w:hAnsi="宋体" w:eastAsia="宋体" w:cs="宋体"/>
          <w:color w:val="auto"/>
          <w:spacing w:val="-15"/>
          <w:sz w:val="24"/>
          <w:szCs w:val="24"/>
          <w:highlight w:val="none"/>
        </w:rPr>
        <w:t>：</w:t>
      </w:r>
      <w:r>
        <w:rPr>
          <w:rFonts w:hint="eastAsia" w:ascii="宋体" w:hAnsi="宋体" w:eastAsia="宋体" w:cs="宋体"/>
          <w:color w:val="auto"/>
          <w:sz w:val="24"/>
          <w:szCs w:val="24"/>
          <w:highlight w:val="none"/>
        </w:rPr>
        <w:t>见评标办法前附表</w:t>
      </w:r>
      <w:r>
        <w:rPr>
          <w:rFonts w:hint="eastAsia" w:ascii="宋体" w:hAnsi="宋体" w:eastAsia="宋体" w:cs="宋体"/>
          <w:color w:val="auto"/>
          <w:spacing w:val="-15"/>
          <w:sz w:val="24"/>
          <w:szCs w:val="24"/>
          <w:highlight w:val="none"/>
        </w:rPr>
        <w:t>；</w:t>
      </w:r>
    </w:p>
    <w:p>
      <w:pPr>
        <w:spacing w:before="168" w:line="213" w:lineRule="auto"/>
        <w:ind w:firstLine="457"/>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(2)主要人员</w:t>
      </w:r>
      <w:r>
        <w:rPr>
          <w:rFonts w:hint="eastAsia" w:ascii="宋体" w:hAnsi="宋体" w:eastAsia="宋体" w:cs="宋体"/>
          <w:color w:val="auto"/>
          <w:spacing w:val="-3"/>
          <w:sz w:val="24"/>
          <w:szCs w:val="24"/>
          <w:highlight w:val="none"/>
        </w:rPr>
        <w:t>：</w:t>
      </w:r>
      <w:r>
        <w:rPr>
          <w:rFonts w:hint="eastAsia" w:ascii="宋体" w:hAnsi="宋体" w:eastAsia="宋体" w:cs="宋体"/>
          <w:color w:val="auto"/>
          <w:spacing w:val="-105"/>
          <w:sz w:val="24"/>
          <w:szCs w:val="24"/>
          <w:highlight w:val="none"/>
        </w:rPr>
        <w:t xml:space="preserve"> </w:t>
      </w:r>
      <w:r>
        <w:rPr>
          <w:rFonts w:hint="eastAsia" w:ascii="宋体" w:hAnsi="宋体" w:eastAsia="宋体" w:cs="宋体"/>
          <w:color w:val="auto"/>
          <w:sz w:val="24"/>
          <w:szCs w:val="24"/>
          <w:highlight w:val="none"/>
        </w:rPr>
        <w:t>见评标办法前附表</w:t>
      </w:r>
      <w:r>
        <w:rPr>
          <w:rFonts w:hint="eastAsia" w:ascii="宋体" w:hAnsi="宋体" w:eastAsia="宋体" w:cs="宋体"/>
          <w:color w:val="auto"/>
          <w:spacing w:val="-2"/>
          <w:sz w:val="24"/>
          <w:szCs w:val="24"/>
          <w:highlight w:val="none"/>
        </w:rPr>
        <w:t>；</w:t>
      </w:r>
    </w:p>
    <w:p>
      <w:pPr>
        <w:spacing w:before="166" w:line="213" w:lineRule="auto"/>
        <w:ind w:firstLine="457"/>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(3)评标价</w:t>
      </w:r>
      <w:r>
        <w:rPr>
          <w:rFonts w:hint="eastAsia" w:ascii="宋体" w:hAnsi="宋体" w:eastAsia="宋体" w:cs="宋体"/>
          <w:color w:val="auto"/>
          <w:spacing w:val="-20"/>
          <w:sz w:val="24"/>
          <w:szCs w:val="24"/>
          <w:highlight w:val="none"/>
        </w:rPr>
        <w:t>：</w:t>
      </w:r>
      <w:r>
        <w:rPr>
          <w:rFonts w:hint="eastAsia" w:ascii="宋体" w:hAnsi="宋体" w:eastAsia="宋体" w:cs="宋体"/>
          <w:color w:val="auto"/>
          <w:sz w:val="24"/>
          <w:szCs w:val="24"/>
          <w:highlight w:val="none"/>
        </w:rPr>
        <w:t>见评标办法則附表</w:t>
      </w:r>
      <w:r>
        <w:rPr>
          <w:rFonts w:hint="eastAsia" w:ascii="宋体" w:hAnsi="宋体" w:eastAsia="宋体" w:cs="宋体"/>
          <w:color w:val="auto"/>
          <w:spacing w:val="-19"/>
          <w:sz w:val="24"/>
          <w:szCs w:val="24"/>
          <w:highlight w:val="none"/>
        </w:rPr>
        <w:t>；</w:t>
      </w:r>
    </w:p>
    <w:p>
      <w:pPr>
        <w:spacing w:before="166" w:line="213" w:lineRule="auto"/>
        <w:ind w:firstLine="457"/>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(4)其他评分因素</w:t>
      </w:r>
      <w:r>
        <w:rPr>
          <w:rFonts w:hint="eastAsia" w:ascii="宋体" w:hAnsi="宋体" w:eastAsia="宋体" w:cs="宋体"/>
          <w:color w:val="auto"/>
          <w:spacing w:val="-3"/>
          <w:sz w:val="24"/>
          <w:szCs w:val="24"/>
          <w:highlight w:val="none"/>
        </w:rPr>
        <w:t>：</w:t>
      </w:r>
      <w:r>
        <w:rPr>
          <w:rFonts w:hint="eastAsia" w:ascii="宋体" w:hAnsi="宋体" w:eastAsia="宋体" w:cs="宋体"/>
          <w:color w:val="auto"/>
          <w:spacing w:val="-105"/>
          <w:sz w:val="24"/>
          <w:szCs w:val="24"/>
          <w:highlight w:val="none"/>
        </w:rPr>
        <w:t xml:space="preserve"> </w:t>
      </w:r>
      <w:r>
        <w:rPr>
          <w:rFonts w:hint="eastAsia" w:ascii="宋体" w:hAnsi="宋体" w:eastAsia="宋体" w:cs="宋体"/>
          <w:color w:val="auto"/>
          <w:sz w:val="24"/>
          <w:szCs w:val="24"/>
          <w:highlight w:val="none"/>
        </w:rPr>
        <w:t>见评标办法前附表</w:t>
      </w:r>
      <w:r>
        <w:rPr>
          <w:rFonts w:hint="eastAsia" w:ascii="宋体" w:hAnsi="宋体" w:eastAsia="宋体" w:cs="宋体"/>
          <w:color w:val="auto"/>
          <w:spacing w:val="-2"/>
          <w:sz w:val="24"/>
          <w:szCs w:val="24"/>
          <w:highlight w:val="none"/>
        </w:rPr>
        <w:t>。</w:t>
      </w:r>
    </w:p>
    <w:p>
      <w:pPr>
        <w:spacing w:before="166" w:line="219" w:lineRule="auto"/>
        <w:ind w:firstLine="453"/>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2.2.2</w:t>
      </w:r>
      <w:r>
        <w:rPr>
          <w:rFonts w:hint="eastAsia" w:ascii="宋体" w:hAnsi="宋体" w:eastAsia="宋体" w:cs="宋体"/>
          <w:color w:val="auto"/>
          <w:spacing w:val="-2"/>
          <w:sz w:val="24"/>
          <w:szCs w:val="24"/>
          <w:highlight w:val="none"/>
        </w:rPr>
        <w:t xml:space="preserve"> </w:t>
      </w:r>
      <w:r>
        <w:rPr>
          <w:rFonts w:hint="eastAsia" w:ascii="宋体" w:hAnsi="宋体" w:eastAsia="宋体" w:cs="宋体"/>
          <w:color w:val="auto"/>
          <w:sz w:val="24"/>
          <w:szCs w:val="24"/>
          <w:highlight w:val="none"/>
        </w:rPr>
        <w:t>评标基准价计算</w:t>
      </w:r>
    </w:p>
    <w:p>
      <w:pPr>
        <w:spacing w:before="159" w:line="410" w:lineRule="exact"/>
        <w:ind w:firstLine="456"/>
        <w:rPr>
          <w:rFonts w:ascii="宋体" w:hAnsi="宋体" w:eastAsia="宋体" w:cs="宋体"/>
          <w:color w:val="auto"/>
          <w:sz w:val="24"/>
          <w:szCs w:val="24"/>
          <w:highlight w:val="none"/>
        </w:rPr>
      </w:pPr>
      <w:r>
        <w:rPr>
          <w:rFonts w:hint="eastAsia" w:ascii="宋体" w:hAnsi="宋体" w:eastAsia="宋体" w:cs="宋体"/>
          <w:color w:val="auto"/>
          <w:position w:val="15"/>
          <w:sz w:val="24"/>
          <w:szCs w:val="24"/>
          <w:highlight w:val="none"/>
        </w:rPr>
        <w:t>评标基准价计算方法</w:t>
      </w:r>
      <w:r>
        <w:rPr>
          <w:rFonts w:hint="eastAsia" w:ascii="宋体" w:hAnsi="宋体" w:eastAsia="宋体" w:cs="宋体"/>
          <w:color w:val="auto"/>
          <w:spacing w:val="-2"/>
          <w:position w:val="15"/>
          <w:sz w:val="24"/>
          <w:szCs w:val="24"/>
          <w:highlight w:val="none"/>
        </w:rPr>
        <w:t>：</w:t>
      </w:r>
      <w:r>
        <w:rPr>
          <w:rFonts w:hint="eastAsia" w:ascii="宋体" w:hAnsi="宋体" w:eastAsia="宋体" w:cs="宋体"/>
          <w:color w:val="auto"/>
          <w:position w:val="15"/>
          <w:sz w:val="24"/>
          <w:szCs w:val="24"/>
          <w:highlight w:val="none"/>
        </w:rPr>
        <w:t>见评标办法前附表</w:t>
      </w:r>
      <w:r>
        <w:rPr>
          <w:rFonts w:hint="eastAsia" w:ascii="宋体" w:hAnsi="宋体" w:eastAsia="宋体" w:cs="宋体"/>
          <w:color w:val="auto"/>
          <w:spacing w:val="-1"/>
          <w:position w:val="15"/>
          <w:sz w:val="24"/>
          <w:szCs w:val="24"/>
          <w:highlight w:val="none"/>
        </w:rPr>
        <w:t>。</w:t>
      </w:r>
    </w:p>
    <w:p>
      <w:pPr>
        <w:spacing w:line="219" w:lineRule="auto"/>
        <w:ind w:firstLine="453"/>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2.2.3</w:t>
      </w:r>
      <w:r>
        <w:rPr>
          <w:rFonts w:hint="eastAsia" w:ascii="宋体" w:hAnsi="宋体" w:eastAsia="宋体" w:cs="宋体"/>
          <w:color w:val="auto"/>
          <w:spacing w:val="-2"/>
          <w:sz w:val="24"/>
          <w:szCs w:val="24"/>
          <w:highlight w:val="none"/>
        </w:rPr>
        <w:t xml:space="preserve"> </w:t>
      </w:r>
      <w:r>
        <w:rPr>
          <w:rFonts w:hint="eastAsia" w:ascii="宋体" w:hAnsi="宋体" w:eastAsia="宋体" w:cs="宋体"/>
          <w:color w:val="auto"/>
          <w:sz w:val="24"/>
          <w:szCs w:val="24"/>
          <w:highlight w:val="none"/>
        </w:rPr>
        <w:t>评标价的偏差率计算</w:t>
      </w:r>
    </w:p>
    <w:p>
      <w:pPr>
        <w:spacing w:before="159" w:line="219" w:lineRule="auto"/>
        <w:ind w:firstLine="456"/>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评标价的偏差率计算公式</w:t>
      </w:r>
      <w:r>
        <w:rPr>
          <w:rFonts w:hint="eastAsia" w:ascii="宋体" w:hAnsi="宋体" w:eastAsia="宋体" w:cs="宋体"/>
          <w:color w:val="auto"/>
          <w:spacing w:val="-1"/>
          <w:sz w:val="24"/>
          <w:szCs w:val="24"/>
          <w:highlight w:val="none"/>
        </w:rPr>
        <w:t>：</w:t>
      </w:r>
      <w:r>
        <w:rPr>
          <w:rFonts w:hint="eastAsia" w:ascii="宋体" w:hAnsi="宋体" w:eastAsia="宋体" w:cs="宋体"/>
          <w:color w:val="auto"/>
          <w:sz w:val="24"/>
          <w:szCs w:val="24"/>
          <w:highlight w:val="none"/>
        </w:rPr>
        <w:t>见评标办法前附表</w:t>
      </w:r>
      <w:r>
        <w:rPr>
          <w:rFonts w:hint="eastAsia" w:ascii="宋体" w:hAnsi="宋体" w:eastAsia="宋体" w:cs="宋体"/>
          <w:color w:val="auto"/>
          <w:spacing w:val="-1"/>
          <w:sz w:val="24"/>
          <w:szCs w:val="24"/>
          <w:highlight w:val="none"/>
        </w:rPr>
        <w:t>。</w:t>
      </w:r>
    </w:p>
    <w:p>
      <w:pPr>
        <w:spacing w:before="159" w:line="221" w:lineRule="auto"/>
        <w:ind w:firstLine="453"/>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2.2.4</w:t>
      </w:r>
      <w:r>
        <w:rPr>
          <w:rFonts w:hint="eastAsia" w:ascii="宋体" w:hAnsi="宋体" w:eastAsia="宋体" w:cs="宋体"/>
          <w:color w:val="auto"/>
          <w:spacing w:val="-2"/>
          <w:sz w:val="24"/>
          <w:szCs w:val="24"/>
          <w:highlight w:val="none"/>
        </w:rPr>
        <w:t xml:space="preserve"> </w:t>
      </w:r>
      <w:r>
        <w:rPr>
          <w:rFonts w:hint="eastAsia" w:ascii="宋体" w:hAnsi="宋体" w:eastAsia="宋体" w:cs="宋体"/>
          <w:color w:val="auto"/>
          <w:sz w:val="24"/>
          <w:szCs w:val="24"/>
          <w:highlight w:val="none"/>
        </w:rPr>
        <w:t>评分标准</w:t>
      </w:r>
    </w:p>
    <w:p>
      <w:pPr>
        <w:spacing w:before="157" w:line="213" w:lineRule="auto"/>
        <w:ind w:firstLine="457"/>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(1)技术建议书评分标准</w:t>
      </w:r>
      <w:r>
        <w:rPr>
          <w:rFonts w:hint="eastAsia" w:ascii="宋体" w:hAnsi="宋体" w:eastAsia="宋体" w:cs="宋体"/>
          <w:color w:val="auto"/>
          <w:spacing w:val="-15"/>
          <w:sz w:val="24"/>
          <w:szCs w:val="24"/>
          <w:highlight w:val="none"/>
        </w:rPr>
        <w:t>：</w:t>
      </w:r>
      <w:r>
        <w:rPr>
          <w:rFonts w:hint="eastAsia" w:ascii="宋体" w:hAnsi="宋体" w:eastAsia="宋体" w:cs="宋体"/>
          <w:color w:val="auto"/>
          <w:sz w:val="24"/>
          <w:szCs w:val="24"/>
          <w:highlight w:val="none"/>
        </w:rPr>
        <w:t>见评标办法前附表</w:t>
      </w:r>
      <w:r>
        <w:rPr>
          <w:rFonts w:hint="eastAsia" w:ascii="宋体" w:hAnsi="宋体" w:eastAsia="宋体" w:cs="宋体"/>
          <w:color w:val="auto"/>
          <w:spacing w:val="-15"/>
          <w:sz w:val="24"/>
          <w:szCs w:val="24"/>
          <w:highlight w:val="none"/>
        </w:rPr>
        <w:t>；</w:t>
      </w:r>
    </w:p>
    <w:p>
      <w:pPr>
        <w:spacing w:before="168" w:line="213" w:lineRule="auto"/>
        <w:ind w:firstLine="457"/>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(2)主要人员评分标准</w:t>
      </w:r>
      <w:r>
        <w:rPr>
          <w:rFonts w:hint="eastAsia" w:ascii="宋体" w:hAnsi="宋体" w:eastAsia="宋体" w:cs="宋体"/>
          <w:color w:val="auto"/>
          <w:spacing w:val="-3"/>
          <w:sz w:val="24"/>
          <w:szCs w:val="24"/>
          <w:highlight w:val="none"/>
        </w:rPr>
        <w:t>：</w:t>
      </w:r>
      <w:r>
        <w:rPr>
          <w:rFonts w:hint="eastAsia" w:ascii="宋体" w:hAnsi="宋体" w:eastAsia="宋体" w:cs="宋体"/>
          <w:color w:val="auto"/>
          <w:spacing w:val="-105"/>
          <w:sz w:val="24"/>
          <w:szCs w:val="24"/>
          <w:highlight w:val="none"/>
        </w:rPr>
        <w:t xml:space="preserve"> </w:t>
      </w:r>
      <w:r>
        <w:rPr>
          <w:rFonts w:hint="eastAsia" w:ascii="宋体" w:hAnsi="宋体" w:eastAsia="宋体" w:cs="宋体"/>
          <w:color w:val="auto"/>
          <w:sz w:val="24"/>
          <w:szCs w:val="24"/>
          <w:highlight w:val="none"/>
        </w:rPr>
        <w:t>见评标办法前附表</w:t>
      </w:r>
      <w:r>
        <w:rPr>
          <w:rFonts w:hint="eastAsia" w:ascii="宋体" w:hAnsi="宋体" w:eastAsia="宋体" w:cs="宋体"/>
          <w:color w:val="auto"/>
          <w:spacing w:val="-2"/>
          <w:sz w:val="24"/>
          <w:szCs w:val="24"/>
          <w:highlight w:val="none"/>
        </w:rPr>
        <w:t>；</w:t>
      </w:r>
    </w:p>
    <w:p>
      <w:pPr>
        <w:spacing w:before="165" w:line="213" w:lineRule="auto"/>
        <w:ind w:firstLine="457"/>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(3)评标价评分标准</w:t>
      </w:r>
      <w:r>
        <w:rPr>
          <w:rFonts w:hint="eastAsia" w:ascii="宋体" w:hAnsi="宋体" w:eastAsia="宋体" w:cs="宋体"/>
          <w:color w:val="auto"/>
          <w:spacing w:val="-15"/>
          <w:sz w:val="24"/>
          <w:szCs w:val="24"/>
          <w:highlight w:val="none"/>
        </w:rPr>
        <w:t>：</w:t>
      </w:r>
      <w:r>
        <w:rPr>
          <w:rFonts w:hint="eastAsia" w:ascii="宋体" w:hAnsi="宋体" w:eastAsia="宋体" w:cs="宋体"/>
          <w:color w:val="auto"/>
          <w:sz w:val="24"/>
          <w:szCs w:val="24"/>
          <w:highlight w:val="none"/>
        </w:rPr>
        <w:t>见评标办法前附表</w:t>
      </w:r>
      <w:r>
        <w:rPr>
          <w:rFonts w:hint="eastAsia" w:ascii="宋体" w:hAnsi="宋体" w:eastAsia="宋体" w:cs="宋体"/>
          <w:color w:val="auto"/>
          <w:spacing w:val="-15"/>
          <w:sz w:val="24"/>
          <w:szCs w:val="24"/>
          <w:highlight w:val="none"/>
        </w:rPr>
        <w:t>；</w:t>
      </w:r>
    </w:p>
    <w:p>
      <w:pPr>
        <w:spacing w:before="166" w:line="213" w:lineRule="auto"/>
        <w:ind w:firstLine="457"/>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(4)其他因素评分标准</w:t>
      </w:r>
      <w:r>
        <w:rPr>
          <w:rFonts w:hint="eastAsia" w:ascii="宋体" w:hAnsi="宋体" w:eastAsia="宋体" w:cs="宋体"/>
          <w:color w:val="auto"/>
          <w:spacing w:val="-3"/>
          <w:sz w:val="24"/>
          <w:szCs w:val="24"/>
          <w:highlight w:val="none"/>
        </w:rPr>
        <w:t>：</w:t>
      </w:r>
      <w:r>
        <w:rPr>
          <w:rFonts w:hint="eastAsia" w:ascii="宋体" w:hAnsi="宋体" w:eastAsia="宋体" w:cs="宋体"/>
          <w:color w:val="auto"/>
          <w:spacing w:val="-105"/>
          <w:sz w:val="24"/>
          <w:szCs w:val="24"/>
          <w:highlight w:val="none"/>
        </w:rPr>
        <w:t xml:space="preserve"> </w:t>
      </w:r>
      <w:r>
        <w:rPr>
          <w:rFonts w:hint="eastAsia" w:ascii="宋体" w:hAnsi="宋体" w:eastAsia="宋体" w:cs="宋体"/>
          <w:color w:val="auto"/>
          <w:sz w:val="24"/>
          <w:szCs w:val="24"/>
          <w:highlight w:val="none"/>
        </w:rPr>
        <w:t>见评标办法前附表</w:t>
      </w:r>
      <w:r>
        <w:rPr>
          <w:rFonts w:hint="eastAsia" w:ascii="宋体" w:hAnsi="宋体" w:eastAsia="宋体" w:cs="宋体"/>
          <w:color w:val="auto"/>
          <w:spacing w:val="-2"/>
          <w:sz w:val="24"/>
          <w:szCs w:val="24"/>
          <w:highlight w:val="none"/>
        </w:rPr>
        <w:t>。</w:t>
      </w:r>
    </w:p>
    <w:p>
      <w:pPr>
        <w:spacing w:before="173" w:line="220" w:lineRule="auto"/>
        <w:ind w:firstLine="32"/>
        <w:outlineLvl w:val="1"/>
        <w:rPr>
          <w:rFonts w:ascii="宋体" w:hAnsi="宋体" w:eastAsia="宋体" w:cs="宋体"/>
          <w:color w:val="auto"/>
          <w:sz w:val="24"/>
          <w:szCs w:val="24"/>
          <w:highlight w:val="none"/>
        </w:rPr>
      </w:pPr>
      <w:bookmarkStart w:id="5" w:name="_Toc15682"/>
      <w:r>
        <w:rPr>
          <w:rFonts w:hint="eastAsia" w:ascii="宋体" w:hAnsi="宋体" w:eastAsia="宋体" w:cs="宋体"/>
          <w:b/>
          <w:bCs/>
          <w:color w:val="auto"/>
          <w:sz w:val="24"/>
          <w:szCs w:val="24"/>
          <w:highlight w:val="none"/>
        </w:rPr>
        <w:t>3.</w:t>
      </w:r>
      <w:r>
        <w:rPr>
          <w:rFonts w:hint="eastAsia" w:ascii="宋体" w:hAnsi="宋体" w:eastAsia="宋体" w:cs="宋体"/>
          <w:color w:val="auto"/>
          <w:sz w:val="24"/>
          <w:szCs w:val="24"/>
          <w:highlight w:val="none"/>
        </w:rPr>
        <w:t>评标程序</w:t>
      </w:r>
      <w:bookmarkEnd w:id="5"/>
    </w:p>
    <w:p>
      <w:pPr>
        <w:spacing w:before="175" w:line="221" w:lineRule="auto"/>
        <w:ind w:firstLine="32"/>
        <w:outlineLvl w:val="2"/>
        <w:rPr>
          <w:rFonts w:ascii="宋体" w:hAnsi="宋体" w:eastAsia="宋体" w:cs="宋体"/>
          <w:color w:val="auto"/>
          <w:sz w:val="24"/>
          <w:szCs w:val="24"/>
          <w:highlight w:val="none"/>
        </w:rPr>
      </w:pPr>
      <w:bookmarkStart w:id="6" w:name="_Toc11000"/>
      <w:r>
        <w:rPr>
          <w:rFonts w:hint="eastAsia" w:ascii="宋体" w:hAnsi="宋体" w:eastAsia="宋体" w:cs="宋体"/>
          <w:b/>
          <w:bCs/>
          <w:color w:val="auto"/>
          <w:spacing w:val="1"/>
          <w:sz w:val="24"/>
          <w:szCs w:val="24"/>
          <w:highlight w:val="none"/>
        </w:rPr>
        <w:t>3.1</w:t>
      </w:r>
      <w:r>
        <w:rPr>
          <w:rFonts w:hint="eastAsia" w:ascii="宋体" w:hAnsi="宋体" w:eastAsia="宋体" w:cs="宋体"/>
          <w:color w:val="auto"/>
          <w:spacing w:val="1"/>
          <w:sz w:val="24"/>
          <w:szCs w:val="24"/>
          <w:highlight w:val="none"/>
        </w:rPr>
        <w:t xml:space="preserve"> 第一</w:t>
      </w:r>
      <w:r>
        <w:rPr>
          <w:rFonts w:hint="eastAsia" w:ascii="宋体" w:hAnsi="宋体" w:eastAsia="宋体" w:cs="宋体"/>
          <w:color w:val="auto"/>
          <w:sz w:val="24"/>
          <w:szCs w:val="24"/>
          <w:highlight w:val="none"/>
        </w:rPr>
        <w:t>个信封初步评审</w:t>
      </w:r>
      <w:bookmarkEnd w:id="6"/>
    </w:p>
    <w:p>
      <w:pPr>
        <w:spacing w:before="158" w:line="359" w:lineRule="auto"/>
        <w:ind w:left="38" w:right="23" w:firstLine="418"/>
        <w:rPr>
          <w:rFonts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3.1.1</w:t>
      </w:r>
      <w:r>
        <w:rPr>
          <w:rFonts w:hint="eastAsia" w:ascii="宋体" w:hAnsi="宋体" w:eastAsia="宋体" w:cs="宋体"/>
          <w:color w:val="auto"/>
          <w:spacing w:val="-13"/>
          <w:sz w:val="24"/>
          <w:szCs w:val="24"/>
          <w:highlight w:val="none"/>
        </w:rPr>
        <w:t xml:space="preserve"> </w:t>
      </w:r>
      <w:r>
        <w:rPr>
          <w:rFonts w:hint="eastAsia" w:ascii="宋体" w:hAnsi="宋体" w:eastAsia="宋体" w:cs="宋体"/>
          <w:color w:val="auto"/>
          <w:spacing w:val="-1"/>
          <w:sz w:val="24"/>
          <w:szCs w:val="24"/>
          <w:highlight w:val="none"/>
        </w:rPr>
        <w:t>评标委员会可以要求投标人提交第二章“投标人须知”第</w:t>
      </w:r>
      <w:r>
        <w:rPr>
          <w:rFonts w:hint="eastAsia" w:ascii="宋体" w:hAnsi="宋体" w:eastAsia="宋体" w:cs="宋体"/>
          <w:color w:val="auto"/>
          <w:spacing w:val="-26"/>
          <w:sz w:val="24"/>
          <w:szCs w:val="24"/>
          <w:highlight w:val="none"/>
        </w:rPr>
        <w:t xml:space="preserve"> </w:t>
      </w:r>
      <w:r>
        <w:rPr>
          <w:rFonts w:hint="eastAsia" w:ascii="宋体" w:hAnsi="宋体" w:eastAsia="宋体" w:cs="宋体"/>
          <w:color w:val="auto"/>
          <w:spacing w:val="-1"/>
          <w:sz w:val="24"/>
          <w:szCs w:val="24"/>
          <w:highlight w:val="none"/>
        </w:rPr>
        <w:t>3.5.1</w:t>
      </w:r>
      <w:r>
        <w:rPr>
          <w:rFonts w:hint="eastAsia" w:ascii="宋体" w:hAnsi="宋体" w:eastAsia="宋体" w:cs="宋体"/>
          <w:color w:val="auto"/>
          <w:spacing w:val="-13"/>
          <w:sz w:val="24"/>
          <w:szCs w:val="24"/>
          <w:highlight w:val="none"/>
        </w:rPr>
        <w:t xml:space="preserve"> </w:t>
      </w:r>
      <w:r>
        <w:rPr>
          <w:rFonts w:hint="eastAsia" w:ascii="宋体" w:hAnsi="宋体" w:eastAsia="宋体" w:cs="宋体"/>
          <w:color w:val="auto"/>
          <w:spacing w:val="-1"/>
          <w:sz w:val="24"/>
          <w:szCs w:val="24"/>
          <w:highlight w:val="none"/>
        </w:rPr>
        <w:t>项至第</w:t>
      </w:r>
      <w:r>
        <w:rPr>
          <w:rFonts w:hint="eastAsia" w:ascii="宋体" w:hAnsi="宋体" w:eastAsia="宋体" w:cs="宋体"/>
          <w:color w:val="auto"/>
          <w:spacing w:val="-26"/>
          <w:sz w:val="24"/>
          <w:szCs w:val="24"/>
          <w:highlight w:val="none"/>
        </w:rPr>
        <w:t xml:space="preserve"> </w:t>
      </w:r>
      <w:r>
        <w:rPr>
          <w:rFonts w:hint="eastAsia" w:ascii="宋体" w:hAnsi="宋体" w:eastAsia="宋体" w:cs="宋体"/>
          <w:color w:val="auto"/>
          <w:spacing w:val="-1"/>
          <w:sz w:val="24"/>
          <w:szCs w:val="24"/>
          <w:highlight w:val="none"/>
        </w:rPr>
        <w:t>3.5.5</w:t>
      </w:r>
      <w:r>
        <w:rPr>
          <w:rFonts w:hint="eastAsia" w:ascii="宋体" w:hAnsi="宋体" w:eastAsia="宋体" w:cs="宋体"/>
          <w:color w:val="auto"/>
          <w:spacing w:val="-13"/>
          <w:sz w:val="24"/>
          <w:szCs w:val="24"/>
          <w:highlight w:val="none"/>
        </w:rPr>
        <w:t xml:space="preserve"> </w:t>
      </w:r>
      <w:r>
        <w:rPr>
          <w:rFonts w:hint="eastAsia" w:ascii="宋体" w:hAnsi="宋体" w:eastAsia="宋体" w:cs="宋体"/>
          <w:color w:val="auto"/>
          <w:spacing w:val="-1"/>
          <w:sz w:val="24"/>
          <w:szCs w:val="24"/>
          <w:highlight w:val="none"/>
        </w:rPr>
        <w:t>项规定的有</w:t>
      </w:r>
      <w:r>
        <w:rPr>
          <w:rFonts w:hint="eastAsia" w:ascii="宋体" w:hAnsi="宋体" w:eastAsia="宋体" w:cs="宋体"/>
          <w:color w:val="auto"/>
          <w:sz w:val="24"/>
          <w:szCs w:val="24"/>
          <w:highlight w:val="none"/>
        </w:rPr>
        <w:t>关证 明和证件的原件</w:t>
      </w:r>
      <w:r>
        <w:rPr>
          <w:rFonts w:hint="eastAsia" w:ascii="宋体" w:hAnsi="宋体" w:eastAsia="宋体" w:cs="宋体"/>
          <w:color w:val="auto"/>
          <w:spacing w:val="-8"/>
          <w:sz w:val="24"/>
          <w:szCs w:val="24"/>
          <w:highlight w:val="none"/>
        </w:rPr>
        <w:t>，</w:t>
      </w:r>
      <w:r>
        <w:rPr>
          <w:rFonts w:hint="eastAsia" w:ascii="宋体" w:hAnsi="宋体" w:eastAsia="宋体" w:cs="宋体"/>
          <w:color w:val="auto"/>
          <w:sz w:val="24"/>
          <w:szCs w:val="24"/>
          <w:highlight w:val="none"/>
        </w:rPr>
        <w:t>以便核验</w:t>
      </w:r>
      <w:r>
        <w:rPr>
          <w:rFonts w:hint="eastAsia" w:ascii="宋体" w:hAnsi="宋体" w:eastAsia="宋体" w:cs="宋体"/>
          <w:color w:val="auto"/>
          <w:spacing w:val="-8"/>
          <w:sz w:val="24"/>
          <w:szCs w:val="24"/>
          <w:highlight w:val="none"/>
        </w:rPr>
        <w:t>。</w:t>
      </w:r>
      <w:r>
        <w:rPr>
          <w:rFonts w:hint="eastAsia" w:ascii="宋体" w:hAnsi="宋体" w:eastAsia="宋体" w:cs="宋体"/>
          <w:color w:val="auto"/>
          <w:sz w:val="24"/>
          <w:szCs w:val="24"/>
          <w:highlight w:val="none"/>
        </w:rPr>
        <w:t>评标委员会依据本章第</w:t>
      </w:r>
      <w:r>
        <w:rPr>
          <w:rFonts w:hint="eastAsia" w:ascii="宋体" w:hAnsi="宋体" w:eastAsia="宋体" w:cs="宋体"/>
          <w:color w:val="auto"/>
          <w:spacing w:val="-1"/>
          <w:sz w:val="24"/>
          <w:szCs w:val="24"/>
          <w:highlight w:val="none"/>
        </w:rPr>
        <w:t xml:space="preserve"> </w:t>
      </w:r>
      <w:r>
        <w:rPr>
          <w:rFonts w:hint="eastAsia" w:ascii="宋体" w:hAnsi="宋体" w:eastAsia="宋体" w:cs="宋体"/>
          <w:color w:val="auto"/>
          <w:sz w:val="24"/>
          <w:szCs w:val="24"/>
          <w:highlight w:val="none"/>
        </w:rPr>
        <w:t>2.1  款规定的标准对投标文件第一个信封（商 务及技术文件</w:t>
      </w:r>
      <w:r>
        <w:rPr>
          <w:rFonts w:hint="eastAsia" w:ascii="宋体" w:hAnsi="宋体" w:eastAsia="宋体" w:cs="宋体"/>
          <w:color w:val="auto"/>
          <w:spacing w:val="-5"/>
          <w:sz w:val="24"/>
          <w:szCs w:val="24"/>
          <w:highlight w:val="none"/>
        </w:rPr>
        <w:t>）</w:t>
      </w:r>
      <w:r>
        <w:rPr>
          <w:rFonts w:hint="eastAsia" w:ascii="宋体" w:hAnsi="宋体" w:eastAsia="宋体" w:cs="宋体"/>
          <w:color w:val="auto"/>
          <w:spacing w:val="-105"/>
          <w:sz w:val="24"/>
          <w:szCs w:val="24"/>
          <w:highlight w:val="none"/>
        </w:rPr>
        <w:t xml:space="preserve"> </w:t>
      </w:r>
      <w:r>
        <w:rPr>
          <w:rFonts w:hint="eastAsia" w:ascii="宋体" w:hAnsi="宋体" w:eastAsia="宋体" w:cs="宋体"/>
          <w:color w:val="auto"/>
          <w:sz w:val="24"/>
          <w:szCs w:val="24"/>
          <w:highlight w:val="none"/>
        </w:rPr>
        <w:t>进行初步评审</w:t>
      </w:r>
      <w:r>
        <w:rPr>
          <w:rFonts w:hint="eastAsia" w:ascii="宋体" w:hAnsi="宋体" w:eastAsia="宋体" w:cs="宋体"/>
          <w:color w:val="auto"/>
          <w:spacing w:val="-5"/>
          <w:sz w:val="24"/>
          <w:szCs w:val="24"/>
          <w:highlight w:val="none"/>
        </w:rPr>
        <w:t>。</w:t>
      </w:r>
      <w:r>
        <w:rPr>
          <w:rFonts w:hint="eastAsia" w:ascii="宋体" w:hAnsi="宋体" w:eastAsia="宋体" w:cs="宋体"/>
          <w:color w:val="auto"/>
          <w:sz w:val="24"/>
          <w:szCs w:val="24"/>
          <w:highlight w:val="none"/>
        </w:rPr>
        <w:t>有一项不符合评审标准的</w:t>
      </w:r>
      <w:r>
        <w:rPr>
          <w:rFonts w:hint="eastAsia" w:ascii="宋体" w:hAnsi="宋体" w:eastAsia="宋体" w:cs="宋体"/>
          <w:color w:val="auto"/>
          <w:spacing w:val="-4"/>
          <w:sz w:val="24"/>
          <w:szCs w:val="24"/>
          <w:highlight w:val="none"/>
        </w:rPr>
        <w:t>，</w:t>
      </w:r>
      <w:r>
        <w:rPr>
          <w:rFonts w:hint="eastAsia" w:ascii="宋体" w:hAnsi="宋体" w:eastAsia="宋体" w:cs="宋体"/>
          <w:color w:val="auto"/>
          <w:sz w:val="24"/>
          <w:szCs w:val="24"/>
          <w:highlight w:val="none"/>
        </w:rPr>
        <w:t>评标委员会应否决其投标</w:t>
      </w:r>
      <w:r>
        <w:rPr>
          <w:rFonts w:hint="eastAsia" w:ascii="宋体" w:hAnsi="宋体" w:eastAsia="宋体" w:cs="宋体"/>
          <w:color w:val="auto"/>
          <w:spacing w:val="-4"/>
          <w:sz w:val="24"/>
          <w:szCs w:val="24"/>
          <w:highlight w:val="none"/>
        </w:rPr>
        <w:t>。</w:t>
      </w:r>
    </w:p>
    <w:p>
      <w:pPr>
        <w:spacing w:before="1" w:line="220" w:lineRule="auto"/>
        <w:ind w:firstLine="32"/>
        <w:outlineLvl w:val="2"/>
        <w:rPr>
          <w:rFonts w:ascii="宋体" w:hAnsi="宋体" w:eastAsia="宋体" w:cs="宋体"/>
          <w:color w:val="auto"/>
          <w:sz w:val="24"/>
          <w:szCs w:val="24"/>
          <w:highlight w:val="none"/>
        </w:rPr>
      </w:pPr>
      <w:bookmarkStart w:id="7" w:name="_Toc24007"/>
      <w:r>
        <w:rPr>
          <w:rFonts w:hint="eastAsia" w:ascii="宋体" w:hAnsi="宋体" w:eastAsia="宋体" w:cs="宋体"/>
          <w:b/>
          <w:bCs/>
          <w:color w:val="auto"/>
          <w:spacing w:val="1"/>
          <w:sz w:val="24"/>
          <w:szCs w:val="24"/>
          <w:highlight w:val="none"/>
        </w:rPr>
        <w:t>3.2</w:t>
      </w:r>
      <w:r>
        <w:rPr>
          <w:rFonts w:hint="eastAsia" w:ascii="宋体" w:hAnsi="宋体" w:eastAsia="宋体" w:cs="宋体"/>
          <w:color w:val="auto"/>
          <w:spacing w:val="1"/>
          <w:sz w:val="24"/>
          <w:szCs w:val="24"/>
          <w:highlight w:val="none"/>
        </w:rPr>
        <w:t xml:space="preserve"> 第一</w:t>
      </w:r>
      <w:r>
        <w:rPr>
          <w:rFonts w:hint="eastAsia" w:ascii="宋体" w:hAnsi="宋体" w:eastAsia="宋体" w:cs="宋体"/>
          <w:color w:val="auto"/>
          <w:sz w:val="24"/>
          <w:szCs w:val="24"/>
          <w:highlight w:val="none"/>
        </w:rPr>
        <w:t>个信封详细评审</w:t>
      </w:r>
      <w:bookmarkEnd w:id="7"/>
    </w:p>
    <w:p>
      <w:pPr>
        <w:spacing w:before="158" w:line="367" w:lineRule="auto"/>
        <w:ind w:left="37" w:right="23" w:firstLine="41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3.2.1</w:t>
      </w:r>
      <w:r>
        <w:rPr>
          <w:rFonts w:hint="eastAsia" w:ascii="宋体" w:hAnsi="宋体" w:eastAsia="宋体" w:cs="宋体"/>
          <w:color w:val="auto"/>
          <w:spacing w:val="-1"/>
          <w:sz w:val="24"/>
          <w:szCs w:val="24"/>
          <w:highlight w:val="none"/>
        </w:rPr>
        <w:t xml:space="preserve"> </w:t>
      </w:r>
      <w:r>
        <w:rPr>
          <w:rFonts w:hint="eastAsia" w:ascii="宋体" w:hAnsi="宋体" w:eastAsia="宋体" w:cs="宋体"/>
          <w:color w:val="auto"/>
          <w:sz w:val="24"/>
          <w:szCs w:val="24"/>
          <w:highlight w:val="none"/>
        </w:rPr>
        <w:t>评标委员会按本章第 2.2 款规定的量化因素和分值进行打分</w:t>
      </w:r>
      <w:r>
        <w:rPr>
          <w:rFonts w:hint="eastAsia" w:ascii="宋体" w:hAnsi="宋体" w:eastAsia="宋体" w:cs="宋体"/>
          <w:color w:val="auto"/>
          <w:spacing w:val="-15"/>
          <w:sz w:val="24"/>
          <w:szCs w:val="24"/>
          <w:highlight w:val="none"/>
        </w:rPr>
        <w:t>，</w:t>
      </w:r>
      <w:r>
        <w:rPr>
          <w:rFonts w:hint="eastAsia" w:ascii="宋体" w:hAnsi="宋体" w:eastAsia="宋体" w:cs="宋体"/>
          <w:color w:val="auto"/>
          <w:sz w:val="24"/>
          <w:szCs w:val="24"/>
          <w:highlight w:val="none"/>
        </w:rPr>
        <w:t>并计算出各投标人的商务和技术得分</w:t>
      </w:r>
      <w:r>
        <w:rPr>
          <w:rFonts w:hint="eastAsia" w:ascii="宋体" w:hAnsi="宋体" w:eastAsia="宋体" w:cs="宋体"/>
          <w:color w:val="auto"/>
          <w:spacing w:val="-7"/>
          <w:sz w:val="24"/>
          <w:szCs w:val="24"/>
          <w:highlight w:val="none"/>
        </w:rPr>
        <w:t>。</w:t>
      </w:r>
    </w:p>
    <w:p>
      <w:pPr>
        <w:spacing w:before="68" w:line="213" w:lineRule="auto"/>
        <w:ind w:firstLine="457"/>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(1)按本章第</w:t>
      </w:r>
      <w:r>
        <w:rPr>
          <w:rFonts w:hint="eastAsia" w:ascii="宋体" w:hAnsi="宋体" w:eastAsia="宋体" w:cs="宋体"/>
          <w:color w:val="auto"/>
          <w:spacing w:val="-1"/>
          <w:sz w:val="24"/>
          <w:szCs w:val="24"/>
          <w:highlight w:val="none"/>
        </w:rPr>
        <w:t xml:space="preserve"> </w:t>
      </w:r>
      <w:r>
        <w:rPr>
          <w:rFonts w:hint="eastAsia" w:ascii="宋体" w:hAnsi="宋体" w:eastAsia="宋体" w:cs="宋体"/>
          <w:color w:val="auto"/>
          <w:sz w:val="24"/>
          <w:szCs w:val="24"/>
          <w:highlight w:val="none"/>
        </w:rPr>
        <w:t>2.2.4 项（1</w:t>
      </w:r>
      <w:r>
        <w:rPr>
          <w:rFonts w:hint="eastAsia" w:ascii="宋体" w:hAnsi="宋体" w:eastAsia="宋体" w:cs="宋体"/>
          <w:color w:val="auto"/>
          <w:spacing w:val="-54"/>
          <w:sz w:val="24"/>
          <w:szCs w:val="24"/>
          <w:highlight w:val="none"/>
        </w:rPr>
        <w:t>）</w:t>
      </w:r>
      <w:r>
        <w:rPr>
          <w:rFonts w:hint="eastAsia" w:ascii="宋体" w:hAnsi="宋体" w:eastAsia="宋体" w:cs="宋体"/>
          <w:color w:val="auto"/>
          <w:spacing w:val="-105"/>
          <w:sz w:val="24"/>
          <w:szCs w:val="24"/>
          <w:highlight w:val="none"/>
        </w:rPr>
        <w:t xml:space="preserve"> </w:t>
      </w:r>
      <w:r>
        <w:rPr>
          <w:rFonts w:hint="eastAsia" w:ascii="宋体" w:hAnsi="宋体" w:eastAsia="宋体" w:cs="宋体"/>
          <w:color w:val="auto"/>
          <w:sz w:val="24"/>
          <w:szCs w:val="24"/>
          <w:highlight w:val="none"/>
        </w:rPr>
        <w:t>目规定的评审因素和分值对技术建议书部分计算出得分 A</w:t>
      </w:r>
      <w:r>
        <w:rPr>
          <w:rFonts w:hint="eastAsia" w:ascii="宋体" w:hAnsi="宋体" w:eastAsia="宋体" w:cs="宋体"/>
          <w:color w:val="auto"/>
          <w:spacing w:val="-54"/>
          <w:sz w:val="24"/>
          <w:szCs w:val="24"/>
          <w:highlight w:val="none"/>
        </w:rPr>
        <w:t>；</w:t>
      </w:r>
    </w:p>
    <w:p>
      <w:pPr>
        <w:spacing w:before="165" w:line="213" w:lineRule="auto"/>
        <w:ind w:firstLine="457"/>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(2)按本章第</w:t>
      </w:r>
      <w:r>
        <w:rPr>
          <w:rFonts w:hint="eastAsia" w:ascii="宋体" w:hAnsi="宋体" w:eastAsia="宋体" w:cs="宋体"/>
          <w:color w:val="auto"/>
          <w:spacing w:val="-1"/>
          <w:sz w:val="24"/>
          <w:szCs w:val="24"/>
          <w:highlight w:val="none"/>
        </w:rPr>
        <w:t xml:space="preserve"> </w:t>
      </w:r>
      <w:r>
        <w:rPr>
          <w:rFonts w:hint="eastAsia" w:ascii="宋体" w:hAnsi="宋体" w:eastAsia="宋体" w:cs="宋体"/>
          <w:color w:val="auto"/>
          <w:sz w:val="24"/>
          <w:szCs w:val="24"/>
          <w:highlight w:val="none"/>
        </w:rPr>
        <w:t>2.2.4</w:t>
      </w:r>
      <w:r>
        <w:rPr>
          <w:rFonts w:hint="eastAsia" w:ascii="宋体" w:hAnsi="宋体" w:eastAsia="宋体" w:cs="宋体"/>
          <w:color w:val="auto"/>
          <w:spacing w:val="-1"/>
          <w:sz w:val="24"/>
          <w:szCs w:val="24"/>
          <w:highlight w:val="none"/>
        </w:rPr>
        <w:t xml:space="preserve"> </w:t>
      </w:r>
      <w:r>
        <w:rPr>
          <w:rFonts w:hint="eastAsia" w:ascii="宋体" w:hAnsi="宋体" w:eastAsia="宋体" w:cs="宋体"/>
          <w:color w:val="auto"/>
          <w:sz w:val="24"/>
          <w:szCs w:val="24"/>
          <w:highlight w:val="none"/>
        </w:rPr>
        <w:t>项（2</w:t>
      </w:r>
      <w:r>
        <w:rPr>
          <w:rFonts w:hint="eastAsia" w:ascii="宋体" w:hAnsi="宋体" w:eastAsia="宋体" w:cs="宋体"/>
          <w:color w:val="auto"/>
          <w:spacing w:val="-53"/>
          <w:sz w:val="24"/>
          <w:szCs w:val="24"/>
          <w:highlight w:val="none"/>
        </w:rPr>
        <w:t>）</w:t>
      </w:r>
      <w:r>
        <w:rPr>
          <w:rFonts w:hint="eastAsia" w:ascii="宋体" w:hAnsi="宋体" w:eastAsia="宋体" w:cs="宋体"/>
          <w:color w:val="auto"/>
          <w:spacing w:val="-105"/>
          <w:sz w:val="24"/>
          <w:szCs w:val="24"/>
          <w:highlight w:val="none"/>
        </w:rPr>
        <w:t xml:space="preserve"> </w:t>
      </w:r>
      <w:r>
        <w:rPr>
          <w:rFonts w:hint="eastAsia" w:ascii="宋体" w:hAnsi="宋体" w:eastAsia="宋体" w:cs="宋体"/>
          <w:color w:val="auto"/>
          <w:sz w:val="24"/>
          <w:szCs w:val="24"/>
          <w:highlight w:val="none"/>
        </w:rPr>
        <w:t>目规定的评审因素和分值对主要人员部分计算出得分 B</w:t>
      </w:r>
      <w:r>
        <w:rPr>
          <w:rFonts w:hint="eastAsia" w:ascii="宋体" w:hAnsi="宋体" w:eastAsia="宋体" w:cs="宋体"/>
          <w:color w:val="auto"/>
          <w:spacing w:val="-53"/>
          <w:sz w:val="24"/>
          <w:szCs w:val="24"/>
          <w:highlight w:val="none"/>
        </w:rPr>
        <w:t>；</w:t>
      </w:r>
    </w:p>
    <w:p>
      <w:pPr>
        <w:spacing w:before="165" w:line="213" w:lineRule="auto"/>
        <w:ind w:firstLine="457"/>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(3)按本章第</w:t>
      </w:r>
      <w:r>
        <w:rPr>
          <w:rFonts w:hint="eastAsia" w:ascii="宋体" w:hAnsi="宋体" w:eastAsia="宋体" w:cs="宋体"/>
          <w:color w:val="auto"/>
          <w:spacing w:val="-1"/>
          <w:sz w:val="24"/>
          <w:szCs w:val="24"/>
          <w:highlight w:val="none"/>
        </w:rPr>
        <w:t xml:space="preserve"> </w:t>
      </w:r>
      <w:r>
        <w:rPr>
          <w:rFonts w:hint="eastAsia" w:ascii="宋体" w:hAnsi="宋体" w:eastAsia="宋体" w:cs="宋体"/>
          <w:color w:val="auto"/>
          <w:sz w:val="24"/>
          <w:szCs w:val="24"/>
          <w:highlight w:val="none"/>
        </w:rPr>
        <w:t>2.2.4 项（4</w:t>
      </w:r>
      <w:r>
        <w:rPr>
          <w:rFonts w:hint="eastAsia" w:ascii="宋体" w:hAnsi="宋体" w:eastAsia="宋体" w:cs="宋体"/>
          <w:color w:val="auto"/>
          <w:spacing w:val="-54"/>
          <w:sz w:val="24"/>
          <w:szCs w:val="24"/>
          <w:highlight w:val="none"/>
        </w:rPr>
        <w:t>）</w:t>
      </w:r>
      <w:r>
        <w:rPr>
          <w:rFonts w:hint="eastAsia" w:ascii="宋体" w:hAnsi="宋体" w:eastAsia="宋体" w:cs="宋体"/>
          <w:color w:val="auto"/>
          <w:spacing w:val="-105"/>
          <w:sz w:val="24"/>
          <w:szCs w:val="24"/>
          <w:highlight w:val="none"/>
        </w:rPr>
        <w:t xml:space="preserve"> </w:t>
      </w:r>
      <w:r>
        <w:rPr>
          <w:rFonts w:hint="eastAsia" w:ascii="宋体" w:hAnsi="宋体" w:eastAsia="宋体" w:cs="宋体"/>
          <w:color w:val="auto"/>
          <w:sz w:val="24"/>
          <w:szCs w:val="24"/>
          <w:highlight w:val="none"/>
        </w:rPr>
        <w:t>目规定的评审因素和分值对其他部分计算出得 D</w:t>
      </w:r>
      <w:r>
        <w:rPr>
          <w:rFonts w:hint="eastAsia" w:ascii="宋体" w:hAnsi="宋体" w:eastAsia="宋体" w:cs="宋体"/>
          <w:color w:val="auto"/>
          <w:spacing w:val="-54"/>
          <w:sz w:val="24"/>
          <w:szCs w:val="24"/>
          <w:highlight w:val="none"/>
        </w:rPr>
        <w:t>。</w:t>
      </w:r>
    </w:p>
    <w:p>
      <w:pPr>
        <w:spacing w:before="164" w:line="221" w:lineRule="auto"/>
        <w:ind w:firstLine="457"/>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3.2.2</w:t>
      </w:r>
      <w:r>
        <w:rPr>
          <w:rFonts w:hint="eastAsia" w:ascii="宋体" w:hAnsi="宋体" w:eastAsia="宋体" w:cs="宋体"/>
          <w:color w:val="auto"/>
          <w:spacing w:val="-1"/>
          <w:sz w:val="24"/>
          <w:szCs w:val="24"/>
          <w:highlight w:val="none"/>
        </w:rPr>
        <w:t xml:space="preserve"> </w:t>
      </w:r>
      <w:r>
        <w:rPr>
          <w:rFonts w:hint="eastAsia" w:ascii="宋体" w:hAnsi="宋体" w:eastAsia="宋体" w:cs="宋体"/>
          <w:color w:val="auto"/>
          <w:sz w:val="24"/>
          <w:szCs w:val="24"/>
          <w:highlight w:val="none"/>
        </w:rPr>
        <w:t>投标人的商务和技术得分分值计算保留小数点后两位</w:t>
      </w:r>
      <w:r>
        <w:rPr>
          <w:rFonts w:hint="eastAsia" w:ascii="宋体" w:hAnsi="宋体" w:eastAsia="宋体" w:cs="宋体"/>
          <w:color w:val="auto"/>
          <w:spacing w:val="-2"/>
          <w:sz w:val="24"/>
          <w:szCs w:val="24"/>
          <w:highlight w:val="none"/>
        </w:rPr>
        <w:t>，</w:t>
      </w:r>
      <w:r>
        <w:rPr>
          <w:rFonts w:hint="eastAsia" w:ascii="宋体" w:hAnsi="宋体" w:eastAsia="宋体" w:cs="宋体"/>
          <w:color w:val="auto"/>
          <w:sz w:val="24"/>
          <w:szCs w:val="24"/>
          <w:highlight w:val="none"/>
        </w:rPr>
        <w:t>小数点后第三位“四舍五入”</w:t>
      </w:r>
      <w:r>
        <w:rPr>
          <w:rFonts w:hint="eastAsia" w:ascii="宋体" w:hAnsi="宋体" w:eastAsia="宋体" w:cs="宋体"/>
          <w:color w:val="auto"/>
          <w:spacing w:val="-2"/>
          <w:sz w:val="24"/>
          <w:szCs w:val="24"/>
          <w:highlight w:val="none"/>
        </w:rPr>
        <w:t>。</w:t>
      </w:r>
    </w:p>
    <w:p>
      <w:pPr>
        <w:spacing w:before="160" w:line="234" w:lineRule="auto"/>
        <w:ind w:firstLine="457"/>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3.2.3</w:t>
      </w:r>
      <w:r>
        <w:rPr>
          <w:rFonts w:hint="eastAsia" w:ascii="宋体" w:hAnsi="宋体" w:eastAsia="宋体" w:cs="宋体"/>
          <w:color w:val="auto"/>
          <w:spacing w:val="-1"/>
          <w:sz w:val="24"/>
          <w:szCs w:val="24"/>
          <w:highlight w:val="none"/>
        </w:rPr>
        <w:t xml:space="preserve"> </w:t>
      </w:r>
      <w:r>
        <w:rPr>
          <w:rFonts w:hint="eastAsia" w:ascii="宋体" w:hAnsi="宋体" w:eastAsia="宋体" w:cs="宋体"/>
          <w:color w:val="auto"/>
          <w:sz w:val="24"/>
          <w:szCs w:val="24"/>
          <w:highlight w:val="none"/>
        </w:rPr>
        <w:t>投标人的商务和技术得分=A+B+D</w:t>
      </w:r>
      <w:r>
        <w:rPr>
          <w:rFonts w:hint="eastAsia" w:ascii="宋体" w:hAnsi="宋体" w:eastAsia="宋体" w:cs="宋体"/>
          <w:color w:val="auto"/>
          <w:spacing w:val="-7"/>
          <w:sz w:val="24"/>
          <w:szCs w:val="24"/>
          <w:highlight w:val="none"/>
        </w:rPr>
        <w:t>。</w:t>
      </w:r>
    </w:p>
    <w:p>
      <w:pPr>
        <w:spacing w:before="141" w:line="221" w:lineRule="auto"/>
        <w:ind w:firstLine="32"/>
        <w:outlineLvl w:val="2"/>
        <w:rPr>
          <w:rFonts w:ascii="宋体" w:hAnsi="宋体" w:eastAsia="宋体" w:cs="宋体"/>
          <w:color w:val="auto"/>
          <w:sz w:val="24"/>
          <w:szCs w:val="24"/>
          <w:highlight w:val="none"/>
        </w:rPr>
      </w:pPr>
      <w:bookmarkStart w:id="8" w:name="_Toc7218"/>
      <w:r>
        <w:rPr>
          <w:rFonts w:hint="eastAsia" w:ascii="宋体" w:hAnsi="宋体" w:eastAsia="宋体" w:cs="宋体"/>
          <w:b/>
          <w:bCs/>
          <w:color w:val="auto"/>
          <w:spacing w:val="1"/>
          <w:sz w:val="24"/>
          <w:szCs w:val="24"/>
          <w:highlight w:val="none"/>
        </w:rPr>
        <w:t>3.3</w:t>
      </w:r>
      <w:r>
        <w:rPr>
          <w:rFonts w:hint="eastAsia" w:ascii="宋体" w:hAnsi="宋体" w:eastAsia="宋体" w:cs="宋体"/>
          <w:color w:val="auto"/>
          <w:spacing w:val="1"/>
          <w:sz w:val="24"/>
          <w:szCs w:val="24"/>
          <w:highlight w:val="none"/>
        </w:rPr>
        <w:t xml:space="preserve"> </w:t>
      </w:r>
      <w:r>
        <w:rPr>
          <w:rFonts w:hint="eastAsia" w:ascii="宋体" w:hAnsi="宋体" w:eastAsia="宋体" w:cs="宋体"/>
          <w:color w:val="auto"/>
          <w:sz w:val="24"/>
          <w:szCs w:val="24"/>
          <w:highlight w:val="none"/>
        </w:rPr>
        <w:t>第二个信封开标</w:t>
      </w:r>
      <w:bookmarkEnd w:id="8"/>
    </w:p>
    <w:p>
      <w:pPr>
        <w:spacing w:before="156" w:line="360" w:lineRule="auto"/>
        <w:ind w:left="35" w:right="26" w:firstLine="421"/>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第一个信封（商务及技术文件</w:t>
      </w:r>
      <w:r>
        <w:rPr>
          <w:rFonts w:hint="eastAsia" w:ascii="宋体" w:hAnsi="宋体" w:eastAsia="宋体" w:cs="宋体"/>
          <w:color w:val="auto"/>
          <w:spacing w:val="-75"/>
          <w:sz w:val="24"/>
          <w:szCs w:val="24"/>
          <w:highlight w:val="none"/>
        </w:rPr>
        <w:t>）</w:t>
      </w:r>
      <w:r>
        <w:rPr>
          <w:rFonts w:hint="eastAsia" w:ascii="宋体" w:hAnsi="宋体" w:eastAsia="宋体" w:cs="宋体"/>
          <w:color w:val="auto"/>
          <w:sz w:val="24"/>
          <w:szCs w:val="24"/>
          <w:highlight w:val="none"/>
        </w:rPr>
        <w:t>评审结束后</w:t>
      </w:r>
      <w:r>
        <w:rPr>
          <w:rFonts w:hint="eastAsia" w:ascii="宋体" w:hAnsi="宋体" w:eastAsia="宋体" w:cs="宋体"/>
          <w:color w:val="auto"/>
          <w:spacing w:val="-75"/>
          <w:sz w:val="24"/>
          <w:szCs w:val="24"/>
          <w:highlight w:val="none"/>
        </w:rPr>
        <w:t>，</w:t>
      </w:r>
      <w:r>
        <w:rPr>
          <w:rFonts w:hint="eastAsia" w:ascii="宋体" w:hAnsi="宋体" w:eastAsia="宋体" w:cs="宋体"/>
          <w:color w:val="auto"/>
          <w:sz w:val="24"/>
          <w:szCs w:val="24"/>
          <w:highlight w:val="none"/>
        </w:rPr>
        <w:t>招标人将按照第二章“投标人须知”第</w:t>
      </w:r>
      <w:r>
        <w:rPr>
          <w:rFonts w:hint="eastAsia" w:ascii="宋体" w:hAnsi="宋体" w:eastAsia="宋体" w:cs="宋体"/>
          <w:color w:val="auto"/>
          <w:spacing w:val="-1"/>
          <w:sz w:val="24"/>
          <w:szCs w:val="24"/>
          <w:highlight w:val="none"/>
        </w:rPr>
        <w:t xml:space="preserve"> </w:t>
      </w:r>
      <w:r>
        <w:rPr>
          <w:rFonts w:hint="eastAsia" w:ascii="宋体" w:hAnsi="宋体" w:eastAsia="宋体" w:cs="宋体"/>
          <w:color w:val="auto"/>
          <w:sz w:val="24"/>
          <w:szCs w:val="24"/>
          <w:highlight w:val="none"/>
        </w:rPr>
        <w:t>5.1</w:t>
      </w:r>
      <w:r>
        <w:rPr>
          <w:rFonts w:hint="eastAsia" w:ascii="宋体" w:hAnsi="宋体" w:eastAsia="宋体" w:cs="宋体"/>
          <w:color w:val="auto"/>
          <w:spacing w:val="-1"/>
          <w:sz w:val="24"/>
          <w:szCs w:val="24"/>
          <w:highlight w:val="none"/>
        </w:rPr>
        <w:t xml:space="preserve"> </w:t>
      </w:r>
      <w:r>
        <w:rPr>
          <w:rFonts w:hint="eastAsia" w:ascii="宋体" w:hAnsi="宋体" w:eastAsia="宋体" w:cs="宋体"/>
          <w:color w:val="auto"/>
          <w:sz w:val="24"/>
          <w:szCs w:val="24"/>
          <w:highlight w:val="none"/>
        </w:rPr>
        <w:t>款规定的时间和地点对通过投标文件第一个信封（商务及技术文件</w:t>
      </w:r>
      <w:r>
        <w:rPr>
          <w:rFonts w:hint="eastAsia" w:ascii="宋体" w:hAnsi="宋体" w:eastAsia="宋体" w:cs="宋体"/>
          <w:color w:val="auto"/>
          <w:spacing w:val="-93"/>
          <w:sz w:val="24"/>
          <w:szCs w:val="24"/>
          <w:highlight w:val="none"/>
        </w:rPr>
        <w:t>）</w:t>
      </w:r>
      <w:r>
        <w:rPr>
          <w:rFonts w:hint="eastAsia" w:ascii="宋体" w:hAnsi="宋体" w:eastAsia="宋体" w:cs="宋体"/>
          <w:color w:val="auto"/>
          <w:sz w:val="24"/>
          <w:szCs w:val="24"/>
          <w:highlight w:val="none"/>
        </w:rPr>
        <w:t>评审的投标文件第二个信封（报价文件</w:t>
      </w:r>
      <w:r>
        <w:rPr>
          <w:rFonts w:hint="eastAsia" w:ascii="宋体" w:hAnsi="宋体" w:eastAsia="宋体" w:cs="宋体"/>
          <w:color w:val="auto"/>
          <w:spacing w:val="-93"/>
          <w:sz w:val="24"/>
          <w:szCs w:val="24"/>
          <w:highlight w:val="none"/>
        </w:rPr>
        <w:t>）</w:t>
      </w:r>
      <w:r>
        <w:rPr>
          <w:rFonts w:hint="eastAsia" w:ascii="宋体" w:hAnsi="宋体" w:eastAsia="宋体" w:cs="宋体"/>
          <w:color w:val="auto"/>
          <w:sz w:val="24"/>
          <w:szCs w:val="24"/>
          <w:highlight w:val="none"/>
        </w:rPr>
        <w:t xml:space="preserve"> 进行开标</w:t>
      </w:r>
      <w:r>
        <w:rPr>
          <w:rFonts w:hint="eastAsia" w:ascii="宋体" w:hAnsi="宋体" w:eastAsia="宋体" w:cs="宋体"/>
          <w:color w:val="auto"/>
          <w:spacing w:val="-19"/>
          <w:sz w:val="24"/>
          <w:szCs w:val="24"/>
          <w:highlight w:val="none"/>
        </w:rPr>
        <w:t>。</w:t>
      </w:r>
    </w:p>
    <w:p>
      <w:pPr>
        <w:spacing w:line="220" w:lineRule="auto"/>
        <w:ind w:firstLine="32"/>
        <w:outlineLvl w:val="2"/>
        <w:rPr>
          <w:rFonts w:ascii="宋体" w:hAnsi="宋体" w:eastAsia="宋体" w:cs="宋体"/>
          <w:color w:val="auto"/>
          <w:sz w:val="24"/>
          <w:szCs w:val="24"/>
          <w:highlight w:val="none"/>
        </w:rPr>
      </w:pPr>
      <w:bookmarkStart w:id="9" w:name="_Toc15453"/>
      <w:r>
        <w:rPr>
          <w:rFonts w:hint="eastAsia" w:ascii="宋体" w:hAnsi="宋体" w:eastAsia="宋体" w:cs="宋体"/>
          <w:b/>
          <w:bCs/>
          <w:color w:val="auto"/>
          <w:spacing w:val="1"/>
          <w:sz w:val="24"/>
          <w:szCs w:val="24"/>
          <w:highlight w:val="none"/>
        </w:rPr>
        <w:t>3.4</w:t>
      </w:r>
      <w:r>
        <w:rPr>
          <w:rFonts w:hint="eastAsia" w:ascii="宋体" w:hAnsi="宋体" w:eastAsia="宋体" w:cs="宋体"/>
          <w:color w:val="auto"/>
          <w:spacing w:val="1"/>
          <w:sz w:val="24"/>
          <w:szCs w:val="24"/>
          <w:highlight w:val="none"/>
        </w:rPr>
        <w:t xml:space="preserve"> 第二</w:t>
      </w:r>
      <w:r>
        <w:rPr>
          <w:rFonts w:hint="eastAsia" w:ascii="宋体" w:hAnsi="宋体" w:eastAsia="宋体" w:cs="宋体"/>
          <w:color w:val="auto"/>
          <w:sz w:val="24"/>
          <w:szCs w:val="24"/>
          <w:highlight w:val="none"/>
        </w:rPr>
        <w:t>个信封初步评审</w:t>
      </w:r>
      <w:bookmarkEnd w:id="9"/>
    </w:p>
    <w:p>
      <w:pPr>
        <w:spacing w:before="157" w:line="359" w:lineRule="auto"/>
        <w:ind w:left="38" w:right="26" w:firstLine="418"/>
        <w:rPr>
          <w:rFonts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3.4</w:t>
      </w:r>
      <w:r>
        <w:rPr>
          <w:rFonts w:hint="eastAsia" w:ascii="宋体" w:hAnsi="宋体" w:eastAsia="宋体" w:cs="宋体"/>
          <w:color w:val="auto"/>
          <w:sz w:val="24"/>
          <w:szCs w:val="24"/>
          <w:highlight w:val="none"/>
        </w:rPr>
        <w:t>.1</w:t>
      </w:r>
      <w:r>
        <w:rPr>
          <w:rFonts w:hint="eastAsia" w:ascii="宋体" w:hAnsi="宋体" w:eastAsia="宋体" w:cs="宋体"/>
          <w:color w:val="auto"/>
          <w:spacing w:val="-2"/>
          <w:sz w:val="24"/>
          <w:szCs w:val="24"/>
          <w:highlight w:val="none"/>
        </w:rPr>
        <w:t xml:space="preserve"> </w:t>
      </w:r>
      <w:r>
        <w:rPr>
          <w:rFonts w:hint="eastAsia" w:ascii="宋体" w:hAnsi="宋体" w:eastAsia="宋体" w:cs="宋体"/>
          <w:color w:val="auto"/>
          <w:sz w:val="24"/>
          <w:szCs w:val="24"/>
          <w:highlight w:val="none"/>
        </w:rPr>
        <w:t>评标委员会依据本章第</w:t>
      </w:r>
      <w:r>
        <w:rPr>
          <w:rFonts w:hint="eastAsia" w:ascii="宋体" w:hAnsi="宋体" w:eastAsia="宋体" w:cs="宋体"/>
          <w:color w:val="auto"/>
          <w:spacing w:val="-4"/>
          <w:sz w:val="24"/>
          <w:szCs w:val="24"/>
          <w:highlight w:val="none"/>
        </w:rPr>
        <w:t xml:space="preserve"> </w:t>
      </w:r>
      <w:r>
        <w:rPr>
          <w:rFonts w:hint="eastAsia" w:ascii="宋体" w:hAnsi="宋体" w:eastAsia="宋体" w:cs="宋体"/>
          <w:color w:val="auto"/>
          <w:sz w:val="24"/>
          <w:szCs w:val="24"/>
          <w:highlight w:val="none"/>
        </w:rPr>
        <w:t>2.1.1</w:t>
      </w:r>
      <w:r>
        <w:rPr>
          <w:rFonts w:hint="eastAsia" w:ascii="宋体" w:hAnsi="宋体" w:eastAsia="宋体" w:cs="宋体"/>
          <w:color w:val="auto"/>
          <w:spacing w:val="-2"/>
          <w:sz w:val="24"/>
          <w:szCs w:val="24"/>
          <w:highlight w:val="none"/>
        </w:rPr>
        <w:t xml:space="preserve"> </w:t>
      </w:r>
      <w:r>
        <w:rPr>
          <w:rFonts w:hint="eastAsia" w:ascii="宋体" w:hAnsi="宋体" w:eastAsia="宋体" w:cs="宋体"/>
          <w:color w:val="auto"/>
          <w:sz w:val="24"/>
          <w:szCs w:val="24"/>
          <w:highlight w:val="none"/>
        </w:rPr>
        <w:t>项</w:t>
      </w:r>
      <w:r>
        <w:rPr>
          <w:rFonts w:hint="eastAsia" w:ascii="宋体" w:hAnsi="宋体" w:eastAsia="宋体" w:cs="宋体"/>
          <w:color w:val="auto"/>
          <w:spacing w:val="-106"/>
          <w:sz w:val="24"/>
          <w:szCs w:val="24"/>
          <w:highlight w:val="none"/>
        </w:rPr>
        <w:t>、</w:t>
      </w:r>
      <w:r>
        <w:rPr>
          <w:rFonts w:hint="eastAsia" w:ascii="宋体" w:hAnsi="宋体" w:eastAsia="宋体" w:cs="宋体"/>
          <w:color w:val="auto"/>
          <w:sz w:val="24"/>
          <w:szCs w:val="24"/>
          <w:highlight w:val="none"/>
        </w:rPr>
        <w:t>第</w:t>
      </w:r>
      <w:r>
        <w:rPr>
          <w:rFonts w:hint="eastAsia" w:ascii="宋体" w:hAnsi="宋体" w:eastAsia="宋体" w:cs="宋体"/>
          <w:color w:val="auto"/>
          <w:spacing w:val="-4"/>
          <w:sz w:val="24"/>
          <w:szCs w:val="24"/>
          <w:highlight w:val="none"/>
        </w:rPr>
        <w:t xml:space="preserve"> </w:t>
      </w:r>
      <w:r>
        <w:rPr>
          <w:rFonts w:hint="eastAsia" w:ascii="宋体" w:hAnsi="宋体" w:eastAsia="宋体" w:cs="宋体"/>
          <w:color w:val="auto"/>
          <w:sz w:val="24"/>
          <w:szCs w:val="24"/>
          <w:highlight w:val="none"/>
        </w:rPr>
        <w:t>2.1.3</w:t>
      </w:r>
      <w:r>
        <w:rPr>
          <w:rFonts w:hint="eastAsia" w:ascii="宋体" w:hAnsi="宋体" w:eastAsia="宋体" w:cs="宋体"/>
          <w:color w:val="auto"/>
          <w:spacing w:val="-2"/>
          <w:sz w:val="24"/>
          <w:szCs w:val="24"/>
          <w:highlight w:val="none"/>
        </w:rPr>
        <w:t xml:space="preserve"> </w:t>
      </w:r>
      <w:r>
        <w:rPr>
          <w:rFonts w:hint="eastAsia" w:ascii="宋体" w:hAnsi="宋体" w:eastAsia="宋体" w:cs="宋体"/>
          <w:color w:val="auto"/>
          <w:sz w:val="24"/>
          <w:szCs w:val="24"/>
          <w:highlight w:val="none"/>
        </w:rPr>
        <w:t>项规定的评审标准对投标文件第二个信封（报价 文件</w:t>
      </w:r>
      <w:r>
        <w:rPr>
          <w:rFonts w:hint="eastAsia" w:ascii="宋体" w:hAnsi="宋体" w:eastAsia="宋体" w:cs="宋体"/>
          <w:color w:val="auto"/>
          <w:spacing w:val="-1"/>
          <w:sz w:val="24"/>
          <w:szCs w:val="24"/>
          <w:highlight w:val="none"/>
        </w:rPr>
        <w:t>）</w:t>
      </w:r>
      <w:r>
        <w:rPr>
          <w:rFonts w:hint="eastAsia" w:ascii="宋体" w:hAnsi="宋体" w:eastAsia="宋体" w:cs="宋体"/>
          <w:color w:val="auto"/>
          <w:spacing w:val="-105"/>
          <w:sz w:val="24"/>
          <w:szCs w:val="24"/>
          <w:highlight w:val="none"/>
        </w:rPr>
        <w:t xml:space="preserve"> </w:t>
      </w:r>
      <w:r>
        <w:rPr>
          <w:rFonts w:hint="eastAsia" w:ascii="宋体" w:hAnsi="宋体" w:eastAsia="宋体" w:cs="宋体"/>
          <w:color w:val="auto"/>
          <w:sz w:val="24"/>
          <w:szCs w:val="24"/>
          <w:highlight w:val="none"/>
        </w:rPr>
        <w:t>进行初步评审</w:t>
      </w:r>
      <w:r>
        <w:rPr>
          <w:rFonts w:hint="eastAsia" w:ascii="宋体" w:hAnsi="宋体" w:eastAsia="宋体" w:cs="宋体"/>
          <w:color w:val="auto"/>
          <w:spacing w:val="-1"/>
          <w:sz w:val="24"/>
          <w:szCs w:val="24"/>
          <w:highlight w:val="none"/>
        </w:rPr>
        <w:t>。</w:t>
      </w:r>
      <w:r>
        <w:rPr>
          <w:rFonts w:hint="eastAsia" w:ascii="宋体" w:hAnsi="宋体" w:eastAsia="宋体" w:cs="宋体"/>
          <w:color w:val="auto"/>
          <w:sz w:val="24"/>
          <w:szCs w:val="24"/>
          <w:highlight w:val="none"/>
        </w:rPr>
        <w:t>有一项不符合评审标准的</w:t>
      </w:r>
      <w:r>
        <w:rPr>
          <w:rFonts w:hint="eastAsia" w:ascii="宋体" w:hAnsi="宋体" w:eastAsia="宋体" w:cs="宋体"/>
          <w:color w:val="auto"/>
          <w:spacing w:val="-1"/>
          <w:sz w:val="24"/>
          <w:szCs w:val="24"/>
          <w:highlight w:val="none"/>
        </w:rPr>
        <w:t>，</w:t>
      </w:r>
      <w:r>
        <w:rPr>
          <w:rFonts w:hint="eastAsia" w:ascii="宋体" w:hAnsi="宋体" w:eastAsia="宋体" w:cs="宋体"/>
          <w:color w:val="auto"/>
          <w:spacing w:val="-105"/>
          <w:sz w:val="24"/>
          <w:szCs w:val="24"/>
          <w:highlight w:val="none"/>
        </w:rPr>
        <w:t xml:space="preserve"> </w:t>
      </w:r>
      <w:r>
        <w:rPr>
          <w:rFonts w:hint="eastAsia" w:ascii="宋体" w:hAnsi="宋体" w:eastAsia="宋体" w:cs="宋体"/>
          <w:color w:val="auto"/>
          <w:sz w:val="24"/>
          <w:szCs w:val="24"/>
          <w:highlight w:val="none"/>
        </w:rPr>
        <w:t>评标委员会应否决其投标。</w:t>
      </w:r>
    </w:p>
    <w:p>
      <w:pPr>
        <w:spacing w:before="1" w:line="359" w:lineRule="auto"/>
        <w:ind w:left="38" w:right="26" w:firstLine="418"/>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3.4.2 投标报价有算术错误的</w:t>
      </w:r>
      <w:r>
        <w:rPr>
          <w:rFonts w:hint="eastAsia" w:ascii="宋体" w:hAnsi="宋体" w:eastAsia="宋体" w:cs="宋体"/>
          <w:color w:val="auto"/>
          <w:spacing w:val="-9"/>
          <w:sz w:val="24"/>
          <w:szCs w:val="24"/>
          <w:highlight w:val="none"/>
        </w:rPr>
        <w:t>，</w:t>
      </w:r>
      <w:r>
        <w:rPr>
          <w:rFonts w:hint="eastAsia" w:ascii="宋体" w:hAnsi="宋体" w:eastAsia="宋体" w:cs="宋体"/>
          <w:color w:val="auto"/>
          <w:spacing w:val="-105"/>
          <w:sz w:val="24"/>
          <w:szCs w:val="24"/>
          <w:highlight w:val="none"/>
        </w:rPr>
        <w:t xml:space="preserve"> </w:t>
      </w:r>
      <w:r>
        <w:rPr>
          <w:rFonts w:hint="eastAsia" w:ascii="宋体" w:hAnsi="宋体" w:eastAsia="宋体" w:cs="宋体"/>
          <w:color w:val="auto"/>
          <w:sz w:val="24"/>
          <w:szCs w:val="24"/>
          <w:highlight w:val="none"/>
        </w:rPr>
        <w:t>评标委员会按以下原则对投标报价进行修正</w:t>
      </w:r>
      <w:r>
        <w:rPr>
          <w:rFonts w:hint="eastAsia" w:ascii="宋体" w:hAnsi="宋体" w:eastAsia="宋体" w:cs="宋体"/>
          <w:color w:val="auto"/>
          <w:spacing w:val="-9"/>
          <w:sz w:val="24"/>
          <w:szCs w:val="24"/>
          <w:highlight w:val="none"/>
        </w:rPr>
        <w:t>，</w:t>
      </w:r>
      <w:r>
        <w:rPr>
          <w:rFonts w:hint="eastAsia" w:ascii="宋体" w:hAnsi="宋体" w:eastAsia="宋体" w:cs="宋体"/>
          <w:color w:val="auto"/>
          <w:spacing w:val="-105"/>
          <w:sz w:val="24"/>
          <w:szCs w:val="24"/>
          <w:highlight w:val="none"/>
        </w:rPr>
        <w:t xml:space="preserve"> </w:t>
      </w:r>
      <w:r>
        <w:rPr>
          <w:rFonts w:hint="eastAsia" w:ascii="宋体" w:hAnsi="宋体" w:eastAsia="宋体" w:cs="宋体"/>
          <w:color w:val="auto"/>
          <w:sz w:val="24"/>
          <w:szCs w:val="24"/>
          <w:highlight w:val="none"/>
        </w:rPr>
        <w:t>修正的价格经投标人书面确认后具有约束力</w:t>
      </w:r>
      <w:r>
        <w:rPr>
          <w:rFonts w:hint="eastAsia" w:ascii="宋体" w:hAnsi="宋体" w:eastAsia="宋体" w:cs="宋体"/>
          <w:color w:val="auto"/>
          <w:spacing w:val="-8"/>
          <w:sz w:val="24"/>
          <w:szCs w:val="24"/>
          <w:highlight w:val="none"/>
        </w:rPr>
        <w:t>。</w:t>
      </w:r>
      <w:r>
        <w:rPr>
          <w:rFonts w:hint="eastAsia" w:ascii="宋体" w:hAnsi="宋体" w:eastAsia="宋体" w:cs="宋体"/>
          <w:color w:val="auto"/>
          <w:sz w:val="24"/>
          <w:szCs w:val="24"/>
          <w:highlight w:val="none"/>
        </w:rPr>
        <w:t>投标人不接受修正价格的</w:t>
      </w:r>
      <w:r>
        <w:rPr>
          <w:rFonts w:hint="eastAsia" w:ascii="宋体" w:hAnsi="宋体" w:eastAsia="宋体" w:cs="宋体"/>
          <w:color w:val="auto"/>
          <w:spacing w:val="-8"/>
          <w:sz w:val="24"/>
          <w:szCs w:val="24"/>
          <w:highlight w:val="none"/>
        </w:rPr>
        <w:t>，</w:t>
      </w:r>
      <w:r>
        <w:rPr>
          <w:rFonts w:hint="eastAsia" w:ascii="宋体" w:hAnsi="宋体" w:eastAsia="宋体" w:cs="宋体"/>
          <w:color w:val="auto"/>
          <w:sz w:val="24"/>
          <w:szCs w:val="24"/>
          <w:highlight w:val="none"/>
        </w:rPr>
        <w:t>评标委员会应否决其投标</w:t>
      </w:r>
      <w:r>
        <w:rPr>
          <w:rFonts w:hint="eastAsia" w:ascii="宋体" w:hAnsi="宋体" w:eastAsia="宋体" w:cs="宋体"/>
          <w:color w:val="auto"/>
          <w:spacing w:val="-7"/>
          <w:sz w:val="24"/>
          <w:szCs w:val="24"/>
          <w:highlight w:val="none"/>
        </w:rPr>
        <w:t>。</w:t>
      </w:r>
    </w:p>
    <w:p>
      <w:pPr>
        <w:spacing w:before="1" w:line="213" w:lineRule="auto"/>
        <w:ind w:firstLine="457"/>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(1)投标文件中的大写金额与小写金额不一致的</w:t>
      </w:r>
      <w:r>
        <w:rPr>
          <w:rFonts w:hint="eastAsia" w:ascii="宋体" w:hAnsi="宋体" w:eastAsia="宋体" w:cs="宋体"/>
          <w:color w:val="auto"/>
          <w:spacing w:val="-15"/>
          <w:sz w:val="24"/>
          <w:szCs w:val="24"/>
          <w:highlight w:val="none"/>
        </w:rPr>
        <w:t>，</w:t>
      </w:r>
      <w:r>
        <w:rPr>
          <w:rFonts w:hint="eastAsia" w:ascii="宋体" w:hAnsi="宋体" w:eastAsia="宋体" w:cs="宋体"/>
          <w:color w:val="auto"/>
          <w:sz w:val="24"/>
          <w:szCs w:val="24"/>
          <w:highlight w:val="none"/>
        </w:rPr>
        <w:t>以大写金额为准</w:t>
      </w:r>
      <w:r>
        <w:rPr>
          <w:rFonts w:hint="eastAsia" w:ascii="宋体" w:hAnsi="宋体" w:eastAsia="宋体" w:cs="宋体"/>
          <w:color w:val="auto"/>
          <w:spacing w:val="-14"/>
          <w:sz w:val="24"/>
          <w:szCs w:val="24"/>
          <w:highlight w:val="none"/>
        </w:rPr>
        <w:t>；</w:t>
      </w:r>
    </w:p>
    <w:p>
      <w:pPr>
        <w:spacing w:before="165" w:line="359" w:lineRule="auto"/>
        <w:ind w:left="37" w:right="26" w:firstLine="41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(2)总价金额与依据单价计算出的结果不一致的</w:t>
      </w:r>
      <w:r>
        <w:rPr>
          <w:rFonts w:hint="eastAsia" w:ascii="宋体" w:hAnsi="宋体" w:eastAsia="宋体" w:cs="宋体"/>
          <w:color w:val="auto"/>
          <w:spacing w:val="-1"/>
          <w:sz w:val="24"/>
          <w:szCs w:val="24"/>
          <w:highlight w:val="none"/>
        </w:rPr>
        <w:t>，</w:t>
      </w:r>
      <w:r>
        <w:rPr>
          <w:rFonts w:hint="eastAsia" w:ascii="宋体" w:hAnsi="宋体" w:eastAsia="宋体" w:cs="宋体"/>
          <w:color w:val="auto"/>
          <w:spacing w:val="-105"/>
          <w:sz w:val="24"/>
          <w:szCs w:val="24"/>
          <w:highlight w:val="none"/>
        </w:rPr>
        <w:t xml:space="preserve"> </w:t>
      </w:r>
      <w:r>
        <w:rPr>
          <w:rFonts w:hint="eastAsia" w:ascii="宋体" w:hAnsi="宋体" w:eastAsia="宋体" w:cs="宋体"/>
          <w:color w:val="auto"/>
          <w:sz w:val="24"/>
          <w:szCs w:val="24"/>
          <w:highlight w:val="none"/>
        </w:rPr>
        <w:t>以单价金额为准修正总价，但单价金额小数点有明显错误的除外</w:t>
      </w:r>
      <w:r>
        <w:rPr>
          <w:rFonts w:hint="eastAsia" w:ascii="宋体" w:hAnsi="宋体" w:eastAsia="宋体" w:cs="宋体"/>
          <w:color w:val="auto"/>
          <w:spacing w:val="-31"/>
          <w:sz w:val="24"/>
          <w:szCs w:val="24"/>
          <w:highlight w:val="none"/>
        </w:rPr>
        <w:t>；</w:t>
      </w:r>
    </w:p>
    <w:p>
      <w:pPr>
        <w:spacing w:before="2" w:line="359" w:lineRule="auto"/>
        <w:ind w:left="60" w:right="26" w:firstLine="396"/>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(3)当单价与数量相乘不等于合价时</w:t>
      </w:r>
      <w:r>
        <w:rPr>
          <w:rFonts w:hint="eastAsia" w:ascii="宋体" w:hAnsi="宋体" w:eastAsia="宋体" w:cs="宋体"/>
          <w:color w:val="auto"/>
          <w:spacing w:val="-1"/>
          <w:sz w:val="24"/>
          <w:szCs w:val="24"/>
          <w:highlight w:val="none"/>
        </w:rPr>
        <w:t>，</w:t>
      </w:r>
      <w:r>
        <w:rPr>
          <w:rFonts w:hint="eastAsia" w:ascii="宋体" w:hAnsi="宋体" w:eastAsia="宋体" w:cs="宋体"/>
          <w:color w:val="auto"/>
          <w:spacing w:val="-105"/>
          <w:sz w:val="24"/>
          <w:szCs w:val="24"/>
          <w:highlight w:val="none"/>
        </w:rPr>
        <w:t xml:space="preserve"> </w:t>
      </w:r>
      <w:r>
        <w:rPr>
          <w:rFonts w:hint="eastAsia" w:ascii="宋体" w:hAnsi="宋体" w:eastAsia="宋体" w:cs="宋体"/>
          <w:color w:val="auto"/>
          <w:sz w:val="24"/>
          <w:szCs w:val="24"/>
          <w:highlight w:val="none"/>
        </w:rPr>
        <w:t>以单价计算为准，如果单价有明显的小数点位置差错，</w:t>
      </w:r>
      <w:r>
        <w:rPr>
          <w:rFonts w:hint="eastAsia" w:ascii="宋体" w:hAnsi="宋体" w:eastAsia="宋体" w:cs="宋体"/>
          <w:color w:val="auto"/>
          <w:spacing w:val="-105"/>
          <w:sz w:val="24"/>
          <w:szCs w:val="24"/>
          <w:highlight w:val="none"/>
        </w:rPr>
        <w:t xml:space="preserve"> </w:t>
      </w:r>
      <w:r>
        <w:rPr>
          <w:rFonts w:hint="eastAsia" w:ascii="宋体" w:hAnsi="宋体" w:eastAsia="宋体" w:cs="宋体"/>
          <w:color w:val="auto"/>
          <w:sz w:val="24"/>
          <w:szCs w:val="24"/>
          <w:highlight w:val="none"/>
        </w:rPr>
        <w:t>应 以标出的合价为准</w:t>
      </w:r>
      <w:r>
        <w:rPr>
          <w:rFonts w:hint="eastAsia" w:ascii="宋体" w:hAnsi="宋体" w:eastAsia="宋体" w:cs="宋体"/>
          <w:color w:val="auto"/>
          <w:spacing w:val="-14"/>
          <w:sz w:val="24"/>
          <w:szCs w:val="24"/>
          <w:highlight w:val="none"/>
        </w:rPr>
        <w:t>，</w:t>
      </w:r>
      <w:r>
        <w:rPr>
          <w:rFonts w:hint="eastAsia" w:ascii="宋体" w:hAnsi="宋体" w:eastAsia="宋体" w:cs="宋体"/>
          <w:color w:val="auto"/>
          <w:spacing w:val="-105"/>
          <w:sz w:val="24"/>
          <w:szCs w:val="24"/>
          <w:highlight w:val="none"/>
        </w:rPr>
        <w:t xml:space="preserve"> </w:t>
      </w:r>
      <w:r>
        <w:rPr>
          <w:rFonts w:hint="eastAsia" w:ascii="宋体" w:hAnsi="宋体" w:eastAsia="宋体" w:cs="宋体"/>
          <w:color w:val="auto"/>
          <w:sz w:val="24"/>
          <w:szCs w:val="24"/>
          <w:highlight w:val="none"/>
        </w:rPr>
        <w:t>同时对单价予以修正</w:t>
      </w:r>
      <w:r>
        <w:rPr>
          <w:rFonts w:hint="eastAsia" w:ascii="宋体" w:hAnsi="宋体" w:eastAsia="宋体" w:cs="宋体"/>
          <w:color w:val="auto"/>
          <w:spacing w:val="-13"/>
          <w:sz w:val="24"/>
          <w:szCs w:val="24"/>
          <w:highlight w:val="none"/>
        </w:rPr>
        <w:t>；</w:t>
      </w:r>
    </w:p>
    <w:p>
      <w:pPr>
        <w:spacing w:line="213" w:lineRule="auto"/>
        <w:ind w:firstLine="457"/>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(4)当各子目的合价累计不等于总价时</w:t>
      </w:r>
      <w:r>
        <w:rPr>
          <w:rFonts w:hint="eastAsia" w:ascii="宋体" w:hAnsi="宋体" w:eastAsia="宋体" w:cs="宋体"/>
          <w:color w:val="auto"/>
          <w:spacing w:val="-7"/>
          <w:sz w:val="24"/>
          <w:szCs w:val="24"/>
          <w:highlight w:val="none"/>
        </w:rPr>
        <w:t>，</w:t>
      </w:r>
      <w:r>
        <w:rPr>
          <w:rFonts w:hint="eastAsia" w:ascii="宋体" w:hAnsi="宋体" w:eastAsia="宋体" w:cs="宋体"/>
          <w:color w:val="auto"/>
          <w:sz w:val="24"/>
          <w:szCs w:val="24"/>
          <w:highlight w:val="none"/>
        </w:rPr>
        <w:t>应以各子目合价累计数为准</w:t>
      </w:r>
      <w:r>
        <w:rPr>
          <w:rFonts w:hint="eastAsia" w:ascii="宋体" w:hAnsi="宋体" w:eastAsia="宋体" w:cs="宋体"/>
          <w:color w:val="auto"/>
          <w:spacing w:val="-6"/>
          <w:sz w:val="24"/>
          <w:szCs w:val="24"/>
          <w:highlight w:val="none"/>
        </w:rPr>
        <w:t>，</w:t>
      </w:r>
      <w:r>
        <w:rPr>
          <w:rFonts w:hint="eastAsia" w:ascii="宋体" w:hAnsi="宋体" w:eastAsia="宋体" w:cs="宋体"/>
          <w:color w:val="auto"/>
          <w:sz w:val="24"/>
          <w:szCs w:val="24"/>
          <w:highlight w:val="none"/>
        </w:rPr>
        <w:t>修正总价</w:t>
      </w:r>
      <w:r>
        <w:rPr>
          <w:rFonts w:hint="eastAsia" w:ascii="宋体" w:hAnsi="宋体" w:eastAsia="宋体" w:cs="宋体"/>
          <w:color w:val="auto"/>
          <w:spacing w:val="-6"/>
          <w:sz w:val="24"/>
          <w:szCs w:val="24"/>
          <w:highlight w:val="none"/>
        </w:rPr>
        <w:t>。</w:t>
      </w:r>
    </w:p>
    <w:p>
      <w:pPr>
        <w:spacing w:before="165" w:line="219" w:lineRule="auto"/>
        <w:ind w:firstLine="457"/>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3.4.3</w:t>
      </w:r>
      <w:r>
        <w:rPr>
          <w:rFonts w:hint="eastAsia" w:ascii="宋体" w:hAnsi="宋体" w:eastAsia="宋体" w:cs="宋体"/>
          <w:color w:val="auto"/>
          <w:spacing w:val="-2"/>
          <w:sz w:val="24"/>
          <w:szCs w:val="24"/>
          <w:highlight w:val="none"/>
        </w:rPr>
        <w:t xml:space="preserve"> </w:t>
      </w:r>
      <w:r>
        <w:rPr>
          <w:rFonts w:hint="eastAsia" w:ascii="宋体" w:hAnsi="宋体" w:eastAsia="宋体" w:cs="宋体"/>
          <w:color w:val="auto"/>
          <w:sz w:val="24"/>
          <w:szCs w:val="24"/>
          <w:highlight w:val="none"/>
        </w:rPr>
        <w:t>修正后的最终投标报价若超过最高投标限价（如有</w:t>
      </w:r>
      <w:r>
        <w:rPr>
          <w:rFonts w:hint="eastAsia" w:ascii="宋体" w:hAnsi="宋体" w:eastAsia="宋体" w:cs="宋体"/>
          <w:color w:val="auto"/>
          <w:spacing w:val="-36"/>
          <w:sz w:val="24"/>
          <w:szCs w:val="24"/>
          <w:highlight w:val="none"/>
        </w:rPr>
        <w:t>），</w:t>
      </w:r>
      <w:r>
        <w:rPr>
          <w:rFonts w:hint="eastAsia" w:ascii="宋体" w:hAnsi="宋体" w:eastAsia="宋体" w:cs="宋体"/>
          <w:color w:val="auto"/>
          <w:sz w:val="24"/>
          <w:szCs w:val="24"/>
          <w:highlight w:val="none"/>
        </w:rPr>
        <w:t>评标委员会应否决其投标</w:t>
      </w:r>
      <w:r>
        <w:rPr>
          <w:rFonts w:hint="eastAsia" w:ascii="宋体" w:hAnsi="宋体" w:eastAsia="宋体" w:cs="宋体"/>
          <w:color w:val="auto"/>
          <w:spacing w:val="-36"/>
          <w:sz w:val="24"/>
          <w:szCs w:val="24"/>
          <w:highlight w:val="none"/>
        </w:rPr>
        <w:t>。</w:t>
      </w:r>
    </w:p>
    <w:p>
      <w:pPr>
        <w:spacing w:before="159" w:line="219" w:lineRule="auto"/>
        <w:ind w:firstLine="457"/>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3.4.4</w:t>
      </w:r>
      <w:r>
        <w:rPr>
          <w:rFonts w:hint="eastAsia" w:ascii="宋体" w:hAnsi="宋体" w:eastAsia="宋体" w:cs="宋体"/>
          <w:color w:val="auto"/>
          <w:spacing w:val="-1"/>
          <w:sz w:val="24"/>
          <w:szCs w:val="24"/>
          <w:highlight w:val="none"/>
        </w:rPr>
        <w:t xml:space="preserve"> </w:t>
      </w:r>
      <w:r>
        <w:rPr>
          <w:rFonts w:hint="eastAsia" w:ascii="宋体" w:hAnsi="宋体" w:eastAsia="宋体" w:cs="宋体"/>
          <w:color w:val="auto"/>
          <w:sz w:val="24"/>
          <w:szCs w:val="24"/>
          <w:highlight w:val="none"/>
        </w:rPr>
        <w:t>修正后的最终投标报价仅作为签订合同的一个依据</w:t>
      </w:r>
      <w:r>
        <w:rPr>
          <w:rFonts w:hint="eastAsia" w:ascii="宋体" w:hAnsi="宋体" w:eastAsia="宋体" w:cs="宋体"/>
          <w:color w:val="auto"/>
          <w:spacing w:val="-1"/>
          <w:sz w:val="24"/>
          <w:szCs w:val="24"/>
          <w:highlight w:val="none"/>
        </w:rPr>
        <w:t>，</w:t>
      </w:r>
      <w:r>
        <w:rPr>
          <w:rFonts w:hint="eastAsia" w:ascii="宋体" w:hAnsi="宋体" w:eastAsia="宋体" w:cs="宋体"/>
          <w:color w:val="auto"/>
          <w:spacing w:val="-105"/>
          <w:sz w:val="24"/>
          <w:szCs w:val="24"/>
          <w:highlight w:val="none"/>
        </w:rPr>
        <w:t xml:space="preserve"> </w:t>
      </w:r>
      <w:r>
        <w:rPr>
          <w:rFonts w:hint="eastAsia" w:ascii="宋体" w:hAnsi="宋体" w:eastAsia="宋体" w:cs="宋体"/>
          <w:color w:val="auto"/>
          <w:sz w:val="24"/>
          <w:szCs w:val="24"/>
          <w:highlight w:val="none"/>
        </w:rPr>
        <w:t>不参与评标价得分的计算</w:t>
      </w:r>
      <w:r>
        <w:rPr>
          <w:rFonts w:hint="eastAsia" w:ascii="宋体" w:hAnsi="宋体" w:eastAsia="宋体" w:cs="宋体"/>
          <w:color w:val="auto"/>
          <w:spacing w:val="-1"/>
          <w:sz w:val="24"/>
          <w:szCs w:val="24"/>
          <w:highlight w:val="none"/>
        </w:rPr>
        <w:t>。</w:t>
      </w:r>
    </w:p>
    <w:p>
      <w:pPr>
        <w:spacing w:before="161" w:line="221" w:lineRule="auto"/>
        <w:ind w:firstLine="32"/>
        <w:outlineLvl w:val="2"/>
        <w:rPr>
          <w:rFonts w:ascii="宋体" w:hAnsi="宋体" w:eastAsia="宋体" w:cs="宋体"/>
          <w:color w:val="auto"/>
          <w:sz w:val="24"/>
          <w:szCs w:val="24"/>
          <w:highlight w:val="none"/>
        </w:rPr>
      </w:pPr>
      <w:bookmarkStart w:id="10" w:name="_Toc27084"/>
      <w:r>
        <w:rPr>
          <w:rFonts w:hint="eastAsia" w:ascii="宋体" w:hAnsi="宋体" w:eastAsia="宋体" w:cs="宋体"/>
          <w:b/>
          <w:bCs/>
          <w:color w:val="auto"/>
          <w:spacing w:val="1"/>
          <w:sz w:val="24"/>
          <w:szCs w:val="24"/>
          <w:highlight w:val="none"/>
        </w:rPr>
        <w:t>3.5</w:t>
      </w:r>
      <w:r>
        <w:rPr>
          <w:rFonts w:hint="eastAsia" w:ascii="宋体" w:hAnsi="宋体" w:eastAsia="宋体" w:cs="宋体"/>
          <w:color w:val="auto"/>
          <w:spacing w:val="1"/>
          <w:sz w:val="24"/>
          <w:szCs w:val="24"/>
          <w:highlight w:val="none"/>
        </w:rPr>
        <w:t xml:space="preserve"> 第二</w:t>
      </w:r>
      <w:r>
        <w:rPr>
          <w:rFonts w:hint="eastAsia" w:ascii="宋体" w:hAnsi="宋体" w:eastAsia="宋体" w:cs="宋体"/>
          <w:color w:val="auto"/>
          <w:sz w:val="24"/>
          <w:szCs w:val="24"/>
          <w:highlight w:val="none"/>
        </w:rPr>
        <w:t>个信封详细评审</w:t>
      </w:r>
      <w:bookmarkEnd w:id="10"/>
    </w:p>
    <w:p>
      <w:pPr>
        <w:spacing w:before="156" w:line="359" w:lineRule="auto"/>
        <w:ind w:left="37" w:right="26" w:firstLine="41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3.5.1</w:t>
      </w:r>
      <w:r>
        <w:rPr>
          <w:rFonts w:hint="eastAsia" w:ascii="宋体" w:hAnsi="宋体" w:eastAsia="宋体" w:cs="宋体"/>
          <w:color w:val="auto"/>
          <w:spacing w:val="-1"/>
          <w:sz w:val="24"/>
          <w:szCs w:val="24"/>
          <w:highlight w:val="none"/>
        </w:rPr>
        <w:t xml:space="preserve"> </w:t>
      </w:r>
      <w:r>
        <w:rPr>
          <w:rFonts w:hint="eastAsia" w:ascii="宋体" w:hAnsi="宋体" w:eastAsia="宋体" w:cs="宋体"/>
          <w:color w:val="auto"/>
          <w:sz w:val="24"/>
          <w:szCs w:val="24"/>
          <w:highlight w:val="none"/>
        </w:rPr>
        <w:t>评标委员会按本章第</w:t>
      </w:r>
      <w:r>
        <w:rPr>
          <w:rFonts w:hint="eastAsia" w:ascii="宋体" w:hAnsi="宋体" w:eastAsia="宋体" w:cs="宋体"/>
          <w:color w:val="auto"/>
          <w:spacing w:val="-1"/>
          <w:sz w:val="24"/>
          <w:szCs w:val="24"/>
          <w:highlight w:val="none"/>
        </w:rPr>
        <w:t xml:space="preserve"> </w:t>
      </w:r>
      <w:r>
        <w:rPr>
          <w:rFonts w:hint="eastAsia" w:ascii="宋体" w:hAnsi="宋体" w:eastAsia="宋体" w:cs="宋体"/>
          <w:color w:val="auto"/>
          <w:sz w:val="24"/>
          <w:szCs w:val="24"/>
          <w:highlight w:val="none"/>
        </w:rPr>
        <w:t>2.2.4 项（3</w:t>
      </w:r>
      <w:r>
        <w:rPr>
          <w:rFonts w:hint="eastAsia" w:ascii="宋体" w:hAnsi="宋体" w:eastAsia="宋体" w:cs="宋体"/>
          <w:color w:val="auto"/>
          <w:spacing w:val="-52"/>
          <w:sz w:val="24"/>
          <w:szCs w:val="24"/>
          <w:highlight w:val="none"/>
        </w:rPr>
        <w:t>）</w:t>
      </w:r>
      <w:r>
        <w:rPr>
          <w:rFonts w:hint="eastAsia" w:ascii="宋体" w:hAnsi="宋体" w:eastAsia="宋体" w:cs="宋体"/>
          <w:color w:val="auto"/>
          <w:spacing w:val="-105"/>
          <w:sz w:val="24"/>
          <w:szCs w:val="24"/>
          <w:highlight w:val="none"/>
        </w:rPr>
        <w:t xml:space="preserve"> </w:t>
      </w:r>
      <w:r>
        <w:rPr>
          <w:rFonts w:hint="eastAsia" w:ascii="宋体" w:hAnsi="宋体" w:eastAsia="宋体" w:cs="宋体"/>
          <w:color w:val="auto"/>
          <w:sz w:val="24"/>
          <w:szCs w:val="24"/>
          <w:highlight w:val="none"/>
        </w:rPr>
        <w:t>目规定的评审因素和分值对评标价计算出得分 C</w:t>
      </w:r>
      <w:r>
        <w:rPr>
          <w:rFonts w:hint="eastAsia" w:ascii="宋体" w:hAnsi="宋体" w:eastAsia="宋体" w:cs="宋体"/>
          <w:color w:val="auto"/>
          <w:spacing w:val="-52"/>
          <w:sz w:val="24"/>
          <w:szCs w:val="24"/>
          <w:highlight w:val="none"/>
        </w:rPr>
        <w:t>。</w:t>
      </w:r>
      <w:r>
        <w:rPr>
          <w:rFonts w:hint="eastAsia" w:ascii="宋体" w:hAnsi="宋体" w:eastAsia="宋体" w:cs="宋体"/>
          <w:color w:val="auto"/>
          <w:sz w:val="24"/>
          <w:szCs w:val="24"/>
          <w:highlight w:val="none"/>
        </w:rPr>
        <w:t>评标价得分分值计算保留小数点后两位</w:t>
      </w:r>
      <w:r>
        <w:rPr>
          <w:rFonts w:hint="eastAsia" w:ascii="宋体" w:hAnsi="宋体" w:eastAsia="宋体" w:cs="宋体"/>
          <w:color w:val="auto"/>
          <w:spacing w:val="-2"/>
          <w:sz w:val="24"/>
          <w:szCs w:val="24"/>
          <w:highlight w:val="none"/>
        </w:rPr>
        <w:t>，</w:t>
      </w:r>
      <w:r>
        <w:rPr>
          <w:rFonts w:hint="eastAsia" w:ascii="宋体" w:hAnsi="宋体" w:eastAsia="宋体" w:cs="宋体"/>
          <w:color w:val="auto"/>
          <w:sz w:val="24"/>
          <w:szCs w:val="24"/>
          <w:highlight w:val="none"/>
        </w:rPr>
        <w:t>小数点后第三位“四舍五入”</w:t>
      </w:r>
      <w:r>
        <w:rPr>
          <w:rFonts w:hint="eastAsia" w:ascii="宋体" w:hAnsi="宋体" w:eastAsia="宋体" w:cs="宋体"/>
          <w:color w:val="auto"/>
          <w:spacing w:val="-2"/>
          <w:sz w:val="24"/>
          <w:szCs w:val="24"/>
          <w:highlight w:val="none"/>
        </w:rPr>
        <w:t>。</w:t>
      </w:r>
    </w:p>
    <w:p>
      <w:pPr>
        <w:spacing w:before="1" w:line="220" w:lineRule="auto"/>
        <w:ind w:firstLine="457"/>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3.5.2 投标人综合得分=投标人的商务和技术得分+C</w:t>
      </w:r>
      <w:r>
        <w:rPr>
          <w:rFonts w:hint="eastAsia" w:ascii="宋体" w:hAnsi="宋体" w:eastAsia="宋体" w:cs="宋体"/>
          <w:color w:val="auto"/>
          <w:spacing w:val="-6"/>
          <w:sz w:val="24"/>
          <w:szCs w:val="24"/>
          <w:highlight w:val="none"/>
        </w:rPr>
        <w:t>。</w:t>
      </w:r>
    </w:p>
    <w:p>
      <w:pPr>
        <w:spacing w:before="158" w:line="219" w:lineRule="auto"/>
        <w:ind w:firstLine="457"/>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3.5.3</w:t>
      </w:r>
      <w:r>
        <w:rPr>
          <w:rFonts w:hint="eastAsia" w:ascii="宋体" w:hAnsi="宋体" w:eastAsia="宋体" w:cs="宋体"/>
          <w:color w:val="auto"/>
          <w:spacing w:val="-1"/>
          <w:sz w:val="24"/>
          <w:szCs w:val="24"/>
          <w:highlight w:val="none"/>
        </w:rPr>
        <w:t xml:space="preserve"> </w:t>
      </w:r>
      <w:r>
        <w:rPr>
          <w:rFonts w:hint="eastAsia" w:ascii="宋体" w:hAnsi="宋体" w:eastAsia="宋体" w:cs="宋体"/>
          <w:color w:val="auto"/>
          <w:sz w:val="24"/>
          <w:szCs w:val="24"/>
          <w:highlight w:val="none"/>
        </w:rPr>
        <w:t>评标委员会发现投标人的报价明显低于其他投标报价</w:t>
      </w:r>
      <w:r>
        <w:rPr>
          <w:rFonts w:hint="eastAsia" w:ascii="宋体" w:hAnsi="宋体" w:eastAsia="宋体" w:cs="宋体"/>
          <w:color w:val="auto"/>
          <w:spacing w:val="-16"/>
          <w:sz w:val="24"/>
          <w:szCs w:val="24"/>
          <w:highlight w:val="none"/>
        </w:rPr>
        <w:t>，</w:t>
      </w:r>
      <w:r>
        <w:rPr>
          <w:rFonts w:hint="eastAsia" w:ascii="宋体" w:hAnsi="宋体" w:eastAsia="宋体" w:cs="宋体"/>
          <w:color w:val="auto"/>
          <w:sz w:val="24"/>
          <w:szCs w:val="24"/>
          <w:highlight w:val="none"/>
        </w:rPr>
        <w:t>使得其投标报价可能低于其个别成</w:t>
      </w:r>
    </w:p>
    <w:p>
      <w:pPr>
        <w:spacing w:before="160" w:line="359" w:lineRule="auto"/>
        <w:ind w:left="37" w:right="25"/>
        <w:rPr>
          <w:rFonts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本的，应要求该投标人作出书面说明并提供相应的证明材料。投标人不能合理说</w:t>
      </w:r>
      <w:r>
        <w:rPr>
          <w:rFonts w:hint="eastAsia" w:ascii="宋体" w:hAnsi="宋体" w:eastAsia="宋体" w:cs="宋体"/>
          <w:color w:val="auto"/>
          <w:sz w:val="24"/>
          <w:szCs w:val="24"/>
          <w:highlight w:val="none"/>
        </w:rPr>
        <w:t>明或不能提供相应证明材料的</w:t>
      </w:r>
      <w:r>
        <w:rPr>
          <w:rFonts w:hint="eastAsia" w:ascii="宋体" w:hAnsi="宋体" w:eastAsia="宋体" w:cs="宋体"/>
          <w:color w:val="auto"/>
          <w:spacing w:val="-6"/>
          <w:sz w:val="24"/>
          <w:szCs w:val="24"/>
          <w:highlight w:val="none"/>
        </w:rPr>
        <w:t>，</w:t>
      </w:r>
      <w:r>
        <w:rPr>
          <w:rFonts w:hint="eastAsia" w:ascii="宋体" w:hAnsi="宋体" w:eastAsia="宋体" w:cs="宋体"/>
          <w:color w:val="auto"/>
          <w:sz w:val="24"/>
          <w:szCs w:val="24"/>
          <w:highlight w:val="none"/>
        </w:rPr>
        <w:t>评标委员会应认定该投标人以低于成本报价竞标</w:t>
      </w:r>
      <w:r>
        <w:rPr>
          <w:rFonts w:hint="eastAsia" w:ascii="宋体" w:hAnsi="宋体" w:eastAsia="宋体" w:cs="宋体"/>
          <w:color w:val="auto"/>
          <w:spacing w:val="-6"/>
          <w:sz w:val="24"/>
          <w:szCs w:val="24"/>
          <w:highlight w:val="none"/>
        </w:rPr>
        <w:t>，</w:t>
      </w:r>
      <w:r>
        <w:rPr>
          <w:rFonts w:hint="eastAsia" w:ascii="宋体" w:hAnsi="宋体" w:eastAsia="宋体" w:cs="宋体"/>
          <w:color w:val="auto"/>
          <w:sz w:val="24"/>
          <w:szCs w:val="24"/>
          <w:highlight w:val="none"/>
        </w:rPr>
        <w:t>并否决其投标</w:t>
      </w:r>
      <w:r>
        <w:rPr>
          <w:rFonts w:hint="eastAsia" w:ascii="宋体" w:hAnsi="宋体" w:eastAsia="宋体" w:cs="宋体"/>
          <w:color w:val="auto"/>
          <w:spacing w:val="-5"/>
          <w:sz w:val="24"/>
          <w:szCs w:val="24"/>
          <w:highlight w:val="none"/>
        </w:rPr>
        <w:t>。</w:t>
      </w:r>
    </w:p>
    <w:p>
      <w:pPr>
        <w:spacing w:before="1" w:line="220" w:lineRule="auto"/>
        <w:ind w:firstLine="32"/>
        <w:outlineLvl w:val="2"/>
        <w:rPr>
          <w:rFonts w:ascii="宋体" w:hAnsi="宋体" w:eastAsia="宋体" w:cs="宋体"/>
          <w:color w:val="auto"/>
          <w:sz w:val="24"/>
          <w:szCs w:val="24"/>
          <w:highlight w:val="none"/>
        </w:rPr>
      </w:pPr>
      <w:bookmarkStart w:id="11" w:name="_Toc5914"/>
      <w:r>
        <w:rPr>
          <w:rFonts w:hint="eastAsia" w:ascii="宋体" w:hAnsi="宋体" w:eastAsia="宋体" w:cs="宋体"/>
          <w:b/>
          <w:bCs/>
          <w:color w:val="auto"/>
          <w:spacing w:val="1"/>
          <w:sz w:val="24"/>
          <w:szCs w:val="24"/>
          <w:highlight w:val="none"/>
        </w:rPr>
        <w:t>3.6</w:t>
      </w:r>
      <w:r>
        <w:rPr>
          <w:rFonts w:hint="eastAsia" w:ascii="宋体" w:hAnsi="宋体" w:eastAsia="宋体" w:cs="宋体"/>
          <w:color w:val="auto"/>
          <w:spacing w:val="1"/>
          <w:sz w:val="24"/>
          <w:szCs w:val="24"/>
          <w:highlight w:val="none"/>
        </w:rPr>
        <w:t xml:space="preserve"> 投标文件</w:t>
      </w:r>
      <w:r>
        <w:rPr>
          <w:rFonts w:hint="eastAsia" w:ascii="宋体" w:hAnsi="宋体" w:eastAsia="宋体" w:cs="宋体"/>
          <w:color w:val="auto"/>
          <w:sz w:val="24"/>
          <w:szCs w:val="24"/>
          <w:highlight w:val="none"/>
        </w:rPr>
        <w:t>相关信息的核查</w:t>
      </w:r>
      <w:bookmarkEnd w:id="11"/>
    </w:p>
    <w:p>
      <w:pPr>
        <w:spacing w:before="155" w:line="364" w:lineRule="auto"/>
        <w:ind w:left="36" w:right="25" w:firstLine="421"/>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3.6.1</w:t>
      </w:r>
      <w:r>
        <w:rPr>
          <w:rFonts w:hint="eastAsia" w:ascii="宋体" w:hAnsi="宋体" w:eastAsia="宋体" w:cs="宋体"/>
          <w:color w:val="auto"/>
          <w:spacing w:val="-1"/>
          <w:sz w:val="24"/>
          <w:szCs w:val="24"/>
          <w:highlight w:val="none"/>
        </w:rPr>
        <w:t xml:space="preserve"> </w:t>
      </w:r>
      <w:r>
        <w:rPr>
          <w:rFonts w:hint="eastAsia" w:ascii="宋体" w:hAnsi="宋体" w:eastAsia="宋体" w:cs="宋体"/>
          <w:color w:val="auto"/>
          <w:sz w:val="24"/>
          <w:szCs w:val="24"/>
          <w:highlight w:val="none"/>
        </w:rPr>
        <w:t>在评标过程中</w:t>
      </w:r>
      <w:r>
        <w:rPr>
          <w:rFonts w:hint="eastAsia" w:ascii="宋体" w:hAnsi="宋体" w:eastAsia="宋体" w:cs="宋体"/>
          <w:color w:val="auto"/>
          <w:spacing w:val="-22"/>
          <w:sz w:val="24"/>
          <w:szCs w:val="24"/>
          <w:highlight w:val="none"/>
        </w:rPr>
        <w:t>，</w:t>
      </w:r>
      <w:r>
        <w:rPr>
          <w:rFonts w:hint="eastAsia" w:ascii="宋体" w:hAnsi="宋体" w:eastAsia="宋体" w:cs="宋体"/>
          <w:color w:val="auto"/>
          <w:sz w:val="24"/>
          <w:szCs w:val="24"/>
          <w:highlight w:val="none"/>
        </w:rPr>
        <w:t>评标委员会应查询交通运输主管部门“公路建设市场信用信息管理系统”</w:t>
      </w:r>
      <w:r>
        <w:rPr>
          <w:rFonts w:hint="eastAsia" w:ascii="宋体" w:hAnsi="宋体" w:eastAsia="宋体" w:cs="宋体"/>
          <w:color w:val="auto"/>
          <w:spacing w:val="-1"/>
          <w:sz w:val="24"/>
          <w:szCs w:val="24"/>
          <w:highlight w:val="none"/>
        </w:rPr>
        <w:t xml:space="preserve"> </w:t>
      </w:r>
      <w:r>
        <w:rPr>
          <w:rFonts w:hint="eastAsia" w:ascii="宋体" w:hAnsi="宋体" w:eastAsia="宋体" w:cs="宋体"/>
          <w:color w:val="auto"/>
          <w:spacing w:val="-22"/>
          <w:sz w:val="24"/>
          <w:szCs w:val="24"/>
          <w:highlight w:val="none"/>
        </w:rPr>
        <w:t>，</w:t>
      </w:r>
      <w:r>
        <w:rPr>
          <w:rFonts w:hint="eastAsia" w:ascii="宋体" w:hAnsi="宋体" w:eastAsia="宋体" w:cs="宋体"/>
          <w:color w:val="auto"/>
          <w:sz w:val="24"/>
          <w:szCs w:val="24"/>
          <w:highlight w:val="none"/>
        </w:rPr>
        <w:t xml:space="preserve"> </w:t>
      </w:r>
      <w:r>
        <w:rPr>
          <w:rFonts w:hint="eastAsia" w:ascii="宋体" w:hAnsi="宋体" w:eastAsia="宋体" w:cs="宋体"/>
          <w:color w:val="auto"/>
          <w:spacing w:val="1"/>
          <w:sz w:val="24"/>
          <w:szCs w:val="24"/>
          <w:highlight w:val="none"/>
        </w:rPr>
        <w:t>对投标人的资质、业绩、主要人员资历和目前在岗情况、信用等级等信息进行核实。</w:t>
      </w:r>
      <w:r>
        <w:rPr>
          <w:rFonts w:hint="eastAsia" w:ascii="宋体" w:hAnsi="宋体" w:eastAsia="宋体" w:cs="宋体"/>
          <w:color w:val="auto"/>
          <w:sz w:val="24"/>
          <w:szCs w:val="24"/>
          <w:highlight w:val="none"/>
        </w:rPr>
        <w:t>若投标文件载</w:t>
      </w:r>
      <w:r>
        <w:rPr>
          <w:rFonts w:hint="eastAsia" w:ascii="宋体" w:hAnsi="宋体" w:eastAsia="宋体" w:cs="宋体"/>
          <w:color w:val="auto"/>
          <w:spacing w:val="2"/>
          <w:sz w:val="24"/>
          <w:szCs w:val="24"/>
          <w:highlight w:val="none"/>
        </w:rPr>
        <w:t>明的信息与交通运输主管部门“</w:t>
      </w:r>
      <w:r>
        <w:rPr>
          <w:rFonts w:hint="eastAsia" w:ascii="宋体" w:hAnsi="宋体" w:eastAsia="宋体" w:cs="宋体"/>
          <w:color w:val="auto"/>
          <w:spacing w:val="1"/>
          <w:sz w:val="24"/>
          <w:szCs w:val="24"/>
          <w:highlight w:val="none"/>
        </w:rPr>
        <w:t>公路建设市场信用信息管理系统”发布的信息不符</w:t>
      </w:r>
      <w:r>
        <w:rPr>
          <w:rFonts w:hint="eastAsia" w:ascii="宋体" w:hAnsi="宋体" w:eastAsia="宋体" w:cs="宋体"/>
          <w:color w:val="auto"/>
          <w:spacing w:val="2"/>
          <w:sz w:val="24"/>
          <w:szCs w:val="24"/>
          <w:highlight w:val="none"/>
        </w:rPr>
        <w:t>，</w:t>
      </w:r>
      <w:r>
        <w:rPr>
          <w:rFonts w:hint="eastAsia" w:ascii="宋体" w:hAnsi="宋体" w:eastAsia="宋体" w:cs="宋体"/>
          <w:color w:val="auto"/>
          <w:spacing w:val="1"/>
          <w:sz w:val="24"/>
          <w:szCs w:val="24"/>
          <w:highlight w:val="none"/>
        </w:rPr>
        <w:t>使得投标人的资</w:t>
      </w:r>
      <w:r>
        <w:rPr>
          <w:rFonts w:hint="eastAsia" w:ascii="宋体" w:hAnsi="宋体" w:eastAsia="宋体" w:cs="宋体"/>
          <w:color w:val="auto"/>
          <w:sz w:val="24"/>
          <w:szCs w:val="24"/>
          <w:highlight w:val="none"/>
        </w:rPr>
        <w:t>格条件不符合招标文件规定的</w:t>
      </w:r>
      <w:r>
        <w:rPr>
          <w:rFonts w:hint="eastAsia" w:ascii="宋体" w:hAnsi="宋体" w:eastAsia="宋体" w:cs="宋体"/>
          <w:color w:val="auto"/>
          <w:spacing w:val="-1"/>
          <w:sz w:val="24"/>
          <w:szCs w:val="24"/>
          <w:highlight w:val="none"/>
        </w:rPr>
        <w:t>，</w:t>
      </w:r>
      <w:r>
        <w:rPr>
          <w:rFonts w:hint="eastAsia" w:ascii="宋体" w:hAnsi="宋体" w:eastAsia="宋体" w:cs="宋体"/>
          <w:color w:val="auto"/>
          <w:spacing w:val="-105"/>
          <w:sz w:val="24"/>
          <w:szCs w:val="24"/>
          <w:highlight w:val="none"/>
        </w:rPr>
        <w:t xml:space="preserve"> </w:t>
      </w:r>
      <w:r>
        <w:rPr>
          <w:rFonts w:hint="eastAsia" w:ascii="宋体" w:hAnsi="宋体" w:eastAsia="宋体" w:cs="宋体"/>
          <w:color w:val="auto"/>
          <w:sz w:val="24"/>
          <w:szCs w:val="24"/>
          <w:highlight w:val="none"/>
        </w:rPr>
        <w:t>评标委员会应否决其投标。</w:t>
      </w:r>
    </w:p>
    <w:p>
      <w:pPr>
        <w:spacing w:before="69" w:line="359" w:lineRule="auto"/>
        <w:ind w:left="37" w:right="25" w:firstLine="42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3.6.2 评标委员会应对在评标过程中发现的投标人与投标人之间</w:t>
      </w:r>
      <w:r>
        <w:rPr>
          <w:rFonts w:hint="eastAsia" w:ascii="宋体" w:hAnsi="宋体" w:eastAsia="宋体" w:cs="宋体"/>
          <w:color w:val="auto"/>
          <w:spacing w:val="-18"/>
          <w:sz w:val="24"/>
          <w:szCs w:val="24"/>
          <w:highlight w:val="none"/>
        </w:rPr>
        <w:t>、</w:t>
      </w:r>
      <w:r>
        <w:rPr>
          <w:rFonts w:hint="eastAsia" w:ascii="宋体" w:hAnsi="宋体" w:eastAsia="宋体" w:cs="宋体"/>
          <w:color w:val="auto"/>
          <w:sz w:val="24"/>
          <w:szCs w:val="24"/>
          <w:highlight w:val="none"/>
        </w:rPr>
        <w:t>投标人与招标人之间存在的串</w:t>
      </w:r>
      <w:r>
        <w:rPr>
          <w:rFonts w:hint="eastAsia" w:ascii="宋体" w:hAnsi="宋体" w:eastAsia="宋体" w:cs="宋体"/>
          <w:color w:val="auto"/>
          <w:spacing w:val="1"/>
          <w:sz w:val="24"/>
          <w:szCs w:val="24"/>
          <w:highlight w:val="none"/>
        </w:rPr>
        <w:t>通投标的情形进行评审和认定。投标人存在串通投标、弄虚作假、行贿等违法行</w:t>
      </w:r>
      <w:r>
        <w:rPr>
          <w:rFonts w:hint="eastAsia" w:ascii="宋体" w:hAnsi="宋体" w:eastAsia="宋体" w:cs="宋体"/>
          <w:color w:val="auto"/>
          <w:sz w:val="24"/>
          <w:szCs w:val="24"/>
          <w:highlight w:val="none"/>
        </w:rPr>
        <w:t>为的</w:t>
      </w:r>
      <w:r>
        <w:rPr>
          <w:rFonts w:hint="eastAsia" w:ascii="宋体" w:hAnsi="宋体" w:eastAsia="宋体" w:cs="宋体"/>
          <w:color w:val="auto"/>
          <w:spacing w:val="1"/>
          <w:sz w:val="24"/>
          <w:szCs w:val="24"/>
          <w:highlight w:val="none"/>
        </w:rPr>
        <w:t>，</w:t>
      </w:r>
      <w:r>
        <w:rPr>
          <w:rFonts w:hint="eastAsia" w:ascii="宋体" w:hAnsi="宋体" w:eastAsia="宋体" w:cs="宋体"/>
          <w:color w:val="auto"/>
          <w:sz w:val="24"/>
          <w:szCs w:val="24"/>
          <w:highlight w:val="none"/>
        </w:rPr>
        <w:t>评标委员会 应否决其投标</w:t>
      </w:r>
      <w:r>
        <w:rPr>
          <w:rFonts w:hint="eastAsia" w:ascii="宋体" w:hAnsi="宋体" w:eastAsia="宋体" w:cs="宋体"/>
          <w:color w:val="auto"/>
          <w:spacing w:val="-21"/>
          <w:sz w:val="24"/>
          <w:szCs w:val="24"/>
          <w:highlight w:val="none"/>
        </w:rPr>
        <w:t>。</w:t>
      </w:r>
    </w:p>
    <w:p>
      <w:pPr>
        <w:spacing w:line="213" w:lineRule="auto"/>
        <w:ind w:firstLine="457"/>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(1)有下列情形之一的</w:t>
      </w:r>
      <w:r>
        <w:rPr>
          <w:rFonts w:hint="eastAsia" w:ascii="宋体" w:hAnsi="宋体" w:eastAsia="宋体" w:cs="宋体"/>
          <w:color w:val="auto"/>
          <w:spacing w:val="-15"/>
          <w:sz w:val="24"/>
          <w:szCs w:val="24"/>
          <w:highlight w:val="none"/>
        </w:rPr>
        <w:t>，</w:t>
      </w:r>
      <w:r>
        <w:rPr>
          <w:rFonts w:hint="eastAsia" w:ascii="宋体" w:hAnsi="宋体" w:eastAsia="宋体" w:cs="宋体"/>
          <w:color w:val="auto"/>
          <w:spacing w:val="-105"/>
          <w:sz w:val="24"/>
          <w:szCs w:val="24"/>
          <w:highlight w:val="none"/>
        </w:rPr>
        <w:t xml:space="preserve"> </w:t>
      </w:r>
      <w:r>
        <w:rPr>
          <w:rFonts w:hint="eastAsia" w:ascii="宋体" w:hAnsi="宋体" w:eastAsia="宋体" w:cs="宋体"/>
          <w:color w:val="auto"/>
          <w:sz w:val="24"/>
          <w:szCs w:val="24"/>
          <w:highlight w:val="none"/>
        </w:rPr>
        <w:t>属于投标人相互串通投标</w:t>
      </w:r>
      <w:r>
        <w:rPr>
          <w:rFonts w:hint="eastAsia" w:ascii="宋体" w:hAnsi="宋体" w:eastAsia="宋体" w:cs="宋体"/>
          <w:color w:val="auto"/>
          <w:spacing w:val="-15"/>
          <w:sz w:val="24"/>
          <w:szCs w:val="24"/>
          <w:highlight w:val="none"/>
        </w:rPr>
        <w:t>：</w:t>
      </w:r>
    </w:p>
    <w:p>
      <w:pPr>
        <w:spacing w:before="167" w:line="233" w:lineRule="auto"/>
        <w:ind w:firstLine="456"/>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a.投标人之间协商投标报价等投标文件的实质性内容</w:t>
      </w:r>
      <w:r>
        <w:rPr>
          <w:rFonts w:hint="eastAsia" w:ascii="宋体" w:hAnsi="宋体" w:eastAsia="宋体" w:cs="宋体"/>
          <w:color w:val="auto"/>
          <w:spacing w:val="-27"/>
          <w:sz w:val="24"/>
          <w:szCs w:val="24"/>
          <w:highlight w:val="none"/>
        </w:rPr>
        <w:t>；</w:t>
      </w:r>
    </w:p>
    <w:p>
      <w:pPr>
        <w:spacing w:before="143" w:line="235" w:lineRule="auto"/>
        <w:ind w:firstLine="448"/>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b.投标人之间约定中标人</w:t>
      </w:r>
      <w:r>
        <w:rPr>
          <w:rFonts w:hint="eastAsia" w:ascii="宋体" w:hAnsi="宋体" w:eastAsia="宋体" w:cs="宋体"/>
          <w:color w:val="auto"/>
          <w:spacing w:val="-21"/>
          <w:sz w:val="24"/>
          <w:szCs w:val="24"/>
          <w:highlight w:val="none"/>
        </w:rPr>
        <w:t>；</w:t>
      </w:r>
    </w:p>
    <w:p>
      <w:pPr>
        <w:spacing w:before="141" w:line="234" w:lineRule="auto"/>
        <w:ind w:firstLine="455"/>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c.投标人之间约定部分投标人放弃投标或中标</w:t>
      </w:r>
      <w:r>
        <w:rPr>
          <w:rFonts w:hint="eastAsia" w:ascii="宋体" w:hAnsi="宋体" w:eastAsia="宋体" w:cs="宋体"/>
          <w:color w:val="auto"/>
          <w:spacing w:val="-15"/>
          <w:sz w:val="24"/>
          <w:szCs w:val="24"/>
          <w:highlight w:val="none"/>
        </w:rPr>
        <w:t>；</w:t>
      </w:r>
    </w:p>
    <w:p>
      <w:pPr>
        <w:spacing w:before="141" w:line="234" w:lineRule="auto"/>
        <w:ind w:firstLine="455"/>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d.属于同一集团</w:t>
      </w:r>
      <w:r>
        <w:rPr>
          <w:rFonts w:hint="eastAsia" w:ascii="宋体" w:hAnsi="宋体" w:eastAsia="宋体" w:cs="宋体"/>
          <w:color w:val="auto"/>
          <w:spacing w:val="-8"/>
          <w:sz w:val="24"/>
          <w:szCs w:val="24"/>
          <w:highlight w:val="none"/>
        </w:rPr>
        <w:t>、</w:t>
      </w:r>
      <w:r>
        <w:rPr>
          <w:rFonts w:hint="eastAsia" w:ascii="宋体" w:hAnsi="宋体" w:eastAsia="宋体" w:cs="宋体"/>
          <w:color w:val="auto"/>
          <w:sz w:val="24"/>
          <w:szCs w:val="24"/>
          <w:highlight w:val="none"/>
        </w:rPr>
        <w:t>协会</w:t>
      </w:r>
      <w:r>
        <w:rPr>
          <w:rFonts w:hint="eastAsia" w:ascii="宋体" w:hAnsi="宋体" w:eastAsia="宋体" w:cs="宋体"/>
          <w:color w:val="auto"/>
          <w:spacing w:val="-8"/>
          <w:sz w:val="24"/>
          <w:szCs w:val="24"/>
          <w:highlight w:val="none"/>
        </w:rPr>
        <w:t>、</w:t>
      </w:r>
      <w:r>
        <w:rPr>
          <w:rFonts w:hint="eastAsia" w:ascii="宋体" w:hAnsi="宋体" w:eastAsia="宋体" w:cs="宋体"/>
          <w:color w:val="auto"/>
          <w:sz w:val="24"/>
          <w:szCs w:val="24"/>
          <w:highlight w:val="none"/>
        </w:rPr>
        <w:t>商会等组织成员的投标人按照该组织要求协同投标</w:t>
      </w:r>
      <w:r>
        <w:rPr>
          <w:rFonts w:hint="eastAsia" w:ascii="宋体" w:hAnsi="宋体" w:eastAsia="宋体" w:cs="宋体"/>
          <w:color w:val="auto"/>
          <w:spacing w:val="-8"/>
          <w:sz w:val="24"/>
          <w:szCs w:val="24"/>
          <w:highlight w:val="none"/>
        </w:rPr>
        <w:t>；</w:t>
      </w:r>
    </w:p>
    <w:p>
      <w:pPr>
        <w:spacing w:before="144" w:line="234" w:lineRule="auto"/>
        <w:ind w:firstLine="456"/>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e.投标人之间为谋取中标或排斥特定投标人而采取的其他联合行动</w:t>
      </w:r>
      <w:r>
        <w:rPr>
          <w:rFonts w:hint="eastAsia" w:ascii="宋体" w:hAnsi="宋体" w:eastAsia="宋体" w:cs="宋体"/>
          <w:color w:val="auto"/>
          <w:spacing w:val="-5"/>
          <w:sz w:val="24"/>
          <w:szCs w:val="24"/>
          <w:highlight w:val="none"/>
        </w:rPr>
        <w:t>。</w:t>
      </w:r>
    </w:p>
    <w:p>
      <w:pPr>
        <w:spacing w:before="142" w:line="213" w:lineRule="auto"/>
        <w:ind w:firstLine="457"/>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(2)有下列情形之一的</w:t>
      </w:r>
      <w:r>
        <w:rPr>
          <w:rFonts w:hint="eastAsia" w:ascii="宋体" w:hAnsi="宋体" w:eastAsia="宋体" w:cs="宋体"/>
          <w:color w:val="auto"/>
          <w:spacing w:val="-15"/>
          <w:sz w:val="24"/>
          <w:szCs w:val="24"/>
          <w:highlight w:val="none"/>
        </w:rPr>
        <w:t>，</w:t>
      </w:r>
      <w:r>
        <w:rPr>
          <w:rFonts w:hint="eastAsia" w:ascii="宋体" w:hAnsi="宋体" w:eastAsia="宋体" w:cs="宋体"/>
          <w:color w:val="auto"/>
          <w:spacing w:val="-105"/>
          <w:sz w:val="24"/>
          <w:szCs w:val="24"/>
          <w:highlight w:val="none"/>
        </w:rPr>
        <w:t xml:space="preserve"> </w:t>
      </w:r>
      <w:r>
        <w:rPr>
          <w:rFonts w:hint="eastAsia" w:ascii="宋体" w:hAnsi="宋体" w:eastAsia="宋体" w:cs="宋体"/>
          <w:color w:val="auto"/>
          <w:sz w:val="24"/>
          <w:szCs w:val="24"/>
          <w:highlight w:val="none"/>
        </w:rPr>
        <w:t>视为投标人相互串通投标</w:t>
      </w:r>
      <w:r>
        <w:rPr>
          <w:rFonts w:hint="eastAsia" w:ascii="宋体" w:hAnsi="宋体" w:eastAsia="宋体" w:cs="宋体"/>
          <w:color w:val="auto"/>
          <w:spacing w:val="-15"/>
          <w:sz w:val="24"/>
          <w:szCs w:val="24"/>
          <w:highlight w:val="none"/>
        </w:rPr>
        <w:t>：</w:t>
      </w:r>
    </w:p>
    <w:p>
      <w:pPr>
        <w:spacing w:before="166" w:line="234" w:lineRule="auto"/>
        <w:ind w:firstLine="456"/>
        <w:rPr>
          <w:rFonts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a.不</w:t>
      </w:r>
      <w:r>
        <w:rPr>
          <w:rFonts w:hint="eastAsia" w:ascii="宋体" w:hAnsi="宋体" w:eastAsia="宋体" w:cs="宋体"/>
          <w:color w:val="auto"/>
          <w:sz w:val="24"/>
          <w:szCs w:val="24"/>
          <w:highlight w:val="none"/>
        </w:rPr>
        <w:t>同投标人的投标文件由同一单位或个人编制</w:t>
      </w:r>
      <w:r>
        <w:rPr>
          <w:rFonts w:hint="eastAsia" w:ascii="宋体" w:hAnsi="宋体" w:eastAsia="宋体" w:cs="宋体"/>
          <w:color w:val="auto"/>
          <w:spacing w:val="1"/>
          <w:sz w:val="24"/>
          <w:szCs w:val="24"/>
          <w:highlight w:val="none"/>
        </w:rPr>
        <w:t>；</w:t>
      </w:r>
    </w:p>
    <w:p>
      <w:pPr>
        <w:spacing w:before="142" w:line="234" w:lineRule="auto"/>
        <w:ind w:firstLine="448"/>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b.不同投标人委托同一单位或个人办理投标事宜；</w:t>
      </w:r>
    </w:p>
    <w:p>
      <w:pPr>
        <w:spacing w:before="142" w:line="234" w:lineRule="auto"/>
        <w:ind w:firstLine="455"/>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c.不同投标人的投标文件载明的项目管理成员为同一人</w:t>
      </w:r>
      <w:r>
        <w:rPr>
          <w:rFonts w:hint="eastAsia" w:ascii="宋体" w:hAnsi="宋体" w:eastAsia="宋体" w:cs="宋体"/>
          <w:color w:val="auto"/>
          <w:spacing w:val="-15"/>
          <w:sz w:val="24"/>
          <w:szCs w:val="24"/>
          <w:highlight w:val="none"/>
        </w:rPr>
        <w:t>；</w:t>
      </w:r>
    </w:p>
    <w:p>
      <w:pPr>
        <w:spacing w:before="144" w:line="233" w:lineRule="auto"/>
        <w:ind w:firstLine="455"/>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d.不同投标人的投标文件异常一致或投标报价呈规律性差异</w:t>
      </w:r>
      <w:r>
        <w:rPr>
          <w:rFonts w:hint="eastAsia" w:ascii="宋体" w:hAnsi="宋体" w:eastAsia="宋体" w:cs="宋体"/>
          <w:color w:val="auto"/>
          <w:spacing w:val="-1"/>
          <w:sz w:val="24"/>
          <w:szCs w:val="24"/>
          <w:highlight w:val="none"/>
        </w:rPr>
        <w:t>；</w:t>
      </w:r>
    </w:p>
    <w:p>
      <w:pPr>
        <w:spacing w:before="143" w:line="234" w:lineRule="auto"/>
        <w:ind w:firstLine="456"/>
        <w:rPr>
          <w:rFonts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e.不</w:t>
      </w:r>
      <w:r>
        <w:rPr>
          <w:rFonts w:hint="eastAsia" w:ascii="宋体" w:hAnsi="宋体" w:eastAsia="宋体" w:cs="宋体"/>
          <w:color w:val="auto"/>
          <w:sz w:val="24"/>
          <w:szCs w:val="24"/>
          <w:highlight w:val="none"/>
        </w:rPr>
        <w:t>同投标人的投标文件相互混装</w:t>
      </w:r>
      <w:r>
        <w:rPr>
          <w:rFonts w:hint="eastAsia" w:ascii="宋体" w:hAnsi="宋体" w:eastAsia="宋体" w:cs="宋体"/>
          <w:color w:val="auto"/>
          <w:spacing w:val="1"/>
          <w:sz w:val="24"/>
          <w:szCs w:val="24"/>
          <w:highlight w:val="none"/>
        </w:rPr>
        <w:t>；</w:t>
      </w:r>
    </w:p>
    <w:p>
      <w:pPr>
        <w:spacing w:before="142" w:line="234" w:lineRule="auto"/>
        <w:ind w:firstLine="457"/>
        <w:rPr>
          <w:rFonts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f.不同投标</w:t>
      </w:r>
      <w:r>
        <w:rPr>
          <w:rFonts w:hint="eastAsia" w:ascii="宋体" w:hAnsi="宋体" w:eastAsia="宋体" w:cs="宋体"/>
          <w:color w:val="auto"/>
          <w:sz w:val="24"/>
          <w:szCs w:val="24"/>
          <w:highlight w:val="none"/>
        </w:rPr>
        <w:t>人的投标保证金从同一单位或个人的账户转出</w:t>
      </w:r>
      <w:r>
        <w:rPr>
          <w:rFonts w:hint="eastAsia" w:ascii="宋体" w:hAnsi="宋体" w:eastAsia="宋体" w:cs="宋体"/>
          <w:color w:val="auto"/>
          <w:spacing w:val="1"/>
          <w:sz w:val="24"/>
          <w:szCs w:val="24"/>
          <w:highlight w:val="none"/>
        </w:rPr>
        <w:t>。</w:t>
      </w:r>
    </w:p>
    <w:p>
      <w:pPr>
        <w:spacing w:before="141" w:line="213" w:lineRule="auto"/>
        <w:ind w:firstLine="457"/>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(3)有下列情形之一的</w:t>
      </w:r>
      <w:r>
        <w:rPr>
          <w:rFonts w:hint="eastAsia" w:ascii="宋体" w:hAnsi="宋体" w:eastAsia="宋体" w:cs="宋体"/>
          <w:color w:val="auto"/>
          <w:spacing w:val="-15"/>
          <w:sz w:val="24"/>
          <w:szCs w:val="24"/>
          <w:highlight w:val="none"/>
        </w:rPr>
        <w:t>，</w:t>
      </w:r>
      <w:r>
        <w:rPr>
          <w:rFonts w:hint="eastAsia" w:ascii="宋体" w:hAnsi="宋体" w:eastAsia="宋体" w:cs="宋体"/>
          <w:color w:val="auto"/>
          <w:spacing w:val="-105"/>
          <w:sz w:val="24"/>
          <w:szCs w:val="24"/>
          <w:highlight w:val="none"/>
        </w:rPr>
        <w:t xml:space="preserve"> </w:t>
      </w:r>
      <w:r>
        <w:rPr>
          <w:rFonts w:hint="eastAsia" w:ascii="宋体" w:hAnsi="宋体" w:eastAsia="宋体" w:cs="宋体"/>
          <w:color w:val="auto"/>
          <w:sz w:val="24"/>
          <w:szCs w:val="24"/>
          <w:highlight w:val="none"/>
        </w:rPr>
        <w:t>属于招标人与投标人串通投标</w:t>
      </w:r>
      <w:r>
        <w:rPr>
          <w:rFonts w:hint="eastAsia" w:ascii="宋体" w:hAnsi="宋体" w:eastAsia="宋体" w:cs="宋体"/>
          <w:color w:val="auto"/>
          <w:spacing w:val="-15"/>
          <w:sz w:val="24"/>
          <w:szCs w:val="24"/>
          <w:highlight w:val="none"/>
        </w:rPr>
        <w:t>：</w:t>
      </w:r>
    </w:p>
    <w:p>
      <w:pPr>
        <w:spacing w:before="167" w:line="234" w:lineRule="auto"/>
        <w:ind w:firstLine="456"/>
        <w:rPr>
          <w:rFonts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a.招标</w:t>
      </w:r>
      <w:r>
        <w:rPr>
          <w:rFonts w:hint="eastAsia" w:ascii="宋体" w:hAnsi="宋体" w:eastAsia="宋体" w:cs="宋体"/>
          <w:color w:val="auto"/>
          <w:sz w:val="24"/>
          <w:szCs w:val="24"/>
          <w:highlight w:val="none"/>
        </w:rPr>
        <w:t>人在开标前开启投标文件并将有关信息泄露给其他投标人</w:t>
      </w:r>
      <w:r>
        <w:rPr>
          <w:rFonts w:hint="eastAsia" w:ascii="宋体" w:hAnsi="宋体" w:eastAsia="宋体" w:cs="宋体"/>
          <w:color w:val="auto"/>
          <w:spacing w:val="1"/>
          <w:sz w:val="24"/>
          <w:szCs w:val="24"/>
          <w:highlight w:val="none"/>
        </w:rPr>
        <w:t>；</w:t>
      </w:r>
    </w:p>
    <w:p>
      <w:pPr>
        <w:spacing w:before="143" w:line="234" w:lineRule="auto"/>
        <w:ind w:firstLine="448"/>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b.招标人直接或间接向投标人泄露标底</w:t>
      </w:r>
      <w:r>
        <w:rPr>
          <w:rFonts w:hint="eastAsia" w:ascii="宋体" w:hAnsi="宋体" w:eastAsia="宋体" w:cs="宋体"/>
          <w:color w:val="auto"/>
          <w:spacing w:val="1"/>
          <w:sz w:val="24"/>
          <w:szCs w:val="24"/>
          <w:highlight w:val="none"/>
        </w:rPr>
        <w:t>、</w:t>
      </w:r>
      <w:r>
        <w:rPr>
          <w:rFonts w:hint="eastAsia" w:ascii="宋体" w:hAnsi="宋体" w:eastAsia="宋体" w:cs="宋体"/>
          <w:color w:val="auto"/>
          <w:sz w:val="24"/>
          <w:szCs w:val="24"/>
          <w:highlight w:val="none"/>
        </w:rPr>
        <w:t>评标委员会成员等信息；</w:t>
      </w:r>
    </w:p>
    <w:p>
      <w:pPr>
        <w:spacing w:before="142" w:line="233" w:lineRule="auto"/>
        <w:ind w:firstLine="455"/>
        <w:rPr>
          <w:rFonts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c.招</w:t>
      </w:r>
      <w:r>
        <w:rPr>
          <w:rFonts w:hint="eastAsia" w:ascii="宋体" w:hAnsi="宋体" w:eastAsia="宋体" w:cs="宋体"/>
          <w:color w:val="auto"/>
          <w:sz w:val="24"/>
          <w:szCs w:val="24"/>
          <w:highlight w:val="none"/>
        </w:rPr>
        <w:t>标人明示或暗示投标人压低或抬高投标报价</w:t>
      </w:r>
      <w:r>
        <w:rPr>
          <w:rFonts w:hint="eastAsia" w:ascii="宋体" w:hAnsi="宋体" w:eastAsia="宋体" w:cs="宋体"/>
          <w:color w:val="auto"/>
          <w:spacing w:val="1"/>
          <w:sz w:val="24"/>
          <w:szCs w:val="24"/>
          <w:highlight w:val="none"/>
        </w:rPr>
        <w:t>；</w:t>
      </w:r>
    </w:p>
    <w:p>
      <w:pPr>
        <w:spacing w:before="144" w:line="234" w:lineRule="auto"/>
        <w:ind w:firstLine="455"/>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d.招标人授意投标人撤换</w:t>
      </w:r>
      <w:r>
        <w:rPr>
          <w:rFonts w:hint="eastAsia" w:ascii="宋体" w:hAnsi="宋体" w:eastAsia="宋体" w:cs="宋体"/>
          <w:color w:val="auto"/>
          <w:spacing w:val="-13"/>
          <w:sz w:val="24"/>
          <w:szCs w:val="24"/>
          <w:highlight w:val="none"/>
        </w:rPr>
        <w:t>、</w:t>
      </w:r>
      <w:r>
        <w:rPr>
          <w:rFonts w:hint="eastAsia" w:ascii="宋体" w:hAnsi="宋体" w:eastAsia="宋体" w:cs="宋体"/>
          <w:color w:val="auto"/>
          <w:sz w:val="24"/>
          <w:szCs w:val="24"/>
          <w:highlight w:val="none"/>
        </w:rPr>
        <w:t>修改投标文件</w:t>
      </w:r>
      <w:r>
        <w:rPr>
          <w:rFonts w:hint="eastAsia" w:ascii="宋体" w:hAnsi="宋体" w:eastAsia="宋体" w:cs="宋体"/>
          <w:color w:val="auto"/>
          <w:spacing w:val="-13"/>
          <w:sz w:val="24"/>
          <w:szCs w:val="24"/>
          <w:highlight w:val="none"/>
        </w:rPr>
        <w:t>；</w:t>
      </w:r>
    </w:p>
    <w:p>
      <w:pPr>
        <w:spacing w:before="141" w:line="234" w:lineRule="auto"/>
        <w:ind w:firstLine="456"/>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e.招标人明示或暗示投标人为特定投标人中标提供方便</w:t>
      </w:r>
      <w:r>
        <w:rPr>
          <w:rFonts w:hint="eastAsia" w:ascii="宋体" w:hAnsi="宋体" w:eastAsia="宋体" w:cs="宋体"/>
          <w:color w:val="auto"/>
          <w:spacing w:val="-15"/>
          <w:sz w:val="24"/>
          <w:szCs w:val="24"/>
          <w:highlight w:val="none"/>
        </w:rPr>
        <w:t>；</w:t>
      </w:r>
    </w:p>
    <w:p>
      <w:pPr>
        <w:spacing w:before="144" w:line="234" w:lineRule="auto"/>
        <w:ind w:firstLine="457"/>
        <w:rPr>
          <w:rFonts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f.招标人与投标人为谋求特定投标人中标而采取的其他串通</w:t>
      </w:r>
      <w:r>
        <w:rPr>
          <w:rFonts w:hint="eastAsia" w:ascii="宋体" w:hAnsi="宋体" w:eastAsia="宋体" w:cs="宋体"/>
          <w:color w:val="auto"/>
          <w:sz w:val="24"/>
          <w:szCs w:val="24"/>
          <w:highlight w:val="none"/>
        </w:rPr>
        <w:t>行为</w:t>
      </w:r>
      <w:r>
        <w:rPr>
          <w:rFonts w:hint="eastAsia" w:ascii="宋体" w:hAnsi="宋体" w:eastAsia="宋体" w:cs="宋体"/>
          <w:color w:val="auto"/>
          <w:spacing w:val="1"/>
          <w:sz w:val="24"/>
          <w:szCs w:val="24"/>
          <w:highlight w:val="none"/>
        </w:rPr>
        <w:t>。</w:t>
      </w:r>
    </w:p>
    <w:p>
      <w:pPr>
        <w:spacing w:before="142" w:line="213" w:lineRule="auto"/>
        <w:ind w:firstLine="457"/>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(4)投标人有下列情形之一的</w:t>
      </w:r>
      <w:r>
        <w:rPr>
          <w:rFonts w:hint="eastAsia" w:ascii="宋体" w:hAnsi="宋体" w:eastAsia="宋体" w:cs="宋体"/>
          <w:color w:val="auto"/>
          <w:spacing w:val="-3"/>
          <w:sz w:val="24"/>
          <w:szCs w:val="24"/>
          <w:highlight w:val="none"/>
        </w:rPr>
        <w:t>，</w:t>
      </w:r>
      <w:r>
        <w:rPr>
          <w:rFonts w:hint="eastAsia" w:ascii="宋体" w:hAnsi="宋体" w:eastAsia="宋体" w:cs="宋体"/>
          <w:color w:val="auto"/>
          <w:sz w:val="24"/>
          <w:szCs w:val="24"/>
          <w:highlight w:val="none"/>
        </w:rPr>
        <w:t>属于弄虚作假的行为</w:t>
      </w:r>
      <w:r>
        <w:rPr>
          <w:rFonts w:hint="eastAsia" w:ascii="宋体" w:hAnsi="宋体" w:eastAsia="宋体" w:cs="宋体"/>
          <w:color w:val="auto"/>
          <w:spacing w:val="-2"/>
          <w:sz w:val="24"/>
          <w:szCs w:val="24"/>
          <w:highlight w:val="none"/>
        </w:rPr>
        <w:t>：</w:t>
      </w:r>
    </w:p>
    <w:p>
      <w:pPr>
        <w:spacing w:before="166" w:line="234" w:lineRule="auto"/>
        <w:ind w:firstLine="456"/>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a.使用通过受让或租借等方式获取的资格</w:t>
      </w:r>
      <w:r>
        <w:rPr>
          <w:rFonts w:hint="eastAsia" w:ascii="宋体" w:hAnsi="宋体" w:eastAsia="宋体" w:cs="宋体"/>
          <w:color w:val="auto"/>
          <w:spacing w:val="-11"/>
          <w:sz w:val="24"/>
          <w:szCs w:val="24"/>
          <w:highlight w:val="none"/>
        </w:rPr>
        <w:t>、</w:t>
      </w:r>
      <w:r>
        <w:rPr>
          <w:rFonts w:hint="eastAsia" w:ascii="宋体" w:hAnsi="宋体" w:eastAsia="宋体" w:cs="宋体"/>
          <w:color w:val="auto"/>
          <w:sz w:val="24"/>
          <w:szCs w:val="24"/>
          <w:highlight w:val="none"/>
        </w:rPr>
        <w:t>资质证书投标</w:t>
      </w:r>
      <w:r>
        <w:rPr>
          <w:rFonts w:hint="eastAsia" w:ascii="宋体" w:hAnsi="宋体" w:eastAsia="宋体" w:cs="宋体"/>
          <w:color w:val="auto"/>
          <w:spacing w:val="-11"/>
          <w:sz w:val="24"/>
          <w:szCs w:val="24"/>
          <w:highlight w:val="none"/>
        </w:rPr>
        <w:t>；</w:t>
      </w:r>
    </w:p>
    <w:p>
      <w:pPr>
        <w:spacing w:before="142" w:line="234" w:lineRule="auto"/>
        <w:ind w:firstLine="448"/>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b.使用伪造</w:t>
      </w:r>
      <w:r>
        <w:rPr>
          <w:rFonts w:hint="eastAsia" w:ascii="宋体" w:hAnsi="宋体" w:eastAsia="宋体" w:cs="宋体"/>
          <w:color w:val="auto"/>
          <w:spacing w:val="-10"/>
          <w:sz w:val="24"/>
          <w:szCs w:val="24"/>
          <w:highlight w:val="none"/>
        </w:rPr>
        <w:t>、</w:t>
      </w:r>
      <w:r>
        <w:rPr>
          <w:rFonts w:hint="eastAsia" w:ascii="宋体" w:hAnsi="宋体" w:eastAsia="宋体" w:cs="宋体"/>
          <w:color w:val="auto"/>
          <w:sz w:val="24"/>
          <w:szCs w:val="24"/>
          <w:highlight w:val="none"/>
        </w:rPr>
        <w:t>变造的许可证件</w:t>
      </w:r>
      <w:r>
        <w:rPr>
          <w:rFonts w:hint="eastAsia" w:ascii="宋体" w:hAnsi="宋体" w:eastAsia="宋体" w:cs="宋体"/>
          <w:color w:val="auto"/>
          <w:spacing w:val="-10"/>
          <w:sz w:val="24"/>
          <w:szCs w:val="24"/>
          <w:highlight w:val="none"/>
        </w:rPr>
        <w:t>；</w:t>
      </w:r>
    </w:p>
    <w:p>
      <w:pPr>
        <w:spacing w:before="142" w:line="234" w:lineRule="auto"/>
        <w:ind w:firstLine="455"/>
        <w:rPr>
          <w:rFonts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c.</w:t>
      </w:r>
      <w:r>
        <w:rPr>
          <w:rFonts w:hint="eastAsia" w:ascii="宋体" w:hAnsi="宋体" w:eastAsia="宋体" w:cs="宋体"/>
          <w:color w:val="auto"/>
          <w:sz w:val="24"/>
          <w:szCs w:val="24"/>
          <w:highlight w:val="none"/>
        </w:rPr>
        <w:t>提供虚假的业绩</w:t>
      </w:r>
      <w:r>
        <w:rPr>
          <w:rFonts w:hint="eastAsia" w:ascii="宋体" w:hAnsi="宋体" w:eastAsia="宋体" w:cs="宋体"/>
          <w:color w:val="auto"/>
          <w:spacing w:val="1"/>
          <w:sz w:val="24"/>
          <w:szCs w:val="24"/>
          <w:highlight w:val="none"/>
        </w:rPr>
        <w:t>；</w:t>
      </w:r>
    </w:p>
    <w:p>
      <w:pPr>
        <w:spacing w:before="144" w:line="234" w:lineRule="auto"/>
        <w:ind w:firstLine="455"/>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d.提供虚假的项目负责人或主要技术人员简历</w:t>
      </w:r>
      <w:r>
        <w:rPr>
          <w:rFonts w:hint="eastAsia" w:ascii="宋体" w:hAnsi="宋体" w:eastAsia="宋体" w:cs="宋体"/>
          <w:color w:val="auto"/>
          <w:spacing w:val="-12"/>
          <w:sz w:val="24"/>
          <w:szCs w:val="24"/>
          <w:highlight w:val="none"/>
        </w:rPr>
        <w:t>、</w:t>
      </w:r>
      <w:r>
        <w:rPr>
          <w:rFonts w:hint="eastAsia" w:ascii="宋体" w:hAnsi="宋体" w:eastAsia="宋体" w:cs="宋体"/>
          <w:color w:val="auto"/>
          <w:sz w:val="24"/>
          <w:szCs w:val="24"/>
          <w:highlight w:val="none"/>
        </w:rPr>
        <w:t>劳动关系证明</w:t>
      </w:r>
      <w:r>
        <w:rPr>
          <w:rFonts w:hint="eastAsia" w:ascii="宋体" w:hAnsi="宋体" w:eastAsia="宋体" w:cs="宋体"/>
          <w:color w:val="auto"/>
          <w:spacing w:val="-12"/>
          <w:sz w:val="24"/>
          <w:szCs w:val="24"/>
          <w:highlight w:val="none"/>
        </w:rPr>
        <w:t>；</w:t>
      </w:r>
    </w:p>
    <w:p>
      <w:pPr>
        <w:spacing w:before="142" w:line="234" w:lineRule="auto"/>
        <w:ind w:firstLine="456"/>
        <w:rPr>
          <w:rFonts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e</w:t>
      </w:r>
      <w:r>
        <w:rPr>
          <w:rFonts w:hint="eastAsia" w:ascii="宋体" w:hAnsi="宋体" w:eastAsia="宋体" w:cs="宋体"/>
          <w:color w:val="auto"/>
          <w:sz w:val="24"/>
          <w:szCs w:val="24"/>
          <w:highlight w:val="none"/>
        </w:rPr>
        <w:t>.提供虚假的信用状况</w:t>
      </w:r>
      <w:r>
        <w:rPr>
          <w:rFonts w:hint="eastAsia" w:ascii="宋体" w:hAnsi="宋体" w:eastAsia="宋体" w:cs="宋体"/>
          <w:color w:val="auto"/>
          <w:spacing w:val="1"/>
          <w:sz w:val="24"/>
          <w:szCs w:val="24"/>
          <w:highlight w:val="none"/>
        </w:rPr>
        <w:t>；</w:t>
      </w:r>
    </w:p>
    <w:p>
      <w:pPr>
        <w:spacing w:before="142" w:line="234" w:lineRule="auto"/>
        <w:ind w:firstLine="457"/>
        <w:rPr>
          <w:rFonts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f.</w:t>
      </w:r>
      <w:r>
        <w:rPr>
          <w:rFonts w:hint="eastAsia" w:ascii="宋体" w:hAnsi="宋体" w:eastAsia="宋体" w:cs="宋体"/>
          <w:color w:val="auto"/>
          <w:spacing w:val="2"/>
          <w:sz w:val="24"/>
          <w:szCs w:val="24"/>
          <w:highlight w:val="none"/>
        </w:rPr>
        <w:t>其他弄虚作假的行为。</w:t>
      </w:r>
    </w:p>
    <w:p>
      <w:pPr>
        <w:spacing w:before="141" w:line="221" w:lineRule="auto"/>
        <w:ind w:firstLine="32"/>
        <w:outlineLvl w:val="2"/>
        <w:rPr>
          <w:rFonts w:ascii="宋体" w:hAnsi="宋体" w:eastAsia="宋体" w:cs="宋体"/>
          <w:color w:val="auto"/>
          <w:sz w:val="24"/>
          <w:szCs w:val="24"/>
          <w:highlight w:val="none"/>
        </w:rPr>
      </w:pPr>
      <w:bookmarkStart w:id="12" w:name="_Toc4106"/>
      <w:r>
        <w:rPr>
          <w:rFonts w:hint="eastAsia" w:ascii="宋体" w:hAnsi="宋体" w:eastAsia="宋体" w:cs="宋体"/>
          <w:b/>
          <w:bCs/>
          <w:color w:val="auto"/>
          <w:spacing w:val="1"/>
          <w:sz w:val="24"/>
          <w:szCs w:val="24"/>
          <w:highlight w:val="none"/>
        </w:rPr>
        <w:t>3.7</w:t>
      </w:r>
      <w:r>
        <w:rPr>
          <w:rFonts w:hint="eastAsia" w:ascii="宋体" w:hAnsi="宋体" w:eastAsia="宋体" w:cs="宋体"/>
          <w:color w:val="auto"/>
          <w:spacing w:val="1"/>
          <w:sz w:val="24"/>
          <w:szCs w:val="24"/>
          <w:highlight w:val="none"/>
        </w:rPr>
        <w:t xml:space="preserve"> 投标文件</w:t>
      </w:r>
      <w:r>
        <w:rPr>
          <w:rFonts w:hint="eastAsia" w:ascii="宋体" w:hAnsi="宋体" w:eastAsia="宋体" w:cs="宋体"/>
          <w:color w:val="auto"/>
          <w:sz w:val="24"/>
          <w:szCs w:val="24"/>
          <w:highlight w:val="none"/>
        </w:rPr>
        <w:t>的澄清和说明</w:t>
      </w:r>
      <w:bookmarkEnd w:id="12"/>
    </w:p>
    <w:p>
      <w:pPr>
        <w:spacing w:before="158" w:line="365" w:lineRule="auto"/>
        <w:ind w:left="40" w:right="24" w:firstLine="417"/>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3.7.1</w:t>
      </w:r>
      <w:r>
        <w:rPr>
          <w:rFonts w:hint="eastAsia" w:ascii="宋体" w:hAnsi="宋体" w:eastAsia="宋体" w:cs="宋体"/>
          <w:color w:val="auto"/>
          <w:spacing w:val="-2"/>
          <w:sz w:val="24"/>
          <w:szCs w:val="24"/>
          <w:highlight w:val="none"/>
        </w:rPr>
        <w:t xml:space="preserve"> </w:t>
      </w:r>
      <w:r>
        <w:rPr>
          <w:rFonts w:hint="eastAsia" w:ascii="宋体" w:hAnsi="宋体" w:eastAsia="宋体" w:cs="宋体"/>
          <w:color w:val="auto"/>
          <w:sz w:val="24"/>
          <w:szCs w:val="24"/>
          <w:highlight w:val="none"/>
        </w:rPr>
        <w:t>在评标过程中</w:t>
      </w:r>
      <w:r>
        <w:rPr>
          <w:rFonts w:hint="eastAsia" w:ascii="宋体" w:hAnsi="宋体" w:eastAsia="宋体" w:cs="宋体"/>
          <w:color w:val="auto"/>
          <w:spacing w:val="-7"/>
          <w:sz w:val="24"/>
          <w:szCs w:val="24"/>
          <w:highlight w:val="none"/>
        </w:rPr>
        <w:t>，</w:t>
      </w:r>
      <w:r>
        <w:rPr>
          <w:rFonts w:hint="eastAsia" w:ascii="宋体" w:hAnsi="宋体" w:eastAsia="宋体" w:cs="宋体"/>
          <w:color w:val="auto"/>
          <w:spacing w:val="-105"/>
          <w:sz w:val="24"/>
          <w:szCs w:val="24"/>
          <w:highlight w:val="none"/>
        </w:rPr>
        <w:t xml:space="preserve"> </w:t>
      </w:r>
      <w:r>
        <w:rPr>
          <w:rFonts w:hint="eastAsia" w:ascii="宋体" w:hAnsi="宋体" w:eastAsia="宋体" w:cs="宋体"/>
          <w:color w:val="auto"/>
          <w:sz w:val="24"/>
          <w:szCs w:val="24"/>
          <w:highlight w:val="none"/>
        </w:rPr>
        <w:t>评标委员会可以书面形式要求投标人对投标文件中含义不明确的内容</w:t>
      </w:r>
      <w:r>
        <w:rPr>
          <w:rFonts w:hint="eastAsia" w:ascii="宋体" w:hAnsi="宋体" w:eastAsia="宋体" w:cs="宋体"/>
          <w:color w:val="auto"/>
          <w:spacing w:val="-7"/>
          <w:sz w:val="24"/>
          <w:szCs w:val="24"/>
          <w:highlight w:val="none"/>
        </w:rPr>
        <w:t>、</w:t>
      </w:r>
      <w:r>
        <w:rPr>
          <w:rFonts w:hint="eastAsia" w:ascii="宋体" w:hAnsi="宋体" w:eastAsia="宋体" w:cs="宋体"/>
          <w:color w:val="auto"/>
          <w:sz w:val="24"/>
          <w:szCs w:val="24"/>
          <w:highlight w:val="none"/>
        </w:rPr>
        <w:t>明</w:t>
      </w:r>
      <w:r>
        <w:rPr>
          <w:rFonts w:hint="eastAsia" w:ascii="宋体" w:hAnsi="宋体" w:eastAsia="宋体" w:cs="宋体"/>
          <w:color w:val="auto"/>
          <w:spacing w:val="1"/>
          <w:sz w:val="24"/>
          <w:szCs w:val="24"/>
          <w:highlight w:val="none"/>
        </w:rPr>
        <w:t>显文字或计算错误进行书面澄清或说明。评标委员会不接受投标人主动</w:t>
      </w:r>
      <w:r>
        <w:rPr>
          <w:rFonts w:hint="eastAsia" w:ascii="宋体" w:hAnsi="宋体" w:eastAsia="宋体" w:cs="宋体"/>
          <w:color w:val="auto"/>
          <w:sz w:val="24"/>
          <w:szCs w:val="24"/>
          <w:highlight w:val="none"/>
        </w:rPr>
        <w:t>提出的澄清</w:t>
      </w:r>
      <w:r>
        <w:rPr>
          <w:rFonts w:hint="eastAsia" w:ascii="宋体" w:hAnsi="宋体" w:eastAsia="宋体" w:cs="宋体"/>
          <w:color w:val="auto"/>
          <w:spacing w:val="1"/>
          <w:sz w:val="24"/>
          <w:szCs w:val="24"/>
          <w:highlight w:val="none"/>
        </w:rPr>
        <w:t>、</w:t>
      </w:r>
      <w:r>
        <w:rPr>
          <w:rFonts w:hint="eastAsia" w:ascii="宋体" w:hAnsi="宋体" w:eastAsia="宋体" w:cs="宋体"/>
          <w:color w:val="auto"/>
          <w:sz w:val="24"/>
          <w:szCs w:val="24"/>
          <w:highlight w:val="none"/>
        </w:rPr>
        <w:t>说明</w:t>
      </w:r>
      <w:r>
        <w:rPr>
          <w:rFonts w:hint="eastAsia" w:ascii="宋体" w:hAnsi="宋体" w:eastAsia="宋体" w:cs="宋体"/>
          <w:color w:val="auto"/>
          <w:spacing w:val="1"/>
          <w:sz w:val="24"/>
          <w:szCs w:val="24"/>
          <w:highlight w:val="none"/>
        </w:rPr>
        <w:t>。</w:t>
      </w:r>
      <w:r>
        <w:rPr>
          <w:rFonts w:hint="eastAsia" w:ascii="宋体" w:hAnsi="宋体" w:eastAsia="宋体" w:cs="宋体"/>
          <w:color w:val="auto"/>
          <w:sz w:val="24"/>
          <w:szCs w:val="24"/>
          <w:highlight w:val="none"/>
        </w:rPr>
        <w:t>投标人不按评标委员会要求澄清或说明的</w:t>
      </w:r>
      <w:r>
        <w:rPr>
          <w:rFonts w:hint="eastAsia" w:ascii="宋体" w:hAnsi="宋体" w:eastAsia="宋体" w:cs="宋体"/>
          <w:color w:val="auto"/>
          <w:spacing w:val="-3"/>
          <w:sz w:val="24"/>
          <w:szCs w:val="24"/>
          <w:highlight w:val="none"/>
        </w:rPr>
        <w:t>，</w:t>
      </w:r>
      <w:r>
        <w:rPr>
          <w:rFonts w:hint="eastAsia" w:ascii="宋体" w:hAnsi="宋体" w:eastAsia="宋体" w:cs="宋体"/>
          <w:color w:val="auto"/>
          <w:spacing w:val="-105"/>
          <w:sz w:val="24"/>
          <w:szCs w:val="24"/>
          <w:highlight w:val="none"/>
        </w:rPr>
        <w:t xml:space="preserve"> </w:t>
      </w:r>
      <w:r>
        <w:rPr>
          <w:rFonts w:hint="eastAsia" w:ascii="宋体" w:hAnsi="宋体" w:eastAsia="宋体" w:cs="宋体"/>
          <w:color w:val="auto"/>
          <w:sz w:val="24"/>
          <w:szCs w:val="24"/>
          <w:highlight w:val="none"/>
        </w:rPr>
        <w:t>评标委员会应否决其投标</w:t>
      </w:r>
      <w:r>
        <w:rPr>
          <w:rFonts w:hint="eastAsia" w:ascii="宋体" w:hAnsi="宋体" w:eastAsia="宋体" w:cs="宋体"/>
          <w:color w:val="auto"/>
          <w:spacing w:val="-2"/>
          <w:sz w:val="24"/>
          <w:szCs w:val="24"/>
          <w:highlight w:val="none"/>
        </w:rPr>
        <w:t>。</w:t>
      </w:r>
    </w:p>
    <w:p>
      <w:pPr>
        <w:spacing w:before="68" w:line="359" w:lineRule="auto"/>
        <w:ind w:left="41" w:right="26" w:firstLine="416"/>
        <w:rPr>
          <w:rFonts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3.7.2</w:t>
      </w:r>
      <w:r>
        <w:rPr>
          <w:rFonts w:hint="eastAsia" w:ascii="宋体" w:hAnsi="宋体" w:eastAsia="宋体" w:cs="宋体"/>
          <w:color w:val="auto"/>
          <w:spacing w:val="-13"/>
          <w:sz w:val="24"/>
          <w:szCs w:val="24"/>
          <w:highlight w:val="none"/>
        </w:rPr>
        <w:t xml:space="preserve"> </w:t>
      </w:r>
      <w:r>
        <w:rPr>
          <w:rFonts w:hint="eastAsia" w:ascii="宋体" w:hAnsi="宋体" w:eastAsia="宋体" w:cs="宋体"/>
          <w:color w:val="auto"/>
          <w:sz w:val="24"/>
          <w:szCs w:val="24"/>
          <w:highlight w:val="none"/>
        </w:rPr>
        <w:t>澄清和说明不得超出投标文件的范围或改变投标文件的实质性内容（算术性错误的修正除外</w:t>
      </w:r>
      <w:r>
        <w:rPr>
          <w:rFonts w:hint="eastAsia" w:ascii="宋体" w:hAnsi="宋体" w:eastAsia="宋体" w:cs="宋体"/>
          <w:color w:val="auto"/>
          <w:spacing w:val="-34"/>
          <w:sz w:val="24"/>
          <w:szCs w:val="24"/>
          <w:highlight w:val="none"/>
        </w:rPr>
        <w:t>）。</w:t>
      </w:r>
      <w:r>
        <w:rPr>
          <w:rFonts w:hint="eastAsia" w:ascii="宋体" w:hAnsi="宋体" w:eastAsia="宋体" w:cs="宋体"/>
          <w:color w:val="auto"/>
          <w:sz w:val="24"/>
          <w:szCs w:val="24"/>
          <w:highlight w:val="none"/>
        </w:rPr>
        <w:t>投标人的书面澄清</w:t>
      </w:r>
      <w:r>
        <w:rPr>
          <w:rFonts w:hint="eastAsia" w:ascii="宋体" w:hAnsi="宋体" w:eastAsia="宋体" w:cs="宋体"/>
          <w:color w:val="auto"/>
          <w:spacing w:val="-33"/>
          <w:sz w:val="24"/>
          <w:szCs w:val="24"/>
          <w:highlight w:val="none"/>
        </w:rPr>
        <w:t>、</w:t>
      </w:r>
      <w:r>
        <w:rPr>
          <w:rFonts w:hint="eastAsia" w:ascii="宋体" w:hAnsi="宋体" w:eastAsia="宋体" w:cs="宋体"/>
          <w:color w:val="auto"/>
          <w:sz w:val="24"/>
          <w:szCs w:val="24"/>
          <w:highlight w:val="none"/>
        </w:rPr>
        <w:t>说明属于投标文件的组成部分</w:t>
      </w:r>
      <w:r>
        <w:rPr>
          <w:rFonts w:hint="eastAsia" w:ascii="宋体" w:hAnsi="宋体" w:eastAsia="宋体" w:cs="宋体"/>
          <w:color w:val="auto"/>
          <w:spacing w:val="-33"/>
          <w:sz w:val="24"/>
          <w:szCs w:val="24"/>
          <w:highlight w:val="none"/>
        </w:rPr>
        <w:t>。</w:t>
      </w:r>
    </w:p>
    <w:p>
      <w:pPr>
        <w:spacing w:before="1" w:line="359" w:lineRule="auto"/>
        <w:ind w:left="38" w:right="74" w:firstLine="418"/>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3.7.3 评标委员会不得暗示或诱导投标人作出澄清</w:t>
      </w:r>
      <w:r>
        <w:rPr>
          <w:rFonts w:hint="eastAsia" w:ascii="宋体" w:hAnsi="宋体" w:eastAsia="宋体" w:cs="宋体"/>
          <w:color w:val="auto"/>
          <w:spacing w:val="-69"/>
          <w:sz w:val="24"/>
          <w:szCs w:val="24"/>
          <w:highlight w:val="none"/>
        </w:rPr>
        <w:t>、</w:t>
      </w:r>
      <w:r>
        <w:rPr>
          <w:rFonts w:hint="eastAsia" w:ascii="宋体" w:hAnsi="宋体" w:eastAsia="宋体" w:cs="宋体"/>
          <w:color w:val="auto"/>
          <w:sz w:val="24"/>
          <w:szCs w:val="24"/>
          <w:highlight w:val="none"/>
        </w:rPr>
        <w:t>说明</w:t>
      </w:r>
      <w:r>
        <w:rPr>
          <w:rFonts w:hint="eastAsia" w:ascii="宋体" w:hAnsi="宋体" w:eastAsia="宋体" w:cs="宋体"/>
          <w:color w:val="auto"/>
          <w:spacing w:val="-69"/>
          <w:sz w:val="24"/>
          <w:szCs w:val="24"/>
          <w:highlight w:val="none"/>
        </w:rPr>
        <w:t>，</w:t>
      </w:r>
      <w:r>
        <w:rPr>
          <w:rFonts w:hint="eastAsia" w:ascii="宋体" w:hAnsi="宋体" w:eastAsia="宋体" w:cs="宋体"/>
          <w:color w:val="auto"/>
          <w:sz w:val="24"/>
          <w:szCs w:val="24"/>
          <w:highlight w:val="none"/>
        </w:rPr>
        <w:t>对投标人提交的澄清</w:t>
      </w:r>
      <w:r>
        <w:rPr>
          <w:rFonts w:hint="eastAsia" w:ascii="宋体" w:hAnsi="宋体" w:eastAsia="宋体" w:cs="宋体"/>
          <w:color w:val="auto"/>
          <w:spacing w:val="-69"/>
          <w:sz w:val="24"/>
          <w:szCs w:val="24"/>
          <w:highlight w:val="none"/>
        </w:rPr>
        <w:t>、</w:t>
      </w:r>
      <w:r>
        <w:rPr>
          <w:rFonts w:hint="eastAsia" w:ascii="宋体" w:hAnsi="宋体" w:eastAsia="宋体" w:cs="宋体"/>
          <w:color w:val="auto"/>
          <w:sz w:val="24"/>
          <w:szCs w:val="24"/>
          <w:highlight w:val="none"/>
        </w:rPr>
        <w:t>说明有疑问的</w:t>
      </w:r>
      <w:r>
        <w:rPr>
          <w:rFonts w:hint="eastAsia" w:ascii="宋体" w:hAnsi="宋体" w:eastAsia="宋体" w:cs="宋体"/>
          <w:color w:val="auto"/>
          <w:spacing w:val="-69"/>
          <w:sz w:val="24"/>
          <w:szCs w:val="24"/>
          <w:highlight w:val="none"/>
        </w:rPr>
        <w:t>，</w:t>
      </w:r>
      <w:r>
        <w:rPr>
          <w:rFonts w:hint="eastAsia" w:ascii="宋体" w:hAnsi="宋体" w:eastAsia="宋体" w:cs="宋体"/>
          <w:color w:val="auto"/>
          <w:sz w:val="24"/>
          <w:szCs w:val="24"/>
          <w:highlight w:val="none"/>
        </w:rPr>
        <w:t>可以要求投标人进一步澄清或说明</w:t>
      </w:r>
      <w:r>
        <w:rPr>
          <w:rFonts w:hint="eastAsia" w:ascii="宋体" w:hAnsi="宋体" w:eastAsia="宋体" w:cs="宋体"/>
          <w:color w:val="auto"/>
          <w:spacing w:val="-10"/>
          <w:sz w:val="24"/>
          <w:szCs w:val="24"/>
          <w:highlight w:val="none"/>
        </w:rPr>
        <w:t>，</w:t>
      </w:r>
      <w:r>
        <w:rPr>
          <w:rFonts w:hint="eastAsia" w:ascii="宋体" w:hAnsi="宋体" w:eastAsia="宋体" w:cs="宋体"/>
          <w:color w:val="auto"/>
          <w:spacing w:val="-105"/>
          <w:sz w:val="24"/>
          <w:szCs w:val="24"/>
          <w:highlight w:val="none"/>
        </w:rPr>
        <w:t xml:space="preserve"> </w:t>
      </w:r>
      <w:r>
        <w:rPr>
          <w:rFonts w:hint="eastAsia" w:ascii="宋体" w:hAnsi="宋体" w:eastAsia="宋体" w:cs="宋体"/>
          <w:color w:val="auto"/>
          <w:sz w:val="24"/>
          <w:szCs w:val="24"/>
          <w:highlight w:val="none"/>
        </w:rPr>
        <w:t>直至满足评标委员会的要求</w:t>
      </w:r>
      <w:r>
        <w:rPr>
          <w:rFonts w:hint="eastAsia" w:ascii="宋体" w:hAnsi="宋体" w:eastAsia="宋体" w:cs="宋体"/>
          <w:color w:val="auto"/>
          <w:spacing w:val="-9"/>
          <w:sz w:val="24"/>
          <w:szCs w:val="24"/>
          <w:highlight w:val="none"/>
        </w:rPr>
        <w:t>。</w:t>
      </w:r>
    </w:p>
    <w:p>
      <w:pPr>
        <w:spacing w:before="1" w:line="358" w:lineRule="auto"/>
        <w:ind w:left="40" w:right="26" w:firstLine="417"/>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3.7.4 凡超出招标文件规定的或给发包人带来未曾要求的利益的变化</w:t>
      </w:r>
      <w:r>
        <w:rPr>
          <w:rFonts w:hint="eastAsia" w:ascii="宋体" w:hAnsi="宋体" w:eastAsia="宋体" w:cs="宋体"/>
          <w:color w:val="auto"/>
          <w:spacing w:val="-18"/>
          <w:sz w:val="24"/>
          <w:szCs w:val="24"/>
          <w:highlight w:val="none"/>
        </w:rPr>
        <w:t>、</w:t>
      </w:r>
      <w:r>
        <w:rPr>
          <w:rFonts w:hint="eastAsia" w:ascii="宋体" w:hAnsi="宋体" w:eastAsia="宋体" w:cs="宋体"/>
          <w:color w:val="auto"/>
          <w:sz w:val="24"/>
          <w:szCs w:val="24"/>
          <w:highlight w:val="none"/>
        </w:rPr>
        <w:t>偏差或其他因素在评标时不予考虑</w:t>
      </w:r>
      <w:r>
        <w:rPr>
          <w:rFonts w:hint="eastAsia" w:ascii="宋体" w:hAnsi="宋体" w:eastAsia="宋体" w:cs="宋体"/>
          <w:color w:val="auto"/>
          <w:spacing w:val="-24"/>
          <w:sz w:val="24"/>
          <w:szCs w:val="24"/>
          <w:highlight w:val="none"/>
        </w:rPr>
        <w:t>。</w:t>
      </w:r>
    </w:p>
    <w:p>
      <w:pPr>
        <w:spacing w:line="220" w:lineRule="auto"/>
        <w:ind w:firstLine="32"/>
        <w:outlineLvl w:val="2"/>
        <w:rPr>
          <w:rFonts w:ascii="宋体" w:hAnsi="宋体" w:eastAsia="宋体" w:cs="宋体"/>
          <w:color w:val="auto"/>
          <w:sz w:val="24"/>
          <w:szCs w:val="24"/>
          <w:highlight w:val="none"/>
        </w:rPr>
      </w:pPr>
      <w:bookmarkStart w:id="13" w:name="_Toc32157"/>
      <w:r>
        <w:rPr>
          <w:rFonts w:hint="eastAsia" w:ascii="宋体" w:hAnsi="宋体" w:eastAsia="宋体" w:cs="宋体"/>
          <w:b/>
          <w:bCs/>
          <w:color w:val="auto"/>
          <w:spacing w:val="1"/>
          <w:sz w:val="24"/>
          <w:szCs w:val="24"/>
          <w:highlight w:val="none"/>
        </w:rPr>
        <w:t>3.8</w:t>
      </w:r>
      <w:r>
        <w:rPr>
          <w:rFonts w:hint="eastAsia" w:ascii="宋体" w:hAnsi="宋体" w:eastAsia="宋体" w:cs="宋体"/>
          <w:color w:val="auto"/>
          <w:spacing w:val="1"/>
          <w:sz w:val="24"/>
          <w:szCs w:val="24"/>
          <w:highlight w:val="none"/>
        </w:rPr>
        <w:t xml:space="preserve"> 不得</w:t>
      </w:r>
      <w:r>
        <w:rPr>
          <w:rFonts w:hint="eastAsia" w:ascii="宋体" w:hAnsi="宋体" w:eastAsia="宋体" w:cs="宋体"/>
          <w:color w:val="auto"/>
          <w:sz w:val="24"/>
          <w:szCs w:val="24"/>
          <w:highlight w:val="none"/>
        </w:rPr>
        <w:t>否决投标的情形</w:t>
      </w:r>
      <w:bookmarkEnd w:id="13"/>
    </w:p>
    <w:p>
      <w:pPr>
        <w:spacing w:before="157" w:line="360" w:lineRule="auto"/>
        <w:ind w:left="43" w:right="26" w:firstLine="415"/>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投标文件存在第二章“投标人须知”第1.12.3</w:t>
      </w:r>
      <w:r>
        <w:rPr>
          <w:rFonts w:hint="eastAsia" w:ascii="宋体" w:hAnsi="宋体" w:eastAsia="宋体" w:cs="宋体"/>
          <w:color w:val="auto"/>
          <w:spacing w:val="1"/>
          <w:sz w:val="24"/>
          <w:szCs w:val="24"/>
          <w:highlight w:val="none"/>
        </w:rPr>
        <w:t xml:space="preserve"> </w:t>
      </w:r>
      <w:r>
        <w:rPr>
          <w:rFonts w:hint="eastAsia" w:ascii="宋体" w:hAnsi="宋体" w:eastAsia="宋体" w:cs="宋体"/>
          <w:color w:val="auto"/>
          <w:sz w:val="24"/>
          <w:szCs w:val="24"/>
          <w:highlight w:val="none"/>
        </w:rPr>
        <w:t>项所列情形的</w:t>
      </w:r>
      <w:r>
        <w:rPr>
          <w:rFonts w:hint="eastAsia" w:ascii="宋体" w:hAnsi="宋体" w:eastAsia="宋体" w:cs="宋体"/>
          <w:color w:val="auto"/>
          <w:spacing w:val="1"/>
          <w:sz w:val="24"/>
          <w:szCs w:val="24"/>
          <w:highlight w:val="none"/>
        </w:rPr>
        <w:t>，</w:t>
      </w:r>
      <w:r>
        <w:rPr>
          <w:rFonts w:hint="eastAsia" w:ascii="宋体" w:hAnsi="宋体" w:eastAsia="宋体" w:cs="宋体"/>
          <w:color w:val="auto"/>
          <w:sz w:val="24"/>
          <w:szCs w:val="24"/>
          <w:highlight w:val="none"/>
        </w:rPr>
        <w:t>均视为细微偏差</w:t>
      </w:r>
      <w:r>
        <w:rPr>
          <w:rFonts w:hint="eastAsia" w:ascii="宋体" w:hAnsi="宋体" w:eastAsia="宋体" w:cs="宋体"/>
          <w:color w:val="auto"/>
          <w:spacing w:val="1"/>
          <w:sz w:val="24"/>
          <w:szCs w:val="24"/>
          <w:highlight w:val="none"/>
        </w:rPr>
        <w:t>，</w:t>
      </w:r>
      <w:r>
        <w:rPr>
          <w:rFonts w:hint="eastAsia" w:ascii="宋体" w:hAnsi="宋体" w:eastAsia="宋体" w:cs="宋体"/>
          <w:color w:val="auto"/>
          <w:sz w:val="24"/>
          <w:szCs w:val="24"/>
          <w:highlight w:val="none"/>
        </w:rPr>
        <w:t>评标委员会不得否决投标人的投标</w:t>
      </w:r>
      <w:r>
        <w:rPr>
          <w:rFonts w:hint="eastAsia" w:ascii="宋体" w:hAnsi="宋体" w:eastAsia="宋体" w:cs="宋体"/>
          <w:color w:val="auto"/>
          <w:spacing w:val="-31"/>
          <w:sz w:val="24"/>
          <w:szCs w:val="24"/>
          <w:highlight w:val="none"/>
        </w:rPr>
        <w:t>，</w:t>
      </w:r>
      <w:r>
        <w:rPr>
          <w:rFonts w:hint="eastAsia" w:ascii="宋体" w:hAnsi="宋体" w:eastAsia="宋体" w:cs="宋体"/>
          <w:color w:val="auto"/>
          <w:sz w:val="24"/>
          <w:szCs w:val="24"/>
          <w:highlight w:val="none"/>
        </w:rPr>
        <w:t>应按照第二章“投标人须知”第</w:t>
      </w:r>
      <w:r>
        <w:rPr>
          <w:rFonts w:hint="eastAsia" w:ascii="宋体" w:hAnsi="宋体" w:eastAsia="宋体" w:cs="宋体"/>
          <w:color w:val="auto"/>
          <w:spacing w:val="-1"/>
          <w:sz w:val="24"/>
          <w:szCs w:val="24"/>
          <w:highlight w:val="none"/>
        </w:rPr>
        <w:t xml:space="preserve"> </w:t>
      </w:r>
      <w:r>
        <w:rPr>
          <w:rFonts w:hint="eastAsia" w:ascii="宋体" w:hAnsi="宋体" w:eastAsia="宋体" w:cs="宋体"/>
          <w:color w:val="auto"/>
          <w:sz w:val="24"/>
          <w:szCs w:val="24"/>
          <w:highlight w:val="none"/>
        </w:rPr>
        <w:t>1.12.4 项规定的原则处理</w:t>
      </w:r>
      <w:r>
        <w:rPr>
          <w:rFonts w:hint="eastAsia" w:ascii="宋体" w:hAnsi="宋体" w:eastAsia="宋体" w:cs="宋体"/>
          <w:color w:val="auto"/>
          <w:spacing w:val="-31"/>
          <w:sz w:val="24"/>
          <w:szCs w:val="24"/>
          <w:highlight w:val="none"/>
        </w:rPr>
        <w:t>。</w:t>
      </w:r>
    </w:p>
    <w:p>
      <w:pPr>
        <w:spacing w:line="221" w:lineRule="auto"/>
        <w:ind w:firstLine="32"/>
        <w:outlineLvl w:val="2"/>
        <w:rPr>
          <w:rFonts w:ascii="宋体" w:hAnsi="宋体" w:eastAsia="宋体" w:cs="宋体"/>
          <w:color w:val="auto"/>
          <w:sz w:val="24"/>
          <w:szCs w:val="24"/>
          <w:highlight w:val="none"/>
        </w:rPr>
      </w:pPr>
      <w:bookmarkStart w:id="14" w:name="_Toc23278"/>
      <w:r>
        <w:rPr>
          <w:rFonts w:hint="eastAsia" w:ascii="宋体" w:hAnsi="宋体" w:eastAsia="宋体" w:cs="宋体"/>
          <w:b/>
          <w:bCs/>
          <w:color w:val="auto"/>
          <w:sz w:val="24"/>
          <w:szCs w:val="24"/>
          <w:highlight w:val="none"/>
        </w:rPr>
        <w:t>3.9</w:t>
      </w:r>
      <w:r>
        <w:rPr>
          <w:rFonts w:hint="eastAsia" w:ascii="宋体" w:hAnsi="宋体" w:eastAsia="宋体" w:cs="宋体"/>
          <w:color w:val="auto"/>
          <w:spacing w:val="1"/>
          <w:sz w:val="24"/>
          <w:szCs w:val="24"/>
          <w:highlight w:val="none"/>
        </w:rPr>
        <w:t xml:space="preserve"> </w:t>
      </w:r>
      <w:r>
        <w:rPr>
          <w:rFonts w:hint="eastAsia" w:ascii="宋体" w:hAnsi="宋体" w:eastAsia="宋体" w:cs="宋体"/>
          <w:color w:val="auto"/>
          <w:sz w:val="24"/>
          <w:szCs w:val="24"/>
          <w:highlight w:val="none"/>
        </w:rPr>
        <w:t>评标结果</w:t>
      </w:r>
      <w:bookmarkEnd w:id="14"/>
    </w:p>
    <w:p>
      <w:pPr>
        <w:spacing w:before="156" w:line="359" w:lineRule="auto"/>
        <w:ind w:left="36" w:right="26" w:firstLine="421"/>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3.9.1 除第二章“投标人须知”前附表授权直接确定中标人外</w:t>
      </w:r>
      <w:r>
        <w:rPr>
          <w:rFonts w:hint="eastAsia" w:ascii="宋体" w:hAnsi="宋体" w:eastAsia="宋体" w:cs="宋体"/>
          <w:color w:val="auto"/>
          <w:spacing w:val="-99"/>
          <w:sz w:val="24"/>
          <w:szCs w:val="24"/>
          <w:highlight w:val="none"/>
        </w:rPr>
        <w:t>，</w:t>
      </w:r>
      <w:r>
        <w:rPr>
          <w:rFonts w:hint="eastAsia" w:ascii="宋体" w:hAnsi="宋体" w:eastAsia="宋体" w:cs="宋体"/>
          <w:color w:val="auto"/>
          <w:sz w:val="24"/>
          <w:szCs w:val="24"/>
          <w:highlight w:val="none"/>
        </w:rPr>
        <w:t>评标委员会按照得分由高到低的顺序推荐中标候选人</w:t>
      </w:r>
      <w:r>
        <w:rPr>
          <w:rFonts w:hint="eastAsia" w:ascii="宋体" w:hAnsi="宋体" w:eastAsia="宋体" w:cs="宋体"/>
          <w:color w:val="auto"/>
          <w:spacing w:val="-2"/>
          <w:sz w:val="24"/>
          <w:szCs w:val="24"/>
          <w:highlight w:val="none"/>
        </w:rPr>
        <w:t>，</w:t>
      </w:r>
      <w:r>
        <w:rPr>
          <w:rFonts w:hint="eastAsia" w:ascii="宋体" w:hAnsi="宋体" w:eastAsia="宋体" w:cs="宋体"/>
          <w:color w:val="auto"/>
          <w:spacing w:val="-105"/>
          <w:sz w:val="24"/>
          <w:szCs w:val="24"/>
          <w:highlight w:val="none"/>
        </w:rPr>
        <w:t xml:space="preserve"> </w:t>
      </w:r>
      <w:r>
        <w:rPr>
          <w:rFonts w:hint="eastAsia" w:ascii="宋体" w:hAnsi="宋体" w:eastAsia="宋体" w:cs="宋体"/>
          <w:color w:val="auto"/>
          <w:sz w:val="24"/>
          <w:szCs w:val="24"/>
          <w:highlight w:val="none"/>
        </w:rPr>
        <w:t>并标明排序</w:t>
      </w:r>
      <w:r>
        <w:rPr>
          <w:rFonts w:hint="eastAsia" w:ascii="宋体" w:hAnsi="宋体" w:eastAsia="宋体" w:cs="宋体"/>
          <w:color w:val="auto"/>
          <w:spacing w:val="-1"/>
          <w:sz w:val="24"/>
          <w:szCs w:val="24"/>
          <w:highlight w:val="none"/>
        </w:rPr>
        <w:t>。</w:t>
      </w:r>
    </w:p>
    <w:p>
      <w:pPr>
        <w:spacing w:line="219" w:lineRule="auto"/>
        <w:ind w:firstLine="457"/>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3.9.2 评标委员会完成评标后</w:t>
      </w:r>
      <w:r>
        <w:rPr>
          <w:rFonts w:hint="eastAsia" w:ascii="宋体" w:hAnsi="宋体" w:eastAsia="宋体" w:cs="宋体"/>
          <w:color w:val="auto"/>
          <w:spacing w:val="-10"/>
          <w:sz w:val="24"/>
          <w:szCs w:val="24"/>
          <w:highlight w:val="none"/>
        </w:rPr>
        <w:t>，</w:t>
      </w:r>
      <w:r>
        <w:rPr>
          <w:rFonts w:hint="eastAsia" w:ascii="宋体" w:hAnsi="宋体" w:eastAsia="宋体" w:cs="宋体"/>
          <w:color w:val="auto"/>
          <w:sz w:val="24"/>
          <w:szCs w:val="24"/>
          <w:highlight w:val="none"/>
        </w:rPr>
        <w:t>应向招标人提交书面评标报告</w:t>
      </w:r>
      <w:r>
        <w:rPr>
          <w:rFonts w:hint="eastAsia" w:ascii="宋体" w:hAnsi="宋体" w:eastAsia="宋体" w:cs="宋体"/>
          <w:color w:val="auto"/>
          <w:spacing w:val="-10"/>
          <w:sz w:val="24"/>
          <w:szCs w:val="24"/>
          <w:highlight w:val="none"/>
        </w:rPr>
        <w:t>。</w:t>
      </w:r>
    </w:p>
    <w:p>
      <w:pPr>
        <w:rPr>
          <w:rFonts w:ascii="宋体" w:hAnsi="宋体" w:eastAsia="宋体" w:cs="宋体"/>
          <w:color w:val="auto"/>
          <w:sz w:val="24"/>
          <w:szCs w:val="24"/>
          <w:highlight w:val="none"/>
        </w:rPr>
        <w:sectPr>
          <w:pgSz w:w="11907" w:h="16839"/>
          <w:pgMar w:top="1440" w:right="1080" w:bottom="1440" w:left="1080" w:header="884" w:footer="1060" w:gutter="0"/>
          <w:pgNumType w:fmt="decimal"/>
          <w:cols w:space="720" w:num="1"/>
          <w:docGrid w:linePitch="286" w:charSpace="0"/>
        </w:sectPr>
      </w:pPr>
    </w:p>
    <w:p>
      <w:pPr>
        <w:pageBreakBefore w:val="0"/>
        <w:widowControl/>
        <w:wordWrap/>
        <w:topLinePunct w:val="0"/>
        <w:bidi w:val="0"/>
        <w:spacing w:line="360" w:lineRule="auto"/>
        <w:jc w:val="left"/>
        <w:textAlignment w:val="auto"/>
        <w:rPr>
          <w:rFonts w:hint="default" w:ascii="Times New Roman" w:hAnsi="Times New Roman" w:cs="Times New Roman"/>
          <w:b/>
          <w:bCs/>
          <w:color w:val="auto"/>
          <w:sz w:val="24"/>
          <w:highlight w:val="none"/>
          <w:lang w:val="en-US" w:eastAsia="zh-CN"/>
        </w:rPr>
      </w:pPr>
      <w:r>
        <w:rPr>
          <w:rFonts w:hint="default" w:ascii="Times New Roman" w:hAnsi="Times New Roman" w:cs="Times New Roman"/>
          <w:b/>
          <w:bCs/>
          <w:color w:val="auto"/>
          <w:sz w:val="24"/>
          <w:highlight w:val="none"/>
          <w:lang w:val="en-US" w:eastAsia="zh-CN"/>
        </w:rPr>
        <w:t>四、其他需要公开的内容</w:t>
      </w:r>
    </w:p>
    <w:p>
      <w:pPr>
        <w:keepNext w:val="0"/>
        <w:keepLines w:val="0"/>
        <w:pageBreakBefore w:val="0"/>
        <w:widowControl w:val="0"/>
        <w:numPr>
          <w:ilvl w:val="0"/>
          <w:numId w:val="0"/>
        </w:numPr>
        <w:kinsoku/>
        <w:wordWrap/>
        <w:overflowPunct/>
        <w:topLinePunct w:val="0"/>
        <w:autoSpaceDE/>
        <w:autoSpaceDN/>
        <w:bidi w:val="0"/>
        <w:spacing w:line="360" w:lineRule="auto"/>
        <w:ind w:firstLine="1205" w:firstLineChars="500"/>
        <w:jc w:val="both"/>
        <w:textAlignment w:val="auto"/>
        <w:rPr>
          <w:rFonts w:hint="default" w:ascii="Times New Roman" w:hAnsi="Times New Roman" w:cs="Times New Roman"/>
          <w:highlight w:val="none"/>
        </w:rPr>
      </w:pPr>
      <w:r>
        <w:rPr>
          <w:rFonts w:hint="default" w:ascii="Times New Roman" w:hAnsi="Times New Roman" w:cs="Times New Roman"/>
          <w:b/>
          <w:bCs/>
          <w:color w:val="auto"/>
          <w:sz w:val="24"/>
          <w:highlight w:val="none"/>
          <w:lang w:val="en-US" w:eastAsia="zh-CN"/>
        </w:rPr>
        <w:t>无</w:t>
      </w:r>
    </w:p>
    <w:sectPr>
      <w:footerReference r:id="rId3" w:type="default"/>
      <w:pgSz w:w="11906" w:h="16838"/>
      <w:pgMar w:top="1440" w:right="1080" w:bottom="1440"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sz w:val="17"/>
        <w:szCs w:val="17"/>
        <w:lang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iOTE1YTE3YTMwOWNjOTNkZjkyNWU0MWVlNjNjZjUifQ=="/>
  </w:docVars>
  <w:rsids>
    <w:rsidRoot w:val="7CA55DC6"/>
    <w:rsid w:val="010000F0"/>
    <w:rsid w:val="05D06F3D"/>
    <w:rsid w:val="09C25713"/>
    <w:rsid w:val="09D309C7"/>
    <w:rsid w:val="0A524ED5"/>
    <w:rsid w:val="0C452DC0"/>
    <w:rsid w:val="118F44A0"/>
    <w:rsid w:val="149742DC"/>
    <w:rsid w:val="16446BC0"/>
    <w:rsid w:val="199D3192"/>
    <w:rsid w:val="19D74037"/>
    <w:rsid w:val="1D1011FD"/>
    <w:rsid w:val="1F3340FB"/>
    <w:rsid w:val="1F471979"/>
    <w:rsid w:val="204A4ED2"/>
    <w:rsid w:val="257C45C8"/>
    <w:rsid w:val="263B3593"/>
    <w:rsid w:val="2CA0217E"/>
    <w:rsid w:val="2D0574A0"/>
    <w:rsid w:val="30152FC3"/>
    <w:rsid w:val="33213CB7"/>
    <w:rsid w:val="33F4567A"/>
    <w:rsid w:val="34227572"/>
    <w:rsid w:val="36D26270"/>
    <w:rsid w:val="372B4FBE"/>
    <w:rsid w:val="384B1E19"/>
    <w:rsid w:val="3A00037E"/>
    <w:rsid w:val="3A785A67"/>
    <w:rsid w:val="3C8D50F9"/>
    <w:rsid w:val="3E5B1990"/>
    <w:rsid w:val="3FB6071C"/>
    <w:rsid w:val="40E95C0F"/>
    <w:rsid w:val="41861114"/>
    <w:rsid w:val="450D2920"/>
    <w:rsid w:val="45B5670C"/>
    <w:rsid w:val="460737D6"/>
    <w:rsid w:val="472B46E1"/>
    <w:rsid w:val="49297F93"/>
    <w:rsid w:val="4B2C6565"/>
    <w:rsid w:val="4E0E2795"/>
    <w:rsid w:val="50065EFC"/>
    <w:rsid w:val="53AE1CAE"/>
    <w:rsid w:val="55F74FA3"/>
    <w:rsid w:val="56A853E9"/>
    <w:rsid w:val="56EE75FD"/>
    <w:rsid w:val="58A505EC"/>
    <w:rsid w:val="59DC63FF"/>
    <w:rsid w:val="63E36A1B"/>
    <w:rsid w:val="6D535020"/>
    <w:rsid w:val="6E263E89"/>
    <w:rsid w:val="77B77FF1"/>
    <w:rsid w:val="77F61216"/>
    <w:rsid w:val="790E23B0"/>
    <w:rsid w:val="7CA55DC6"/>
    <w:rsid w:val="7CA82AFC"/>
    <w:rsid w:val="7FF55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9"/>
    <w:pPr>
      <w:keepNext/>
      <w:keepLines/>
      <w:adjustRightInd w:val="0"/>
      <w:snapToGrid w:val="0"/>
      <w:spacing w:before="120" w:after="120"/>
      <w:jc w:val="center"/>
      <w:outlineLvl w:val="0"/>
    </w:pPr>
    <w:rPr>
      <w:rFonts w:eastAsia="黑体"/>
      <w:kern w:val="44"/>
      <w:sz w:val="72"/>
      <w:szCs w:val="44"/>
    </w:rPr>
  </w:style>
  <w:style w:type="paragraph" w:styleId="4">
    <w:name w:val="heading 3"/>
    <w:basedOn w:val="1"/>
    <w:next w:val="5"/>
    <w:qFormat/>
    <w:uiPriority w:val="99"/>
    <w:pPr>
      <w:keepNext/>
      <w:keepLines/>
      <w:spacing w:before="260" w:after="260" w:line="416" w:lineRule="auto"/>
      <w:outlineLvl w:val="2"/>
    </w:pPr>
    <w:rPr>
      <w:b/>
      <w:bCs/>
      <w:sz w:val="32"/>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ind w:left="146"/>
    </w:pPr>
    <w:rPr>
      <w:rFonts w:ascii="宋体" w:hAnsi="宋体" w:eastAsia="宋体"/>
      <w:sz w:val="23"/>
      <w:szCs w:val="23"/>
    </w:rPr>
  </w:style>
  <w:style w:type="paragraph" w:styleId="5">
    <w:name w:val="Normal Indent"/>
    <w:basedOn w:val="1"/>
    <w:qFormat/>
    <w:uiPriority w:val="99"/>
    <w:pPr>
      <w:ind w:firstLine="420" w:firstLineChars="200"/>
    </w:pPr>
  </w:style>
  <w:style w:type="paragraph" w:styleId="6">
    <w:name w:val="toa heading"/>
    <w:basedOn w:val="1"/>
    <w:next w:val="1"/>
    <w:unhideWhenUsed/>
    <w:qFormat/>
    <w:uiPriority w:val="99"/>
    <w:pPr>
      <w:spacing w:before="120" w:beforeLines="0"/>
    </w:pPr>
    <w:rPr>
      <w:rFonts w:ascii="Cambria Math" w:hAnsi="Cambria Math" w:cs="仿宋_GB2312"/>
      <w:sz w:val="24"/>
      <w:szCs w:val="24"/>
    </w:rPr>
  </w:style>
  <w:style w:type="paragraph" w:styleId="7">
    <w:name w:val="footer"/>
    <w:basedOn w:val="1"/>
    <w:next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footnote text"/>
    <w:basedOn w:val="1"/>
    <w:qFormat/>
    <w:uiPriority w:val="99"/>
    <w:pPr>
      <w:adjustRightInd w:val="0"/>
      <w:snapToGrid w:val="0"/>
      <w:spacing w:line="420" w:lineRule="atLeast"/>
      <w:ind w:firstLine="454"/>
      <w:jc w:val="left"/>
      <w:textAlignment w:val="baseline"/>
    </w:pPr>
    <w:rPr>
      <w:kern w:val="0"/>
      <w:sz w:val="18"/>
      <w:szCs w:val="20"/>
    </w:rPr>
  </w:style>
  <w:style w:type="paragraph" w:styleId="10">
    <w:name w:val="Normal (Web)"/>
    <w:basedOn w:val="1"/>
    <w:qFormat/>
    <w:uiPriority w:val="0"/>
    <w:pPr>
      <w:widowControl/>
      <w:spacing w:before="100" w:beforeLines="0" w:beforeAutospacing="1" w:after="100" w:afterLines="0" w:afterAutospacing="1" w:line="432" w:lineRule="auto"/>
      <w:jc w:val="left"/>
    </w:pPr>
    <w:rPr>
      <w:rFonts w:ascii="宋体" w:hAnsi="宋体"/>
      <w:kern w:val="0"/>
      <w:szCs w:val="21"/>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otnote reference"/>
    <w:qFormat/>
    <w:uiPriority w:val="99"/>
    <w:rPr>
      <w:vertAlign w:val="superscript"/>
    </w:rPr>
  </w:style>
  <w:style w:type="paragraph" w:customStyle="1" w:styleId="15">
    <w:name w:val="Table Paragraph"/>
    <w:basedOn w:val="1"/>
    <w:qFormat/>
    <w:uiPriority w:val="1"/>
  </w:style>
  <w:style w:type="paragraph" w:customStyle="1" w:styleId="16">
    <w:name w:val="p0"/>
    <w:basedOn w:val="1"/>
    <w:qFormat/>
    <w:uiPriority w:val="0"/>
    <w:pPr>
      <w:widowControl/>
    </w:pPr>
    <w:rPr>
      <w:kern w:val="0"/>
      <w:szCs w:val="21"/>
    </w:rPr>
  </w:style>
  <w:style w:type="paragraph" w:customStyle="1" w:styleId="17">
    <w:name w:val="第一章-2级"/>
    <w:basedOn w:val="3"/>
    <w:qFormat/>
    <w:uiPriority w:val="99"/>
    <w:rPr>
      <w:sz w:val="36"/>
    </w:rPr>
  </w:style>
  <w:style w:type="paragraph" w:customStyle="1" w:styleId="1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character" w:customStyle="1" w:styleId="19">
    <w:name w:val="font161"/>
    <w:qFormat/>
    <w:uiPriority w:val="99"/>
    <w:rPr>
      <w:b/>
      <w:bCs/>
      <w:sz w:val="32"/>
      <w:szCs w:val="32"/>
    </w:rPr>
  </w:style>
  <w:style w:type="table" w:customStyle="1" w:styleId="2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13</Pages>
  <Words>8292</Words>
  <Characters>8951</Characters>
  <Lines>0</Lines>
  <Paragraphs>0</Paragraphs>
  <TotalTime>1</TotalTime>
  <ScaleCrop>false</ScaleCrop>
  <LinksUpToDate>false</LinksUpToDate>
  <CharactersWithSpaces>9208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2018-06-08T05:26:00Z</dcterms:created>
  <dc:creator>Regina</dc:creator>
  <cp:lastModifiedBy>赵航翔</cp:lastModifiedBy>
  <dcterms:modified xsi:type="dcterms:W3CDTF">2023-01-03T23:51:07Z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DE2E0F17F68440A2BB3141D1137CEC1D</vt:lpwstr>
  </property>
</Properties>
</file>