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小标宋简体" w:cs="Times New Roman"/>
          <w:b/>
          <w:bCs/>
          <w:sz w:val="32"/>
          <w:szCs w:val="32"/>
          <w:lang w:eastAsia="zh-CN"/>
        </w:rPr>
      </w:pPr>
      <w:r>
        <w:rPr>
          <w:rFonts w:hint="eastAsia" w:ascii="Times New Roman" w:hAnsi="Times New Roman" w:eastAsia="方正小标宋简体" w:cs="Times New Roman"/>
          <w:b/>
          <w:bCs/>
          <w:sz w:val="32"/>
          <w:szCs w:val="32"/>
          <w:lang w:eastAsia="zh-CN"/>
        </w:rPr>
        <w:t>国道108线忻州境内砂河至石岭关段改建工程</w:t>
      </w:r>
      <w:r>
        <w:rPr>
          <w:rFonts w:hint="eastAsia" w:ascii="Times New Roman" w:hAnsi="Times New Roman" w:eastAsia="方正小标宋简体" w:cs="Times New Roman"/>
          <w:b/>
          <w:bCs/>
          <w:sz w:val="32"/>
          <w:szCs w:val="32"/>
          <w:lang w:val="en-US" w:eastAsia="zh-CN"/>
        </w:rPr>
        <w:t>施工监理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b/>
          <w:bCs/>
          <w:sz w:val="32"/>
          <w:szCs w:val="32"/>
          <w:lang w:eastAsia="zh-CN"/>
        </w:rPr>
      </w:pPr>
      <w:r>
        <w:rPr>
          <w:rFonts w:hint="default" w:ascii="Times New Roman" w:hAnsi="Times New Roman" w:eastAsia="方正小标宋简体" w:cs="Times New Roman"/>
          <w:b/>
          <w:bCs/>
          <w:sz w:val="32"/>
          <w:szCs w:val="32"/>
          <w:lang w:eastAsia="zh-CN"/>
        </w:rPr>
        <w:t>关键内容公开</w:t>
      </w:r>
    </w:p>
    <w:p>
      <w:pPr>
        <w:pStyle w:val="2"/>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eastAsia="宋体" w:cs="Times New Roman"/>
          <w:b/>
          <w:bCs/>
          <w:color w:val="auto"/>
          <w:spacing w:val="0"/>
          <w:w w:val="100"/>
          <w:kern w:val="21"/>
          <w:position w:val="0"/>
          <w:sz w:val="24"/>
          <w:szCs w:val="24"/>
          <w:highlight w:val="none"/>
          <w:lang w:val="en-US" w:eastAsia="zh-CN"/>
        </w:rPr>
        <w:t>一、</w:t>
      </w:r>
      <w:r>
        <w:rPr>
          <w:rFonts w:hint="default" w:ascii="Times New Roman" w:hAnsi="Times New Roman" w:eastAsia="宋体" w:cs="Times New Roman"/>
          <w:b/>
          <w:bCs/>
          <w:color w:val="auto"/>
          <w:spacing w:val="0"/>
          <w:w w:val="100"/>
          <w:kern w:val="21"/>
          <w:position w:val="0"/>
          <w:sz w:val="24"/>
          <w:szCs w:val="24"/>
          <w:highlight w:val="none"/>
        </w:rPr>
        <w:t>项目概况与招标范围</w:t>
      </w:r>
    </w:p>
    <w:p>
      <w:pPr>
        <w:pStyle w:val="7"/>
        <w:spacing w:beforeAutospacing="0" w:afterAutospacing="0" w:line="460" w:lineRule="exact"/>
        <w:ind w:firstLine="470" w:firstLineChars="196"/>
        <w:rPr>
          <w:rFonts w:asciiTheme="minorEastAsia" w:hAnsiTheme="minorEastAsia"/>
          <w:bCs/>
          <w:color w:val="auto"/>
          <w:sz w:val="24"/>
          <w:szCs w:val="24"/>
          <w:highlight w:val="none"/>
        </w:rPr>
      </w:pPr>
      <w:r>
        <w:rPr>
          <w:rFonts w:hint="eastAsia" w:asciiTheme="minorEastAsia" w:hAnsiTheme="minorEastAsia"/>
          <w:bCs/>
          <w:color w:val="auto"/>
          <w:sz w:val="24"/>
          <w:szCs w:val="24"/>
          <w:highlight w:val="none"/>
          <w:lang w:val="en-US" w:eastAsia="zh-CN"/>
        </w:rPr>
        <w:t>1</w:t>
      </w:r>
      <w:r>
        <w:rPr>
          <w:rFonts w:hint="eastAsia" w:asciiTheme="minorEastAsia" w:hAnsiTheme="minorEastAsia"/>
          <w:bCs/>
          <w:color w:val="auto"/>
          <w:sz w:val="24"/>
          <w:szCs w:val="24"/>
          <w:highlight w:val="none"/>
        </w:rPr>
        <w:t>.1项目规模：项目起点位于繁峙县集义庄乡东侧，与国道108线神堂堡至砂河段改建工程终点顺接，终点位于忻州市与太原市交界处石岭关村北，与国道108太原市境内段顺接，路线全长170.414公里。全线采用双向四车道一级公路标准建设，设计速度80公里/小时，路基宽度25.5米。桥涵设计汽车荷载等级采用公路-I级，其余技术指标按《公路工程技术标准》(JTGB01-2014)执行。</w:t>
      </w:r>
    </w:p>
    <w:p>
      <w:pPr>
        <w:pStyle w:val="7"/>
        <w:spacing w:beforeAutospacing="0" w:afterAutospacing="0" w:line="460" w:lineRule="exact"/>
        <w:ind w:firstLine="470" w:firstLineChars="196"/>
        <w:rPr>
          <w:rFonts w:asciiTheme="minorEastAsia" w:hAnsiTheme="minorEastAsia" w:cstheme="minorEastAsia"/>
          <w:bCs/>
          <w:color w:val="auto"/>
          <w:sz w:val="24"/>
          <w:szCs w:val="24"/>
          <w:highlight w:val="none"/>
        </w:rPr>
      </w:pPr>
      <w:r>
        <w:rPr>
          <w:rFonts w:hint="eastAsia" w:asciiTheme="minorEastAsia" w:hAnsiTheme="minorEastAsia"/>
          <w:bCs/>
          <w:color w:val="auto"/>
          <w:sz w:val="24"/>
          <w:szCs w:val="24"/>
          <w:highlight w:val="none"/>
        </w:rPr>
        <w:t>主要工程量：主线共设小泉沟特大桥1493米/1座、大中桥11768.5米/60座、小桥188米/6座、涵洞247道。全线共设互通立交6处，分离立交12座、通道98道、天桥22座、平面交叉77处。全线设收费站3处、养护工区4处、路段监控中心1处、超限检测站3处、房建面积17844.3平方米</w:t>
      </w:r>
      <w:r>
        <w:rPr>
          <w:rFonts w:hint="eastAsia" w:asciiTheme="minorEastAsia" w:hAnsiTheme="minorEastAsia" w:cstheme="minorEastAsia"/>
          <w:bCs/>
          <w:color w:val="auto"/>
          <w:sz w:val="24"/>
          <w:szCs w:val="24"/>
          <w:highlight w:val="none"/>
        </w:rPr>
        <w:t>。</w:t>
      </w:r>
    </w:p>
    <w:p>
      <w:pPr>
        <w:pStyle w:val="7"/>
        <w:spacing w:beforeAutospacing="0" w:afterAutospacing="0" w:line="460" w:lineRule="exact"/>
        <w:ind w:firstLine="470" w:firstLineChars="196"/>
        <w:rPr>
          <w:rFonts w:asciiTheme="minorEastAsia" w:hAnsiTheme="minorEastAsia" w:cstheme="minorEastAsia"/>
          <w:b/>
          <w:color w:val="auto"/>
          <w:sz w:val="24"/>
          <w:szCs w:val="24"/>
          <w:highlight w:val="none"/>
        </w:rPr>
      </w:pPr>
      <w:r>
        <w:rPr>
          <w:rFonts w:hint="eastAsia" w:asciiTheme="minorEastAsia" w:hAnsiTheme="minorEastAsia" w:cstheme="minorEastAsia"/>
          <w:b w:val="0"/>
          <w:bCs w:val="0"/>
          <w:color w:val="auto"/>
          <w:sz w:val="24"/>
          <w:szCs w:val="24"/>
          <w:highlight w:val="none"/>
          <w:lang w:val="en-US" w:eastAsia="zh-CN"/>
        </w:rPr>
        <w:t>1</w:t>
      </w:r>
      <w:r>
        <w:rPr>
          <w:rFonts w:hint="eastAsia" w:asciiTheme="minorEastAsia" w:hAnsiTheme="minorEastAsia" w:cstheme="minorEastAsia"/>
          <w:b w:val="0"/>
          <w:bCs w:val="0"/>
          <w:color w:val="auto"/>
          <w:sz w:val="24"/>
          <w:szCs w:val="24"/>
          <w:highlight w:val="none"/>
        </w:rPr>
        <w:t>.2招标内容与范围：</w:t>
      </w:r>
      <w:r>
        <w:rPr>
          <w:rFonts w:hint="eastAsia" w:asciiTheme="minorEastAsia" w:hAnsiTheme="minorEastAsia" w:cstheme="minorEastAsia"/>
          <w:color w:val="auto"/>
          <w:sz w:val="24"/>
          <w:szCs w:val="24"/>
          <w:highlight w:val="none"/>
        </w:rPr>
        <w:t>本招标项目包括路基、路面、桥涵、</w:t>
      </w:r>
      <w:r>
        <w:rPr>
          <w:rFonts w:hint="eastAsia" w:asciiTheme="minorEastAsia" w:hAnsiTheme="minorEastAsia" w:cstheme="minorEastAsia"/>
          <w:color w:val="auto"/>
          <w:sz w:val="24"/>
          <w:szCs w:val="24"/>
          <w:highlight w:val="none"/>
          <w:lang w:val="en-US" w:eastAsia="zh-CN"/>
        </w:rPr>
        <w:t>交叉、</w:t>
      </w:r>
      <w:r>
        <w:rPr>
          <w:rFonts w:hint="eastAsia" w:asciiTheme="minorEastAsia" w:hAnsiTheme="minorEastAsia" w:cstheme="minorEastAsia"/>
          <w:color w:val="auto"/>
          <w:sz w:val="24"/>
          <w:szCs w:val="24"/>
          <w:highlight w:val="none"/>
        </w:rPr>
        <w:t>交安、绿化、房建、机电、</w:t>
      </w:r>
      <w:r>
        <w:rPr>
          <w:rFonts w:hint="eastAsia" w:asciiTheme="minorEastAsia" w:hAnsiTheme="minorEastAsia" w:cstheme="minorEastAsia"/>
          <w:color w:val="auto"/>
          <w:sz w:val="24"/>
          <w:szCs w:val="24"/>
          <w:highlight w:val="none"/>
          <w:lang w:eastAsia="zh-CN"/>
        </w:rPr>
        <w:t>公铁立交的施工监理</w:t>
      </w:r>
      <w:r>
        <w:rPr>
          <w:rFonts w:hint="eastAsia" w:asciiTheme="minorEastAsia" w:hAnsi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eastAsia="zh-CN"/>
        </w:rPr>
        <w:t>共划分为</w:t>
      </w:r>
      <w:r>
        <w:rPr>
          <w:rFonts w:hint="eastAsia" w:asciiTheme="minorEastAsia" w:hAnsiTheme="minorEastAsia" w:cstheme="minorEastAsia"/>
          <w:color w:val="auto"/>
          <w:sz w:val="24"/>
          <w:szCs w:val="24"/>
          <w:highlight w:val="none"/>
          <w:lang w:val="en-US" w:eastAsia="zh-CN"/>
        </w:rPr>
        <w:t>五</w:t>
      </w:r>
      <w:r>
        <w:rPr>
          <w:rFonts w:hint="eastAsia" w:asciiTheme="minorEastAsia" w:hAnsiTheme="minorEastAsia" w:cstheme="minorEastAsia"/>
          <w:color w:val="auto"/>
          <w:sz w:val="24"/>
          <w:szCs w:val="24"/>
          <w:highlight w:val="none"/>
          <w:lang w:eastAsia="zh-CN"/>
        </w:rPr>
        <w:t>个类别，共计9个标段（JL1～JL9）</w:t>
      </w:r>
      <w:r>
        <w:rPr>
          <w:rFonts w:hint="eastAsia" w:asciiTheme="minorEastAsia" w:hAnsiTheme="minorEastAsia" w:cstheme="minorEastAsia"/>
          <w:color w:val="auto"/>
          <w:sz w:val="24"/>
          <w:szCs w:val="24"/>
          <w:highlight w:val="none"/>
        </w:rPr>
        <w:t>，主要工程内容要求具体见下表：</w:t>
      </w:r>
    </w:p>
    <w:tbl>
      <w:tblPr>
        <w:tblStyle w:val="8"/>
        <w:tblW w:w="5190" w:type="pct"/>
        <w:tblInd w:w="0" w:type="dxa"/>
        <w:tblLayout w:type="fixed"/>
        <w:tblCellMar>
          <w:top w:w="0" w:type="dxa"/>
          <w:left w:w="0" w:type="dxa"/>
          <w:bottom w:w="0" w:type="dxa"/>
          <w:right w:w="0" w:type="dxa"/>
        </w:tblCellMar>
      </w:tblPr>
      <w:tblGrid>
        <w:gridCol w:w="585"/>
        <w:gridCol w:w="772"/>
        <w:gridCol w:w="3045"/>
        <w:gridCol w:w="1951"/>
        <w:gridCol w:w="3784"/>
      </w:tblGrid>
      <w:tr>
        <w:tblPrEx>
          <w:tblCellMar>
            <w:top w:w="0" w:type="dxa"/>
            <w:left w:w="0" w:type="dxa"/>
            <w:bottom w:w="0" w:type="dxa"/>
            <w:right w:w="0" w:type="dxa"/>
          </w:tblCellMar>
        </w:tblPrEx>
        <w:trPr>
          <w:trHeight w:val="487" w:hRule="atLeast"/>
        </w:trPr>
        <w:tc>
          <w:tcPr>
            <w:tcW w:w="289"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类别</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标段号</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桩号</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路线长（公里）</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监理范围</w:t>
            </w:r>
          </w:p>
        </w:tc>
      </w:tr>
      <w:tr>
        <w:tblPrEx>
          <w:tblCellMar>
            <w:top w:w="0" w:type="dxa"/>
            <w:left w:w="0" w:type="dxa"/>
            <w:bottom w:w="0" w:type="dxa"/>
            <w:right w:w="0" w:type="dxa"/>
          </w:tblCellMar>
        </w:tblPrEx>
        <w:trPr>
          <w:trHeight w:val="487" w:hRule="atLeast"/>
        </w:trPr>
        <w:tc>
          <w:tcPr>
            <w:tcW w:w="289"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I</w:t>
            </w:r>
          </w:p>
        </w:tc>
        <w:tc>
          <w:tcPr>
            <w:tcW w:w="381"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color w:val="auto"/>
                <w:kern w:val="0"/>
                <w:sz w:val="24"/>
                <w:szCs w:val="24"/>
                <w:highlight w:val="none"/>
              </w:rPr>
            </w:pPr>
            <w:r>
              <w:rPr>
                <w:rFonts w:hint="eastAsia" w:asciiTheme="minorEastAsia" w:hAnsiTheme="minorEastAsia" w:cstheme="minorEastAsia"/>
                <w:color w:val="auto"/>
                <w:kern w:val="0"/>
                <w:sz w:val="24"/>
                <w:szCs w:val="24"/>
                <w:highlight w:val="none"/>
              </w:rPr>
              <w:t>JL1</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cstheme="minorEastAsia"/>
                <w:color w:val="auto"/>
                <w:kern w:val="0"/>
                <w:sz w:val="24"/>
                <w:szCs w:val="24"/>
                <w:highlight w:val="none"/>
                <w:lang w:val="en-US" w:eastAsia="zh-CN"/>
              </w:rPr>
            </w:pPr>
            <w:r>
              <w:rPr>
                <w:rFonts w:hint="eastAsia" w:ascii="仿宋" w:hAnsi="仿宋" w:eastAsia="仿宋" w:cs="仿宋"/>
                <w:bCs/>
                <w:color w:val="auto"/>
                <w:kern w:val="0"/>
                <w:sz w:val="24"/>
                <w:szCs w:val="24"/>
                <w:highlight w:val="none"/>
              </w:rPr>
              <w:t>K405+791.631</w:t>
            </w:r>
            <w:r>
              <w:rPr>
                <w:rFonts w:hint="eastAsia" w:ascii="仿宋" w:hAnsi="仿宋" w:eastAsia="仿宋" w:cs="仿宋"/>
                <w:bCs/>
                <w:color w:val="auto"/>
                <w:kern w:val="0"/>
                <w:sz w:val="24"/>
                <w:szCs w:val="24"/>
                <w:highlight w:val="none"/>
                <w:lang w:val="en-US" w:eastAsia="zh-CN"/>
              </w:rPr>
              <w:t>-</w:t>
            </w:r>
            <w:r>
              <w:rPr>
                <w:rFonts w:hint="eastAsia" w:ascii="仿宋" w:hAnsi="仿宋" w:eastAsia="仿宋" w:cs="仿宋"/>
                <w:bCs/>
                <w:color w:val="auto"/>
                <w:kern w:val="0"/>
                <w:sz w:val="24"/>
                <w:szCs w:val="24"/>
                <w:highlight w:val="none"/>
              </w:rPr>
              <w:t>K</w:t>
            </w:r>
            <w:r>
              <w:rPr>
                <w:rFonts w:hint="eastAsia" w:ascii="仿宋" w:hAnsi="仿宋" w:eastAsia="仿宋" w:cs="仿宋"/>
                <w:bCs/>
                <w:color w:val="auto"/>
                <w:kern w:val="0"/>
                <w:sz w:val="24"/>
                <w:szCs w:val="24"/>
                <w:highlight w:val="none"/>
                <w:lang w:val="en-US" w:eastAsia="zh-CN"/>
              </w:rPr>
              <w:t>475+108.819</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cstheme="minorEastAsia"/>
                <w:color w:val="auto"/>
                <w:kern w:val="0"/>
                <w:sz w:val="24"/>
                <w:szCs w:val="24"/>
                <w:highlight w:val="none"/>
              </w:rPr>
            </w:pPr>
            <w:r>
              <w:rPr>
                <w:rFonts w:hint="eastAsia" w:ascii="仿宋" w:hAnsi="仿宋" w:eastAsia="仿宋" w:cs="仿宋"/>
                <w:b w:val="0"/>
                <w:bCs/>
                <w:color w:val="auto"/>
                <w:kern w:val="0"/>
                <w:sz w:val="24"/>
                <w:szCs w:val="24"/>
                <w:highlight w:val="none"/>
                <w:lang w:val="en-US" w:eastAsia="zh-CN"/>
              </w:rPr>
              <w:t>70.536</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rPr>
              <w:t>路面</w:t>
            </w:r>
            <w:r>
              <w:rPr>
                <w:rFonts w:hint="eastAsia" w:asciiTheme="minorEastAsia" w:hAnsiTheme="minorEastAsia" w:cstheme="minorEastAsia"/>
                <w:color w:val="auto"/>
                <w:kern w:val="0"/>
                <w:sz w:val="24"/>
                <w:szCs w:val="24"/>
                <w:highlight w:val="none"/>
                <w:lang w:eastAsia="zh-CN"/>
              </w:rPr>
              <w:t>工程</w:t>
            </w:r>
            <w:r>
              <w:rPr>
                <w:rFonts w:hint="eastAsia" w:asciiTheme="minorEastAsia" w:hAnsiTheme="minorEastAsia" w:cstheme="minorEastAsia"/>
                <w:color w:val="auto"/>
                <w:kern w:val="0"/>
                <w:sz w:val="24"/>
                <w:szCs w:val="24"/>
                <w:highlight w:val="none"/>
                <w:lang w:val="en-US" w:eastAsia="zh-CN"/>
              </w:rPr>
              <w:t xml:space="preserve"> </w:t>
            </w:r>
          </w:p>
        </w:tc>
      </w:tr>
      <w:tr>
        <w:tblPrEx>
          <w:tblCellMar>
            <w:top w:w="0" w:type="dxa"/>
            <w:left w:w="0" w:type="dxa"/>
            <w:bottom w:w="0" w:type="dxa"/>
            <w:right w:w="0" w:type="dxa"/>
          </w:tblCellMar>
        </w:tblPrEx>
        <w:trPr>
          <w:trHeight w:val="487" w:hRule="atLeast"/>
        </w:trPr>
        <w:tc>
          <w:tcPr>
            <w:tcW w:w="289"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cstheme="minorEastAsia"/>
                <w:b/>
                <w:color w:val="auto"/>
                <w:kern w:val="0"/>
                <w:sz w:val="24"/>
                <w:szCs w:val="24"/>
                <w:highlight w:val="none"/>
              </w:rPr>
            </w:pPr>
          </w:p>
        </w:tc>
        <w:tc>
          <w:tcPr>
            <w:tcW w:w="381"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rPr>
              <w:t>JL2</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cstheme="minorEastAsia"/>
                <w:color w:val="auto"/>
                <w:kern w:val="0"/>
                <w:sz w:val="24"/>
                <w:szCs w:val="24"/>
                <w:highlight w:val="none"/>
              </w:rPr>
            </w:pPr>
            <w:r>
              <w:rPr>
                <w:rFonts w:hint="eastAsia" w:ascii="仿宋" w:hAnsi="仿宋" w:eastAsia="仿宋" w:cs="仿宋"/>
                <w:bCs/>
                <w:color w:val="auto"/>
                <w:kern w:val="0"/>
                <w:sz w:val="24"/>
                <w:szCs w:val="24"/>
                <w:highlight w:val="none"/>
              </w:rPr>
              <w:t>K4</w:t>
            </w:r>
            <w:r>
              <w:rPr>
                <w:rFonts w:hint="eastAsia" w:ascii="仿宋" w:hAnsi="仿宋" w:eastAsia="仿宋" w:cs="仿宋"/>
                <w:bCs/>
                <w:color w:val="auto"/>
                <w:kern w:val="0"/>
                <w:sz w:val="24"/>
                <w:szCs w:val="24"/>
                <w:highlight w:val="none"/>
                <w:lang w:val="en-US" w:eastAsia="zh-CN"/>
              </w:rPr>
              <w:t>75+265</w:t>
            </w:r>
            <w:r>
              <w:rPr>
                <w:rFonts w:hint="eastAsia" w:ascii="仿宋" w:hAnsi="仿宋" w:eastAsia="仿宋" w:cs="仿宋"/>
                <w:bCs/>
                <w:color w:val="auto"/>
                <w:kern w:val="0"/>
                <w:sz w:val="24"/>
                <w:szCs w:val="24"/>
                <w:highlight w:val="none"/>
              </w:rPr>
              <w:t>-K577+110.644</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cstheme="minorEastAsia"/>
                <w:color w:val="auto"/>
                <w:kern w:val="0"/>
                <w:sz w:val="24"/>
                <w:szCs w:val="24"/>
                <w:highlight w:val="none"/>
              </w:rPr>
            </w:pPr>
            <w:r>
              <w:rPr>
                <w:rFonts w:hint="eastAsia" w:ascii="仿宋" w:hAnsi="仿宋" w:eastAsia="仿宋" w:cs="仿宋"/>
                <w:bCs/>
                <w:color w:val="auto"/>
                <w:kern w:val="0"/>
                <w:sz w:val="24"/>
                <w:szCs w:val="24"/>
                <w:highlight w:val="none"/>
                <w:lang w:val="en-US" w:eastAsia="zh-CN"/>
              </w:rPr>
              <w:t>99.878</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rPr>
              <w:t>路面</w:t>
            </w:r>
            <w:r>
              <w:rPr>
                <w:rFonts w:hint="eastAsia" w:asciiTheme="minorEastAsia" w:hAnsiTheme="minorEastAsia" w:cstheme="minorEastAsia"/>
                <w:color w:val="auto"/>
                <w:kern w:val="0"/>
                <w:sz w:val="24"/>
                <w:szCs w:val="24"/>
                <w:highlight w:val="none"/>
                <w:lang w:eastAsia="zh-CN"/>
              </w:rPr>
              <w:t>工程</w:t>
            </w:r>
            <w:r>
              <w:rPr>
                <w:rFonts w:hint="eastAsia" w:asciiTheme="minorEastAsia" w:hAnsiTheme="minorEastAsia" w:cstheme="minorEastAsia"/>
                <w:color w:val="auto"/>
                <w:kern w:val="0"/>
                <w:sz w:val="24"/>
                <w:szCs w:val="24"/>
                <w:highlight w:val="none"/>
                <w:lang w:val="en-US" w:eastAsia="zh-CN"/>
              </w:rPr>
              <w:t xml:space="preserve"> </w:t>
            </w:r>
          </w:p>
        </w:tc>
      </w:tr>
      <w:tr>
        <w:tblPrEx>
          <w:tblCellMar>
            <w:top w:w="0" w:type="dxa"/>
            <w:left w:w="0" w:type="dxa"/>
            <w:bottom w:w="0" w:type="dxa"/>
            <w:right w:w="0" w:type="dxa"/>
          </w:tblCellMar>
        </w:tblPrEx>
        <w:trPr>
          <w:trHeight w:val="487" w:hRule="atLeast"/>
        </w:trPr>
        <w:tc>
          <w:tcPr>
            <w:tcW w:w="28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Ⅱ</w:t>
            </w:r>
          </w:p>
        </w:tc>
        <w:tc>
          <w:tcPr>
            <w:tcW w:w="381"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lang w:val="en-US" w:eastAsia="zh-CN"/>
              </w:rPr>
              <w:t>JL3</w:t>
            </w:r>
            <w:r>
              <w:rPr>
                <w:rFonts w:hint="eastAsia" w:asciiTheme="minorEastAsia" w:hAnsiTheme="minorEastAsia" w:cstheme="minorEastAsia"/>
                <w:color w:val="auto"/>
                <w:kern w:val="0"/>
                <w:sz w:val="24"/>
                <w:szCs w:val="24"/>
                <w:highlight w:val="none"/>
              </w:rPr>
              <w:t xml:space="preserve"> </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K405+791.631-K434+609.954</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28.</w:t>
            </w:r>
            <w:r>
              <w:rPr>
                <w:rFonts w:hint="eastAsia" w:ascii="仿宋" w:hAnsi="仿宋" w:eastAsia="仿宋" w:cs="仿宋"/>
                <w:color w:val="auto"/>
                <w:kern w:val="0"/>
                <w:sz w:val="24"/>
                <w:szCs w:val="24"/>
                <w:highlight w:val="none"/>
                <w:lang w:val="en-US" w:eastAsia="zh-CN"/>
              </w:rPr>
              <w:t>855</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cstheme="minorEastAsia"/>
                <w:color w:val="auto"/>
                <w:kern w:val="0"/>
                <w:sz w:val="24"/>
                <w:szCs w:val="24"/>
                <w:highlight w:val="none"/>
              </w:rPr>
              <w:t>路基、桥涵、</w:t>
            </w:r>
            <w:r>
              <w:rPr>
                <w:rFonts w:hint="eastAsia" w:asciiTheme="minorEastAsia" w:hAnsiTheme="minorEastAsia" w:cstheme="minorEastAsia"/>
                <w:color w:val="auto"/>
                <w:kern w:val="0"/>
                <w:sz w:val="24"/>
                <w:szCs w:val="24"/>
                <w:highlight w:val="none"/>
                <w:lang w:val="en-US" w:eastAsia="zh-CN"/>
              </w:rPr>
              <w:t>交叉、</w:t>
            </w:r>
            <w:r>
              <w:rPr>
                <w:rFonts w:hint="eastAsia" w:asciiTheme="minorEastAsia" w:hAnsiTheme="minorEastAsia" w:cstheme="minorEastAsia"/>
                <w:color w:val="auto"/>
                <w:kern w:val="0"/>
                <w:sz w:val="24"/>
                <w:szCs w:val="24"/>
                <w:highlight w:val="none"/>
              </w:rPr>
              <w:t>交安、绿化</w:t>
            </w:r>
            <w:r>
              <w:rPr>
                <w:rFonts w:hint="eastAsia" w:asciiTheme="minorEastAsia" w:hAnsiTheme="minorEastAsia" w:cstheme="minorEastAsia"/>
                <w:color w:val="auto"/>
                <w:kern w:val="0"/>
                <w:sz w:val="24"/>
                <w:szCs w:val="24"/>
                <w:highlight w:val="none"/>
                <w:lang w:val="en-US" w:eastAsia="zh-CN"/>
              </w:rPr>
              <w:t>工程</w:t>
            </w:r>
          </w:p>
        </w:tc>
      </w:tr>
      <w:tr>
        <w:tblPrEx>
          <w:tblCellMar>
            <w:top w:w="0" w:type="dxa"/>
            <w:left w:w="0" w:type="dxa"/>
            <w:bottom w:w="0" w:type="dxa"/>
            <w:right w:w="0" w:type="dxa"/>
          </w:tblCellMar>
        </w:tblPrEx>
        <w:trPr>
          <w:trHeight w:val="487" w:hRule="atLeast"/>
        </w:trPr>
        <w:tc>
          <w:tcPr>
            <w:tcW w:w="289"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b/>
                <w:color w:val="auto"/>
                <w:kern w:val="0"/>
                <w:sz w:val="24"/>
                <w:szCs w:val="24"/>
                <w:highlight w:val="none"/>
              </w:rPr>
            </w:pPr>
          </w:p>
        </w:tc>
        <w:tc>
          <w:tcPr>
            <w:tcW w:w="381"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rPr>
              <w:t>JL</w:t>
            </w:r>
            <w:r>
              <w:rPr>
                <w:rFonts w:hint="eastAsia" w:asciiTheme="minorEastAsia" w:hAnsiTheme="minorEastAsia" w:cstheme="minorEastAsia"/>
                <w:color w:val="auto"/>
                <w:kern w:val="0"/>
                <w:sz w:val="24"/>
                <w:szCs w:val="24"/>
                <w:highlight w:val="none"/>
                <w:lang w:val="en-US" w:eastAsia="zh-CN"/>
              </w:rPr>
              <w:t>4</w:t>
            </w:r>
            <w:r>
              <w:rPr>
                <w:rFonts w:hint="eastAsia" w:asciiTheme="minorEastAsia" w:hAnsiTheme="minorEastAsia" w:cstheme="minorEastAsia"/>
                <w:color w:val="auto"/>
                <w:kern w:val="0"/>
                <w:sz w:val="24"/>
                <w:szCs w:val="24"/>
                <w:highlight w:val="none"/>
              </w:rPr>
              <w:t xml:space="preserve"> </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K433+546.004-K475+</w:t>
            </w:r>
            <w:r>
              <w:rPr>
                <w:rFonts w:hint="eastAsia" w:ascii="仿宋" w:hAnsi="仿宋" w:eastAsia="仿宋" w:cs="仿宋"/>
                <w:color w:val="auto"/>
                <w:kern w:val="0"/>
                <w:sz w:val="24"/>
                <w:szCs w:val="24"/>
                <w:highlight w:val="none"/>
                <w:lang w:val="en-US" w:eastAsia="zh-CN"/>
              </w:rPr>
              <w:t>108.819</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41.</w:t>
            </w:r>
            <w:r>
              <w:rPr>
                <w:rFonts w:hint="eastAsia" w:ascii="仿宋" w:hAnsi="仿宋" w:eastAsia="仿宋" w:cs="仿宋"/>
                <w:color w:val="auto"/>
                <w:kern w:val="0"/>
                <w:sz w:val="24"/>
                <w:szCs w:val="24"/>
                <w:highlight w:val="none"/>
                <w:lang w:val="en-US" w:eastAsia="zh-CN"/>
              </w:rPr>
              <w:t>681</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cstheme="minorEastAsia"/>
                <w:color w:val="auto"/>
                <w:kern w:val="0"/>
                <w:sz w:val="24"/>
                <w:szCs w:val="24"/>
                <w:highlight w:val="none"/>
              </w:rPr>
              <w:t>路基、桥涵</w:t>
            </w:r>
            <w:r>
              <w:rPr>
                <w:rFonts w:hint="eastAsia" w:asciiTheme="minorEastAsia" w:hAnsiTheme="minorEastAsia" w:cstheme="minorEastAsia"/>
                <w:color w:val="auto"/>
                <w:kern w:val="0"/>
                <w:sz w:val="24"/>
                <w:szCs w:val="24"/>
                <w:highlight w:val="none"/>
                <w:lang w:eastAsia="zh-CN"/>
              </w:rPr>
              <w:t>、</w:t>
            </w:r>
            <w:r>
              <w:rPr>
                <w:rFonts w:hint="eastAsia" w:asciiTheme="minorEastAsia" w:hAnsiTheme="minorEastAsia" w:cstheme="minorEastAsia"/>
                <w:color w:val="auto"/>
                <w:kern w:val="0"/>
                <w:sz w:val="24"/>
                <w:szCs w:val="24"/>
                <w:highlight w:val="none"/>
                <w:lang w:val="en-US" w:eastAsia="zh-CN"/>
              </w:rPr>
              <w:t>交叉</w:t>
            </w:r>
            <w:r>
              <w:rPr>
                <w:rFonts w:hint="eastAsia" w:asciiTheme="minorEastAsia" w:hAnsiTheme="minorEastAsia" w:cstheme="minorEastAsia"/>
                <w:color w:val="auto"/>
                <w:kern w:val="0"/>
                <w:sz w:val="24"/>
                <w:szCs w:val="24"/>
                <w:highlight w:val="none"/>
              </w:rPr>
              <w:t>、交安、绿化</w:t>
            </w:r>
            <w:r>
              <w:rPr>
                <w:rFonts w:hint="eastAsia" w:asciiTheme="minorEastAsia" w:hAnsiTheme="minorEastAsia" w:cstheme="minorEastAsia"/>
                <w:color w:val="auto"/>
                <w:kern w:val="0"/>
                <w:sz w:val="24"/>
                <w:szCs w:val="24"/>
                <w:highlight w:val="none"/>
                <w:lang w:val="en-US" w:eastAsia="zh-CN"/>
              </w:rPr>
              <w:t>工程</w:t>
            </w:r>
          </w:p>
        </w:tc>
      </w:tr>
      <w:tr>
        <w:tblPrEx>
          <w:tblCellMar>
            <w:top w:w="0" w:type="dxa"/>
            <w:left w:w="0" w:type="dxa"/>
            <w:bottom w:w="0" w:type="dxa"/>
            <w:right w:w="0" w:type="dxa"/>
          </w:tblCellMar>
        </w:tblPrEx>
        <w:trPr>
          <w:trHeight w:val="687" w:hRule="atLeast"/>
        </w:trPr>
        <w:tc>
          <w:tcPr>
            <w:tcW w:w="289"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b/>
                <w:color w:val="auto"/>
                <w:kern w:val="0"/>
                <w:sz w:val="24"/>
                <w:szCs w:val="24"/>
                <w:highlight w:val="none"/>
              </w:rPr>
            </w:pPr>
          </w:p>
        </w:tc>
        <w:tc>
          <w:tcPr>
            <w:tcW w:w="381"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sz w:val="24"/>
                <w:szCs w:val="24"/>
                <w:highlight w:val="none"/>
              </w:rPr>
            </w:pPr>
            <w:r>
              <w:rPr>
                <w:rFonts w:hint="eastAsia" w:asciiTheme="minorEastAsia" w:hAnsiTheme="minorEastAsia" w:cstheme="minorEastAsia"/>
                <w:color w:val="auto"/>
                <w:kern w:val="0"/>
                <w:sz w:val="24"/>
                <w:szCs w:val="24"/>
                <w:highlight w:val="none"/>
              </w:rPr>
              <w:t>JL</w:t>
            </w:r>
            <w:r>
              <w:rPr>
                <w:rFonts w:hint="eastAsia" w:asciiTheme="minorEastAsia" w:hAnsiTheme="minorEastAsia" w:cstheme="minorEastAsia"/>
                <w:color w:val="auto"/>
                <w:kern w:val="0"/>
                <w:sz w:val="24"/>
                <w:szCs w:val="24"/>
                <w:highlight w:val="none"/>
                <w:lang w:val="en-US" w:eastAsia="zh-CN"/>
              </w:rPr>
              <w:t>5</w:t>
            </w:r>
            <w:r>
              <w:rPr>
                <w:rFonts w:hint="eastAsia" w:asciiTheme="minorEastAsia" w:hAnsiTheme="minorEastAsia" w:cstheme="minorEastAsia"/>
                <w:color w:val="auto"/>
                <w:kern w:val="0"/>
                <w:sz w:val="24"/>
                <w:szCs w:val="24"/>
                <w:highlight w:val="none"/>
              </w:rPr>
              <w:t xml:space="preserve"> </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K475+265-K528+</w:t>
            </w:r>
            <w:r>
              <w:rPr>
                <w:rFonts w:hint="eastAsia" w:ascii="仿宋" w:hAnsi="仿宋" w:eastAsia="仿宋" w:cs="仿宋"/>
                <w:color w:val="auto"/>
                <w:kern w:val="0"/>
                <w:sz w:val="24"/>
                <w:szCs w:val="24"/>
                <w:highlight w:val="none"/>
                <w:lang w:val="en-US" w:eastAsia="zh-CN"/>
              </w:rPr>
              <w:t>971.339</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lang w:val="en-US" w:eastAsia="zh-CN"/>
              </w:rPr>
              <w:t>44.952</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cstheme="minorEastAsia"/>
                <w:color w:val="auto"/>
                <w:kern w:val="0"/>
                <w:sz w:val="24"/>
                <w:szCs w:val="24"/>
                <w:highlight w:val="none"/>
              </w:rPr>
              <w:t>路基、桥涵(不含公铁立交)、</w:t>
            </w:r>
            <w:r>
              <w:rPr>
                <w:rFonts w:hint="eastAsia" w:asciiTheme="minorEastAsia" w:hAnsiTheme="minorEastAsia" w:cstheme="minorEastAsia"/>
                <w:color w:val="auto"/>
                <w:kern w:val="0"/>
                <w:sz w:val="24"/>
                <w:szCs w:val="24"/>
                <w:highlight w:val="none"/>
                <w:lang w:val="en-US" w:eastAsia="zh-CN"/>
              </w:rPr>
              <w:t>交叉、</w:t>
            </w:r>
            <w:r>
              <w:rPr>
                <w:rFonts w:hint="eastAsia" w:asciiTheme="minorEastAsia" w:hAnsiTheme="minorEastAsia" w:cstheme="minorEastAsia"/>
                <w:color w:val="auto"/>
                <w:kern w:val="0"/>
                <w:sz w:val="24"/>
                <w:szCs w:val="24"/>
                <w:highlight w:val="none"/>
              </w:rPr>
              <w:t>交安、绿化</w:t>
            </w:r>
            <w:r>
              <w:rPr>
                <w:rFonts w:hint="eastAsia" w:asciiTheme="minorEastAsia" w:hAnsiTheme="minorEastAsia" w:cstheme="minorEastAsia"/>
                <w:color w:val="auto"/>
                <w:kern w:val="0"/>
                <w:sz w:val="24"/>
                <w:szCs w:val="24"/>
                <w:highlight w:val="none"/>
                <w:lang w:val="en-US" w:eastAsia="zh-CN"/>
              </w:rPr>
              <w:t>工程</w:t>
            </w:r>
          </w:p>
        </w:tc>
      </w:tr>
      <w:tr>
        <w:tblPrEx>
          <w:tblCellMar>
            <w:top w:w="0" w:type="dxa"/>
            <w:left w:w="0" w:type="dxa"/>
            <w:bottom w:w="0" w:type="dxa"/>
            <w:right w:w="0" w:type="dxa"/>
          </w:tblCellMar>
        </w:tblPrEx>
        <w:trPr>
          <w:trHeight w:val="687" w:hRule="atLeast"/>
        </w:trPr>
        <w:tc>
          <w:tcPr>
            <w:tcW w:w="289"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b/>
                <w:color w:val="auto"/>
                <w:kern w:val="0"/>
                <w:sz w:val="24"/>
                <w:szCs w:val="24"/>
                <w:highlight w:val="none"/>
              </w:rPr>
            </w:pPr>
          </w:p>
        </w:tc>
        <w:tc>
          <w:tcPr>
            <w:tcW w:w="381"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sz w:val="24"/>
                <w:szCs w:val="24"/>
                <w:highlight w:val="none"/>
              </w:rPr>
            </w:pPr>
            <w:r>
              <w:rPr>
                <w:rFonts w:hint="eastAsia" w:asciiTheme="minorEastAsia" w:hAnsiTheme="minorEastAsia" w:cstheme="minorEastAsia"/>
                <w:color w:val="auto"/>
                <w:kern w:val="0"/>
                <w:sz w:val="24"/>
                <w:szCs w:val="24"/>
                <w:highlight w:val="none"/>
              </w:rPr>
              <w:t>JL</w:t>
            </w:r>
            <w:r>
              <w:rPr>
                <w:rFonts w:hint="eastAsia" w:asciiTheme="minorEastAsia" w:hAnsiTheme="minorEastAsia" w:cstheme="minorEastAsia"/>
                <w:color w:val="auto"/>
                <w:kern w:val="0"/>
                <w:sz w:val="24"/>
                <w:szCs w:val="24"/>
                <w:highlight w:val="none"/>
                <w:lang w:val="en-US" w:eastAsia="zh-CN"/>
              </w:rPr>
              <w:t>6</w:t>
            </w:r>
            <w:r>
              <w:rPr>
                <w:rFonts w:hint="eastAsia" w:asciiTheme="minorEastAsia" w:hAnsiTheme="minorEastAsia" w:cstheme="minorEastAsia"/>
                <w:color w:val="auto"/>
                <w:kern w:val="0"/>
                <w:sz w:val="24"/>
                <w:szCs w:val="24"/>
                <w:highlight w:val="none"/>
              </w:rPr>
              <w:t xml:space="preserve"> </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K530+900-K577+110.644</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4</w:t>
            </w:r>
            <w:r>
              <w:rPr>
                <w:rFonts w:hint="eastAsia" w:ascii="仿宋" w:hAnsi="仿宋" w:eastAsia="仿宋" w:cs="仿宋"/>
                <w:color w:val="auto"/>
                <w:kern w:val="0"/>
                <w:sz w:val="24"/>
                <w:szCs w:val="24"/>
                <w:highlight w:val="none"/>
                <w:lang w:val="en-US" w:eastAsia="zh-CN"/>
              </w:rPr>
              <w:t>0.768</w:t>
            </w:r>
            <w:r>
              <w:rPr>
                <w:rFonts w:hint="eastAsia" w:ascii="仿宋" w:hAnsi="仿宋" w:eastAsia="仿宋" w:cs="仿宋"/>
                <w:color w:val="auto"/>
                <w:kern w:val="0"/>
                <w:sz w:val="24"/>
                <w:szCs w:val="24"/>
                <w:highlight w:val="none"/>
              </w:rPr>
              <w:t>(含断链115.221m)</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cstheme="minorEastAsia"/>
                <w:color w:val="auto"/>
                <w:kern w:val="0"/>
                <w:sz w:val="24"/>
                <w:szCs w:val="24"/>
                <w:highlight w:val="none"/>
              </w:rPr>
              <w:t>路基、桥涵(不含公铁立交)、</w:t>
            </w:r>
            <w:r>
              <w:rPr>
                <w:rFonts w:hint="eastAsia" w:asciiTheme="minorEastAsia" w:hAnsiTheme="minorEastAsia" w:cstheme="minorEastAsia"/>
                <w:color w:val="auto"/>
                <w:kern w:val="0"/>
                <w:sz w:val="24"/>
                <w:szCs w:val="24"/>
                <w:highlight w:val="none"/>
                <w:lang w:val="en-US" w:eastAsia="zh-CN"/>
              </w:rPr>
              <w:t>交叉、</w:t>
            </w:r>
            <w:r>
              <w:rPr>
                <w:rFonts w:hint="eastAsia" w:asciiTheme="minorEastAsia" w:hAnsiTheme="minorEastAsia" w:cstheme="minorEastAsia"/>
                <w:color w:val="auto"/>
                <w:kern w:val="0"/>
                <w:sz w:val="24"/>
                <w:szCs w:val="24"/>
                <w:highlight w:val="none"/>
              </w:rPr>
              <w:t>交安、绿化</w:t>
            </w:r>
            <w:r>
              <w:rPr>
                <w:rFonts w:hint="eastAsia" w:asciiTheme="minorEastAsia" w:hAnsiTheme="minorEastAsia" w:cstheme="minorEastAsia"/>
                <w:color w:val="auto"/>
                <w:kern w:val="0"/>
                <w:sz w:val="24"/>
                <w:szCs w:val="24"/>
                <w:highlight w:val="none"/>
                <w:lang w:val="en-US" w:eastAsia="zh-CN"/>
              </w:rPr>
              <w:t>工程</w:t>
            </w:r>
          </w:p>
        </w:tc>
      </w:tr>
      <w:tr>
        <w:tblPrEx>
          <w:tblCellMar>
            <w:top w:w="0" w:type="dxa"/>
            <w:left w:w="0" w:type="dxa"/>
            <w:bottom w:w="0" w:type="dxa"/>
            <w:right w:w="0" w:type="dxa"/>
          </w:tblCellMar>
        </w:tblPrEx>
        <w:trPr>
          <w:trHeight w:val="487" w:hRule="atLeast"/>
        </w:trPr>
        <w:tc>
          <w:tcPr>
            <w:tcW w:w="289"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Ⅲ</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sz w:val="24"/>
                <w:szCs w:val="24"/>
                <w:highlight w:val="none"/>
              </w:rPr>
            </w:pPr>
            <w:r>
              <w:rPr>
                <w:rFonts w:hint="eastAsia" w:asciiTheme="minorEastAsia" w:hAnsiTheme="minorEastAsia" w:cstheme="minorEastAsia"/>
                <w:color w:val="auto"/>
                <w:kern w:val="0"/>
                <w:sz w:val="24"/>
                <w:szCs w:val="24"/>
                <w:highlight w:val="none"/>
              </w:rPr>
              <w:t>JL</w:t>
            </w:r>
            <w:r>
              <w:rPr>
                <w:rFonts w:hint="eastAsia" w:asciiTheme="minorEastAsia" w:hAnsiTheme="minorEastAsia" w:cstheme="minorEastAsia"/>
                <w:color w:val="auto"/>
                <w:kern w:val="0"/>
                <w:sz w:val="24"/>
                <w:szCs w:val="24"/>
                <w:highlight w:val="none"/>
                <w:lang w:val="en-US" w:eastAsia="zh-CN"/>
              </w:rPr>
              <w:t>7</w:t>
            </w:r>
            <w:r>
              <w:rPr>
                <w:rFonts w:hint="eastAsia" w:asciiTheme="minorEastAsia" w:hAnsiTheme="minorEastAsia" w:cstheme="minorEastAsia"/>
                <w:color w:val="auto"/>
                <w:kern w:val="0"/>
                <w:sz w:val="24"/>
                <w:szCs w:val="24"/>
                <w:highlight w:val="none"/>
              </w:rPr>
              <w:t xml:space="preserve"> </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170.414</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cstheme="minorEastAsia"/>
                <w:color w:val="auto"/>
                <w:kern w:val="0"/>
                <w:sz w:val="24"/>
                <w:szCs w:val="24"/>
                <w:highlight w:val="none"/>
              </w:rPr>
              <w:t>房建</w:t>
            </w:r>
            <w:r>
              <w:rPr>
                <w:rFonts w:hint="eastAsia" w:asciiTheme="minorEastAsia" w:hAnsiTheme="minorEastAsia" w:cstheme="minorEastAsia"/>
                <w:color w:val="auto"/>
                <w:kern w:val="0"/>
                <w:sz w:val="24"/>
                <w:szCs w:val="24"/>
                <w:highlight w:val="none"/>
                <w:lang w:val="en-US" w:eastAsia="zh-CN"/>
              </w:rPr>
              <w:t>工程</w:t>
            </w:r>
          </w:p>
        </w:tc>
      </w:tr>
      <w:tr>
        <w:tblPrEx>
          <w:tblCellMar>
            <w:top w:w="0" w:type="dxa"/>
            <w:left w:w="0" w:type="dxa"/>
            <w:bottom w:w="0" w:type="dxa"/>
            <w:right w:w="0" w:type="dxa"/>
          </w:tblCellMar>
        </w:tblPrEx>
        <w:trPr>
          <w:trHeight w:val="487" w:hRule="atLeast"/>
        </w:trPr>
        <w:tc>
          <w:tcPr>
            <w:tcW w:w="28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Ⅳ</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cstheme="minorEastAsia"/>
                <w:color w:val="auto"/>
                <w:kern w:val="0"/>
                <w:sz w:val="24"/>
                <w:szCs w:val="24"/>
                <w:highlight w:val="none"/>
              </w:rPr>
              <w:t>JL</w:t>
            </w:r>
            <w:r>
              <w:rPr>
                <w:rFonts w:hint="eastAsia" w:asciiTheme="minorEastAsia" w:hAnsiTheme="minorEastAsia" w:cstheme="minorEastAsia"/>
                <w:color w:val="auto"/>
                <w:kern w:val="0"/>
                <w:sz w:val="24"/>
                <w:szCs w:val="24"/>
                <w:highlight w:val="none"/>
                <w:lang w:val="en-US" w:eastAsia="zh-CN"/>
              </w:rPr>
              <w:t>8</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170.414</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cstheme="minorEastAsia"/>
                <w:color w:val="auto"/>
                <w:kern w:val="0"/>
                <w:sz w:val="24"/>
                <w:szCs w:val="24"/>
                <w:highlight w:val="none"/>
              </w:rPr>
              <w:t>机电</w:t>
            </w:r>
            <w:r>
              <w:rPr>
                <w:rFonts w:hint="eastAsia" w:asciiTheme="minorEastAsia" w:hAnsiTheme="minorEastAsia" w:cstheme="minorEastAsia"/>
                <w:color w:val="auto"/>
                <w:kern w:val="0"/>
                <w:sz w:val="24"/>
                <w:szCs w:val="24"/>
                <w:highlight w:val="none"/>
                <w:lang w:val="en-US" w:eastAsia="zh-CN"/>
              </w:rPr>
              <w:t>工程</w:t>
            </w:r>
          </w:p>
        </w:tc>
      </w:tr>
      <w:tr>
        <w:tblPrEx>
          <w:tblCellMar>
            <w:top w:w="0" w:type="dxa"/>
            <w:left w:w="0" w:type="dxa"/>
            <w:bottom w:w="0" w:type="dxa"/>
            <w:right w:w="0" w:type="dxa"/>
          </w:tblCellMar>
        </w:tblPrEx>
        <w:trPr>
          <w:trHeight w:val="1358" w:hRule="atLeast"/>
        </w:trPr>
        <w:tc>
          <w:tcPr>
            <w:tcW w:w="28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Ⅴ</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cstheme="minorEastAsia"/>
                <w:color w:val="auto"/>
                <w:kern w:val="0"/>
                <w:sz w:val="24"/>
                <w:szCs w:val="24"/>
                <w:highlight w:val="none"/>
              </w:rPr>
              <w:t>JL</w:t>
            </w:r>
            <w:r>
              <w:rPr>
                <w:rFonts w:hint="eastAsia" w:asciiTheme="minorEastAsia" w:hAnsiTheme="minorEastAsia" w:cstheme="minorEastAsia"/>
                <w:color w:val="auto"/>
                <w:kern w:val="0"/>
                <w:sz w:val="24"/>
                <w:szCs w:val="24"/>
                <w:highlight w:val="none"/>
                <w:lang w:val="en-US" w:eastAsia="zh-CN"/>
              </w:rPr>
              <w:t>9</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rPr>
              <w:t>K4</w:t>
            </w:r>
            <w:r>
              <w:rPr>
                <w:rFonts w:hint="eastAsia" w:ascii="仿宋" w:hAnsi="仿宋" w:eastAsia="仿宋" w:cs="仿宋"/>
                <w:color w:val="auto"/>
                <w:kern w:val="0"/>
                <w:sz w:val="24"/>
                <w:szCs w:val="24"/>
                <w:highlight w:val="none"/>
                <w:lang w:val="en-US" w:eastAsia="zh-CN"/>
              </w:rPr>
              <w:t>85+600</w:t>
            </w:r>
            <w:r>
              <w:rPr>
                <w:rFonts w:hint="eastAsia" w:ascii="仿宋" w:hAnsi="仿宋" w:eastAsia="仿宋" w:cs="仿宋"/>
                <w:color w:val="auto"/>
                <w:kern w:val="0"/>
                <w:sz w:val="24"/>
                <w:szCs w:val="24"/>
                <w:highlight w:val="none"/>
              </w:rPr>
              <w:t>-K</w:t>
            </w:r>
            <w:r>
              <w:rPr>
                <w:rFonts w:hint="eastAsia" w:ascii="仿宋" w:hAnsi="仿宋" w:eastAsia="仿宋" w:cs="仿宋"/>
                <w:color w:val="auto"/>
                <w:kern w:val="0"/>
                <w:sz w:val="24"/>
                <w:szCs w:val="24"/>
                <w:highlight w:val="none"/>
                <w:lang w:val="en-US" w:eastAsia="zh-CN"/>
              </w:rPr>
              <w:t>490+200、</w:t>
            </w:r>
            <w:r>
              <w:rPr>
                <w:rFonts w:hint="eastAsia" w:ascii="仿宋" w:hAnsi="仿宋" w:eastAsia="仿宋" w:cs="仿宋"/>
                <w:color w:val="auto"/>
                <w:kern w:val="0"/>
                <w:sz w:val="24"/>
                <w:szCs w:val="24"/>
                <w:highlight w:val="none"/>
              </w:rPr>
              <w:t>K</w:t>
            </w:r>
            <w:r>
              <w:rPr>
                <w:rFonts w:hint="eastAsia" w:ascii="仿宋" w:hAnsi="仿宋" w:eastAsia="仿宋" w:cs="仿宋"/>
                <w:color w:val="auto"/>
                <w:kern w:val="0"/>
                <w:sz w:val="24"/>
                <w:szCs w:val="24"/>
                <w:highlight w:val="none"/>
                <w:lang w:val="en-US" w:eastAsia="zh-CN"/>
              </w:rPr>
              <w:t>506+000</w:t>
            </w:r>
            <w:r>
              <w:rPr>
                <w:rFonts w:hint="eastAsia" w:ascii="仿宋" w:hAnsi="仿宋" w:eastAsia="仿宋" w:cs="仿宋"/>
                <w:color w:val="auto"/>
                <w:kern w:val="0"/>
                <w:sz w:val="24"/>
                <w:szCs w:val="24"/>
                <w:highlight w:val="none"/>
              </w:rPr>
              <w:t>-K</w:t>
            </w:r>
            <w:r>
              <w:rPr>
                <w:rFonts w:hint="eastAsia" w:ascii="仿宋" w:hAnsi="仿宋" w:eastAsia="仿宋" w:cs="仿宋"/>
                <w:color w:val="auto"/>
                <w:kern w:val="0"/>
                <w:sz w:val="24"/>
                <w:szCs w:val="24"/>
                <w:highlight w:val="none"/>
                <w:lang w:val="en-US" w:eastAsia="zh-CN"/>
              </w:rPr>
              <w:t>510+000、</w:t>
            </w:r>
            <w:r>
              <w:rPr>
                <w:rFonts w:hint="eastAsia" w:ascii="仿宋" w:hAnsi="仿宋" w:eastAsia="仿宋" w:cs="仿宋"/>
                <w:color w:val="auto"/>
                <w:kern w:val="0"/>
                <w:sz w:val="24"/>
                <w:szCs w:val="24"/>
                <w:highlight w:val="none"/>
              </w:rPr>
              <w:t>K</w:t>
            </w:r>
            <w:r>
              <w:rPr>
                <w:rFonts w:hint="eastAsia" w:ascii="仿宋" w:hAnsi="仿宋" w:eastAsia="仿宋" w:cs="仿宋"/>
                <w:color w:val="auto"/>
                <w:kern w:val="0"/>
                <w:sz w:val="24"/>
                <w:szCs w:val="24"/>
                <w:highlight w:val="none"/>
                <w:lang w:val="en-US" w:eastAsia="zh-CN"/>
              </w:rPr>
              <w:t>557+450</w:t>
            </w:r>
            <w:r>
              <w:rPr>
                <w:rFonts w:hint="eastAsia" w:ascii="仿宋" w:hAnsi="仿宋" w:eastAsia="仿宋" w:cs="仿宋"/>
                <w:color w:val="auto"/>
                <w:kern w:val="0"/>
                <w:sz w:val="24"/>
                <w:szCs w:val="24"/>
                <w:highlight w:val="none"/>
              </w:rPr>
              <w:t>-K5</w:t>
            </w:r>
            <w:r>
              <w:rPr>
                <w:rFonts w:hint="eastAsia" w:ascii="仿宋" w:hAnsi="仿宋" w:eastAsia="仿宋" w:cs="仿宋"/>
                <w:color w:val="auto"/>
                <w:kern w:val="0"/>
                <w:sz w:val="24"/>
                <w:szCs w:val="24"/>
                <w:highlight w:val="none"/>
                <w:lang w:val="en-US" w:eastAsia="zh-CN"/>
              </w:rPr>
              <w:t>60+000、</w:t>
            </w:r>
            <w:r>
              <w:rPr>
                <w:rFonts w:hint="eastAsia" w:ascii="仿宋" w:hAnsi="仿宋" w:eastAsia="仿宋" w:cs="仿宋"/>
                <w:color w:val="auto"/>
                <w:kern w:val="0"/>
                <w:sz w:val="24"/>
                <w:szCs w:val="24"/>
                <w:highlight w:val="none"/>
              </w:rPr>
              <w:t>K</w:t>
            </w:r>
            <w:r>
              <w:rPr>
                <w:rFonts w:hint="eastAsia" w:ascii="仿宋" w:hAnsi="仿宋" w:eastAsia="仿宋" w:cs="仿宋"/>
                <w:color w:val="auto"/>
                <w:kern w:val="0"/>
                <w:sz w:val="24"/>
                <w:szCs w:val="24"/>
                <w:highlight w:val="none"/>
                <w:lang w:val="en-US" w:eastAsia="zh-CN"/>
              </w:rPr>
              <w:t>567+191.758</w:t>
            </w:r>
            <w:r>
              <w:rPr>
                <w:rFonts w:hint="eastAsia" w:ascii="仿宋" w:hAnsi="仿宋" w:eastAsia="仿宋" w:cs="仿宋"/>
                <w:color w:val="auto"/>
                <w:kern w:val="0"/>
                <w:sz w:val="24"/>
                <w:szCs w:val="24"/>
                <w:highlight w:val="none"/>
              </w:rPr>
              <w:t>-K5</w:t>
            </w:r>
            <w:r>
              <w:rPr>
                <w:rFonts w:hint="eastAsia" w:ascii="仿宋" w:hAnsi="仿宋" w:eastAsia="仿宋" w:cs="仿宋"/>
                <w:color w:val="auto"/>
                <w:kern w:val="0"/>
                <w:sz w:val="24"/>
                <w:szCs w:val="24"/>
                <w:highlight w:val="none"/>
                <w:lang w:val="en-US" w:eastAsia="zh-CN"/>
              </w:rPr>
              <w:t>70+200</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仿宋" w:hAnsi="仿宋" w:eastAsia="仿宋" w:cs="仿宋"/>
                <w:color w:val="auto"/>
                <w:kern w:val="0"/>
                <w:sz w:val="24"/>
                <w:szCs w:val="24"/>
                <w:highlight w:val="none"/>
                <w:lang w:val="en-US" w:eastAsia="zh-CN"/>
              </w:rPr>
              <w:t>14.158</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rPr>
              <w:t>公铁立交</w:t>
            </w:r>
          </w:p>
        </w:tc>
      </w:tr>
    </w:tbl>
    <w:p>
      <w:pPr>
        <w:pStyle w:val="7"/>
        <w:spacing w:beforeAutospacing="0" w:afterAutospacing="0" w:line="460" w:lineRule="exact"/>
        <w:ind w:firstLine="470" w:firstLineChars="196"/>
        <w:rPr>
          <w:rFonts w:cstheme="minorBidi"/>
          <w:b w:val="0"/>
          <w:bCs/>
          <w:color w:val="auto"/>
          <w:kern w:val="2"/>
          <w:sz w:val="24"/>
          <w:szCs w:val="22"/>
          <w:highlight w:val="none"/>
        </w:rPr>
      </w:pPr>
      <w:r>
        <w:rPr>
          <w:rFonts w:hint="eastAsia" w:cstheme="minorBidi"/>
          <w:b w:val="0"/>
          <w:bCs/>
          <w:color w:val="auto"/>
          <w:kern w:val="2"/>
          <w:sz w:val="24"/>
          <w:szCs w:val="22"/>
          <w:highlight w:val="none"/>
          <w:lang w:val="en-US" w:eastAsia="zh-CN"/>
        </w:rPr>
        <w:t>1</w:t>
      </w:r>
      <w:r>
        <w:rPr>
          <w:rFonts w:hint="eastAsia" w:cstheme="minorBidi"/>
          <w:b w:val="0"/>
          <w:bCs/>
          <w:color w:val="auto"/>
          <w:kern w:val="2"/>
          <w:sz w:val="24"/>
          <w:szCs w:val="22"/>
          <w:highlight w:val="none"/>
        </w:rPr>
        <w:t>.3监理服务期：</w:t>
      </w:r>
    </w:p>
    <w:p>
      <w:pPr>
        <w:spacing w:line="440" w:lineRule="exact"/>
        <w:ind w:firstLine="482" w:firstLineChars="200"/>
        <w:rPr>
          <w:rFonts w:ascii="宋体" w:hAnsi="宋体"/>
          <w:color w:val="auto"/>
          <w:sz w:val="24"/>
          <w:highlight w:val="none"/>
        </w:rPr>
      </w:pPr>
      <w:r>
        <w:rPr>
          <w:rFonts w:hint="eastAsia" w:ascii="宋体" w:hAnsi="宋体"/>
          <w:b/>
          <w:color w:val="auto"/>
          <w:sz w:val="24"/>
          <w:highlight w:val="none"/>
        </w:rPr>
        <w:t xml:space="preserve"> 监理服务期：</w:t>
      </w:r>
      <w:r>
        <w:rPr>
          <w:rFonts w:hint="eastAsia" w:ascii="宋体" w:hAnsi="宋体"/>
          <w:color w:val="auto"/>
          <w:sz w:val="24"/>
          <w:highlight w:val="none"/>
        </w:rPr>
        <w:t>JL1、JL</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JL</w:t>
      </w:r>
      <w:r>
        <w:rPr>
          <w:rFonts w:hint="eastAsia" w:ascii="宋体" w:hAnsi="宋体"/>
          <w:color w:val="auto"/>
          <w:sz w:val="24"/>
          <w:highlight w:val="none"/>
          <w:lang w:val="en-US" w:eastAsia="zh-CN"/>
        </w:rPr>
        <w:t>7</w:t>
      </w:r>
      <w:r>
        <w:rPr>
          <w:rFonts w:hint="eastAsia" w:ascii="宋体" w:hAnsi="宋体"/>
          <w:color w:val="auto"/>
          <w:sz w:val="24"/>
          <w:highlight w:val="none"/>
        </w:rPr>
        <w:t>标段：54.5个月。其中，施工准备阶段监理0.5个月，施工阶段监理</w:t>
      </w:r>
      <w:r>
        <w:rPr>
          <w:rFonts w:hint="eastAsia" w:ascii="宋体" w:hAnsi="宋体"/>
          <w:color w:val="auto"/>
          <w:sz w:val="24"/>
          <w:highlight w:val="none"/>
          <w:lang w:val="en-US" w:eastAsia="zh-CN"/>
        </w:rPr>
        <w:t>30</w:t>
      </w:r>
      <w:r>
        <w:rPr>
          <w:rFonts w:hint="eastAsia" w:ascii="宋体" w:hAnsi="宋体"/>
          <w:color w:val="auto"/>
          <w:sz w:val="24"/>
          <w:highlight w:val="none"/>
        </w:rPr>
        <w:t>个月，交工验收与缺陷责任期阶段监理24个月。</w:t>
      </w:r>
    </w:p>
    <w:p>
      <w:pPr>
        <w:spacing w:line="440" w:lineRule="exact"/>
        <w:ind w:firstLine="480" w:firstLineChars="200"/>
        <w:rPr>
          <w:rFonts w:ascii="宋体" w:hAnsi="宋体"/>
          <w:color w:val="auto"/>
          <w:sz w:val="24"/>
          <w:highlight w:val="none"/>
        </w:rPr>
      </w:pPr>
      <w:r>
        <w:rPr>
          <w:rFonts w:hint="eastAsia" w:ascii="宋体" w:hAnsi="宋体"/>
          <w:bCs/>
          <w:color w:val="auto"/>
          <w:sz w:val="24"/>
          <w:highlight w:val="none"/>
        </w:rPr>
        <w:t>JL</w:t>
      </w:r>
      <w:r>
        <w:rPr>
          <w:rFonts w:hint="eastAsia" w:ascii="宋体" w:hAnsi="宋体"/>
          <w:bCs/>
          <w:color w:val="auto"/>
          <w:sz w:val="24"/>
          <w:highlight w:val="none"/>
          <w:lang w:val="en-US" w:eastAsia="zh-CN"/>
        </w:rPr>
        <w:t>3</w:t>
      </w:r>
      <w:r>
        <w:rPr>
          <w:rFonts w:hint="eastAsia" w:ascii="宋体" w:hAnsi="宋体"/>
          <w:bCs/>
          <w:color w:val="auto"/>
          <w:sz w:val="24"/>
          <w:highlight w:val="none"/>
        </w:rPr>
        <w:t>～JL</w:t>
      </w:r>
      <w:r>
        <w:rPr>
          <w:rFonts w:hint="eastAsia" w:ascii="宋体" w:hAnsi="宋体"/>
          <w:bCs/>
          <w:color w:val="auto"/>
          <w:sz w:val="24"/>
          <w:highlight w:val="none"/>
          <w:lang w:val="en-US" w:eastAsia="zh-CN"/>
        </w:rPr>
        <w:t>6</w:t>
      </w:r>
      <w:r>
        <w:rPr>
          <w:rFonts w:hint="eastAsia" w:ascii="宋体" w:hAnsi="宋体"/>
          <w:bCs/>
          <w:color w:val="auto"/>
          <w:sz w:val="24"/>
          <w:highlight w:val="none"/>
        </w:rPr>
        <w:t>标段：</w:t>
      </w:r>
      <w:r>
        <w:rPr>
          <w:rFonts w:hint="eastAsia" w:ascii="宋体" w:hAnsi="宋体"/>
          <w:color w:val="auto"/>
          <w:sz w:val="24"/>
          <w:highlight w:val="none"/>
        </w:rPr>
        <w:t>60.5个月。其中，施工准备阶段理0.5个月，施工阶段监理</w:t>
      </w:r>
      <w:r>
        <w:rPr>
          <w:rFonts w:hint="eastAsia" w:ascii="宋体" w:hAnsi="宋体"/>
          <w:color w:val="auto"/>
          <w:sz w:val="24"/>
          <w:highlight w:val="none"/>
          <w:lang w:val="en-US" w:eastAsia="zh-CN"/>
        </w:rPr>
        <w:t>36</w:t>
      </w:r>
      <w:r>
        <w:rPr>
          <w:rFonts w:hint="eastAsia" w:ascii="宋体" w:hAnsi="宋体"/>
          <w:color w:val="auto"/>
          <w:sz w:val="24"/>
          <w:highlight w:val="none"/>
        </w:rPr>
        <w:t>个月，交工验收与缺陷责任期阶段监理24个月。</w:t>
      </w:r>
    </w:p>
    <w:p>
      <w:pPr>
        <w:pStyle w:val="2"/>
        <w:spacing w:line="460" w:lineRule="exact"/>
        <w:ind w:firstLine="480" w:firstLineChars="200"/>
        <w:rPr>
          <w:rFonts w:ascii="宋体" w:hAnsi="宋体" w:eastAsiaTheme="minorEastAsia" w:cstheme="minorBidi"/>
          <w:color w:val="auto"/>
          <w:sz w:val="24"/>
          <w:szCs w:val="22"/>
          <w:highlight w:val="none"/>
        </w:rPr>
      </w:pPr>
      <w:r>
        <w:rPr>
          <w:rFonts w:hint="eastAsia" w:ascii="宋体" w:hAnsi="宋体" w:eastAsiaTheme="minorEastAsia" w:cstheme="minorBidi"/>
          <w:color w:val="auto"/>
          <w:sz w:val="24"/>
          <w:szCs w:val="22"/>
          <w:highlight w:val="none"/>
        </w:rPr>
        <w:t>JL</w:t>
      </w:r>
      <w:r>
        <w:rPr>
          <w:rFonts w:hint="eastAsia" w:ascii="宋体" w:hAnsi="宋体" w:eastAsiaTheme="minorEastAsia" w:cstheme="minorBidi"/>
          <w:color w:val="auto"/>
          <w:sz w:val="24"/>
          <w:szCs w:val="22"/>
          <w:highlight w:val="none"/>
          <w:lang w:val="en-US" w:eastAsia="zh-CN"/>
        </w:rPr>
        <w:t>8</w:t>
      </w:r>
      <w:r>
        <w:rPr>
          <w:rFonts w:hint="eastAsia" w:ascii="宋体" w:hAnsi="宋体" w:eastAsiaTheme="minorEastAsia" w:cstheme="minorBidi"/>
          <w:color w:val="auto"/>
          <w:sz w:val="24"/>
          <w:szCs w:val="22"/>
          <w:highlight w:val="none"/>
        </w:rPr>
        <w:t>标段：48.5个月。其中，施工准备阶段监理0.5个月，施工阶段监理24个月，交工验收与缺陷责任期阶段监理24个月。</w:t>
      </w:r>
    </w:p>
    <w:p>
      <w:pPr>
        <w:spacing w:line="480" w:lineRule="exact"/>
        <w:ind w:firstLine="480"/>
        <w:rPr>
          <w:color w:val="auto"/>
          <w:sz w:val="24"/>
          <w:highlight w:val="none"/>
        </w:rPr>
      </w:pPr>
      <w:r>
        <w:rPr>
          <w:rFonts w:hint="eastAsia" w:ascii="宋体" w:hAnsi="宋体" w:eastAsiaTheme="minorEastAsia" w:cstheme="minorBidi"/>
          <w:color w:val="auto"/>
          <w:sz w:val="24"/>
          <w:szCs w:val="22"/>
          <w:highlight w:val="none"/>
        </w:rPr>
        <w:t>JL</w:t>
      </w:r>
      <w:r>
        <w:rPr>
          <w:rFonts w:hint="eastAsia" w:ascii="宋体" w:hAnsi="宋体" w:eastAsiaTheme="minorEastAsia" w:cstheme="minorBidi"/>
          <w:color w:val="auto"/>
          <w:sz w:val="24"/>
          <w:szCs w:val="22"/>
          <w:highlight w:val="none"/>
          <w:lang w:val="en-US" w:eastAsia="zh-CN"/>
        </w:rPr>
        <w:t>9</w:t>
      </w:r>
      <w:r>
        <w:rPr>
          <w:rFonts w:hint="eastAsia" w:ascii="宋体" w:hAnsi="宋体" w:eastAsiaTheme="minorEastAsia" w:cstheme="minorBidi"/>
          <w:color w:val="auto"/>
          <w:sz w:val="24"/>
          <w:szCs w:val="22"/>
          <w:highlight w:val="none"/>
        </w:rPr>
        <w:t>标段：60.5个月。其中，施工准备阶段理0.5个月，施工阶段监理</w:t>
      </w:r>
      <w:r>
        <w:rPr>
          <w:rFonts w:hint="eastAsia" w:ascii="宋体" w:hAnsi="宋体" w:eastAsiaTheme="minorEastAsia" w:cstheme="minorBidi"/>
          <w:color w:val="auto"/>
          <w:sz w:val="24"/>
          <w:szCs w:val="22"/>
          <w:highlight w:val="none"/>
          <w:lang w:val="en-US" w:eastAsia="zh-CN"/>
        </w:rPr>
        <w:t>36</w:t>
      </w:r>
      <w:r>
        <w:rPr>
          <w:rFonts w:hint="eastAsia" w:ascii="宋体" w:hAnsi="宋体" w:eastAsiaTheme="minorEastAsia" w:cstheme="minorBidi"/>
          <w:color w:val="auto"/>
          <w:sz w:val="24"/>
          <w:szCs w:val="22"/>
          <w:highlight w:val="none"/>
        </w:rPr>
        <w:t>个月，交工验收与缺陷责任期阶段监理24个月</w:t>
      </w:r>
      <w:r>
        <w:rPr>
          <w:rFonts w:hint="eastAsia" w:ascii="宋体" w:hAnsi="宋体" w:eastAsiaTheme="minorEastAsia" w:cstheme="minorBidi"/>
          <w:color w:val="auto"/>
          <w:sz w:val="24"/>
          <w:szCs w:val="22"/>
          <w:highlight w:val="none"/>
          <w:lang w:eastAsia="zh-CN"/>
        </w:rPr>
        <w:t>。</w:t>
      </w:r>
    </w:p>
    <w:p>
      <w:pPr>
        <w:topLinePunct/>
        <w:spacing w:before="120" w:beforeLines="50" w:after="120" w:afterLines="50" w:line="460" w:lineRule="exact"/>
        <w:outlineLvl w:val="1"/>
        <w:rPr>
          <w:color w:val="auto"/>
          <w:sz w:val="24"/>
          <w:highlight w:val="none"/>
        </w:rPr>
      </w:pPr>
      <w:bookmarkStart w:id="0" w:name="_Toc447602675"/>
      <w:r>
        <w:rPr>
          <w:rFonts w:hint="eastAsia" w:eastAsia="黑体"/>
          <w:bCs/>
          <w:color w:val="auto"/>
          <w:sz w:val="28"/>
          <w:szCs w:val="28"/>
          <w:highlight w:val="none"/>
          <w:lang w:val="en-US" w:eastAsia="zh-CN"/>
        </w:rPr>
        <w:t>二</w:t>
      </w:r>
      <w:r>
        <w:rPr>
          <w:rFonts w:eastAsia="黑体"/>
          <w:bCs/>
          <w:color w:val="auto"/>
          <w:sz w:val="28"/>
          <w:szCs w:val="28"/>
          <w:highlight w:val="none"/>
        </w:rPr>
        <w:t>、投标人资格要求</w:t>
      </w:r>
      <w:bookmarkEnd w:id="0"/>
    </w:p>
    <w:p>
      <w:pPr>
        <w:spacing w:line="440" w:lineRule="exact"/>
        <w:ind w:firstLine="480" w:firstLineChars="200"/>
        <w:rPr>
          <w:rFonts w:ascii="宋体" w:hAnsi="宋体"/>
          <w:b/>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.1</w:t>
      </w:r>
      <w:r>
        <w:rPr>
          <w:rFonts w:ascii="宋体" w:hAnsi="宋体"/>
          <w:color w:val="auto"/>
          <w:sz w:val="24"/>
          <w:highlight w:val="none"/>
        </w:rPr>
        <w:t>本次招标要求投标人必须具备下列资质和业绩要求，并在人员等方面</w:t>
      </w:r>
      <w:r>
        <w:rPr>
          <w:rFonts w:hint="eastAsia" w:ascii="宋体" w:hAnsi="宋体"/>
          <w:color w:val="auto"/>
          <w:sz w:val="24"/>
          <w:highlight w:val="none"/>
        </w:rPr>
        <w:t>具有承担相应标段施工监理的</w:t>
      </w:r>
      <w:r>
        <w:rPr>
          <w:rFonts w:ascii="宋体" w:hAnsi="宋体"/>
          <w:color w:val="auto"/>
          <w:sz w:val="24"/>
          <w:highlight w:val="none"/>
        </w:rPr>
        <w:t>能力</w:t>
      </w:r>
      <w:r>
        <w:rPr>
          <w:rFonts w:hint="eastAsia" w:ascii="宋体" w:hAnsi="宋体"/>
          <w:color w:val="auto"/>
          <w:sz w:val="24"/>
          <w:highlight w:val="none"/>
        </w:rPr>
        <w:t>：</w:t>
      </w:r>
    </w:p>
    <w:p>
      <w:pPr>
        <w:spacing w:line="460" w:lineRule="exact"/>
        <w:ind w:firstLine="482" w:firstLineChars="200"/>
        <w:rPr>
          <w:rFonts w:ascii="宋体" w:hAnsi="宋体"/>
          <w:b/>
          <w:bCs/>
          <w:color w:val="auto"/>
          <w:sz w:val="24"/>
          <w:highlight w:val="none"/>
        </w:rPr>
      </w:pPr>
      <w:r>
        <w:rPr>
          <w:rFonts w:hint="eastAsia" w:ascii="宋体" w:hAnsi="宋体"/>
          <w:b/>
          <w:bCs/>
          <w:color w:val="auto"/>
          <w:sz w:val="24"/>
          <w:highlight w:val="none"/>
          <w:lang w:val="en-US" w:eastAsia="zh-CN"/>
        </w:rPr>
        <w:t>2</w:t>
      </w:r>
      <w:r>
        <w:rPr>
          <w:rFonts w:hint="eastAsia" w:ascii="宋体" w:hAnsi="宋体"/>
          <w:b/>
          <w:bCs/>
          <w:color w:val="auto"/>
          <w:sz w:val="24"/>
          <w:highlight w:val="none"/>
        </w:rPr>
        <w:t>.1.1资质要求：</w:t>
      </w:r>
    </w:p>
    <w:p>
      <w:pPr>
        <w:pStyle w:val="2"/>
        <w:spacing w:line="460" w:lineRule="exact"/>
        <w:ind w:firstLine="482" w:firstLineChars="200"/>
        <w:rPr>
          <w:rFonts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Ⅰ类、II类：JL1～JL</w:t>
      </w:r>
      <w:r>
        <w:rPr>
          <w:rFonts w:hint="eastAsia" w:asciiTheme="minorEastAsia" w:hAnsiTheme="minorEastAsia" w:eastAsiaTheme="minorEastAsia" w:cstheme="minorEastAsia"/>
          <w:b/>
          <w:bCs/>
          <w:color w:val="auto"/>
          <w:kern w:val="0"/>
          <w:sz w:val="24"/>
          <w:highlight w:val="none"/>
          <w:lang w:val="en-US" w:eastAsia="zh-CN"/>
        </w:rPr>
        <w:t>6</w:t>
      </w:r>
      <w:r>
        <w:rPr>
          <w:rFonts w:hint="eastAsia" w:asciiTheme="minorEastAsia" w:hAnsiTheme="minorEastAsia" w:eastAsiaTheme="minorEastAsia" w:cstheme="minorEastAsia"/>
          <w:b/>
          <w:bCs/>
          <w:color w:val="auto"/>
          <w:kern w:val="0"/>
          <w:sz w:val="24"/>
          <w:highlight w:val="none"/>
        </w:rPr>
        <w:t>标段:</w:t>
      </w:r>
    </w:p>
    <w:p>
      <w:pPr>
        <w:pStyle w:val="2"/>
        <w:spacing w:line="460" w:lineRule="exact"/>
        <w:ind w:firstLine="480" w:firstLineChars="200"/>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同时具备：</w:t>
      </w:r>
    </w:p>
    <w:p>
      <w:pPr>
        <w:pStyle w:val="2"/>
        <w:spacing w:line="460" w:lineRule="exact"/>
        <w:ind w:firstLine="480" w:firstLineChars="200"/>
        <w:rPr>
          <w:rFonts w:ascii="宋体" w:hAnsi="宋体" w:eastAsiaTheme="minorEastAsia" w:cstheme="minorBidi"/>
          <w:color w:val="auto"/>
          <w:sz w:val="24"/>
          <w:szCs w:val="22"/>
          <w:highlight w:val="none"/>
        </w:rPr>
      </w:pPr>
      <w:r>
        <w:rPr>
          <w:rFonts w:hint="eastAsia" w:ascii="宋体" w:hAnsi="宋体" w:eastAsiaTheme="minorEastAsia" w:cstheme="minorBidi"/>
          <w:color w:val="auto"/>
          <w:sz w:val="24"/>
          <w:szCs w:val="22"/>
          <w:highlight w:val="none"/>
        </w:rPr>
        <w:t>①交通运输部核发的公路工程甲级监理资质，并且合法有效。</w:t>
      </w:r>
    </w:p>
    <w:p>
      <w:pPr>
        <w:pStyle w:val="2"/>
        <w:spacing w:line="460" w:lineRule="exact"/>
        <w:ind w:firstLine="480" w:firstLineChars="200"/>
        <w:rPr>
          <w:rFonts w:ascii="宋体" w:hAnsi="宋体" w:eastAsiaTheme="minorEastAsia" w:cstheme="minorBidi"/>
          <w:color w:val="auto"/>
          <w:sz w:val="24"/>
          <w:szCs w:val="22"/>
          <w:highlight w:val="none"/>
        </w:rPr>
      </w:pPr>
      <w:r>
        <w:rPr>
          <w:rFonts w:hint="eastAsia" w:ascii="宋体" w:hAnsi="宋体" w:eastAsiaTheme="minorEastAsia" w:cstheme="minorBidi"/>
          <w:color w:val="auto"/>
          <w:sz w:val="24"/>
          <w:szCs w:val="22"/>
          <w:highlight w:val="none"/>
        </w:rPr>
        <w:t>②交通运输主管部门颁发的公路工程综合乙级及以上试验检测机构资质（试验检测资质证书中的机构名称应为投标人名称，或法定代表人与投标人法定代表人为同一个人，若与投标人名称不一致时，其应为与投标人存在</w:t>
      </w:r>
      <w:r>
        <w:rPr>
          <w:rFonts w:hint="eastAsia" w:ascii="宋体" w:hAnsi="宋体" w:eastAsiaTheme="minorEastAsia" w:cstheme="minorBidi"/>
          <w:color w:val="auto"/>
          <w:sz w:val="24"/>
          <w:szCs w:val="22"/>
          <w:highlight w:val="none"/>
          <w:lang w:eastAsia="zh-CN"/>
        </w:rPr>
        <w:t>参股或</w:t>
      </w:r>
      <w:r>
        <w:rPr>
          <w:rFonts w:hint="eastAsia" w:ascii="宋体" w:hAnsi="宋体" w:eastAsiaTheme="minorEastAsia" w:cstheme="minorBidi"/>
          <w:color w:val="auto"/>
          <w:sz w:val="24"/>
          <w:szCs w:val="22"/>
          <w:highlight w:val="none"/>
        </w:rPr>
        <w:t>管理或控股关系的单位，或与投标人存在</w:t>
      </w:r>
      <w:r>
        <w:rPr>
          <w:rFonts w:hint="eastAsia" w:ascii="宋体" w:hAnsi="宋体" w:eastAsiaTheme="minorEastAsia" w:cstheme="minorBidi"/>
          <w:color w:val="auto"/>
          <w:sz w:val="24"/>
          <w:szCs w:val="22"/>
          <w:highlight w:val="none"/>
          <w:lang w:eastAsia="zh-CN"/>
        </w:rPr>
        <w:t>参股或管理或控股</w:t>
      </w:r>
      <w:r>
        <w:rPr>
          <w:rFonts w:hint="eastAsia" w:ascii="宋体" w:hAnsi="宋体" w:eastAsiaTheme="minorEastAsia" w:cstheme="minorBidi"/>
          <w:color w:val="auto"/>
          <w:sz w:val="24"/>
          <w:szCs w:val="22"/>
          <w:highlight w:val="none"/>
        </w:rPr>
        <w:t>关系单位的不具有独立法人资格的下属机构），并且合法有效。</w:t>
      </w:r>
    </w:p>
    <w:p>
      <w:pPr>
        <w:pStyle w:val="2"/>
        <w:spacing w:line="460" w:lineRule="exact"/>
        <w:ind w:firstLine="482" w:firstLineChars="200"/>
        <w:rPr>
          <w:rFonts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Ⅲ类：JL</w:t>
      </w:r>
      <w:r>
        <w:rPr>
          <w:rFonts w:hint="eastAsia" w:asciiTheme="minorEastAsia" w:hAnsiTheme="minorEastAsia" w:eastAsiaTheme="minorEastAsia" w:cstheme="minorEastAsia"/>
          <w:b/>
          <w:bCs/>
          <w:color w:val="auto"/>
          <w:kern w:val="0"/>
          <w:sz w:val="24"/>
          <w:highlight w:val="none"/>
          <w:lang w:val="en-US" w:eastAsia="zh-CN"/>
        </w:rPr>
        <w:t>7</w:t>
      </w:r>
      <w:r>
        <w:rPr>
          <w:rFonts w:hint="eastAsia" w:asciiTheme="minorEastAsia" w:hAnsiTheme="minorEastAsia" w:eastAsiaTheme="minorEastAsia" w:cstheme="minorEastAsia"/>
          <w:b/>
          <w:bCs/>
          <w:color w:val="auto"/>
          <w:kern w:val="0"/>
          <w:sz w:val="24"/>
          <w:highlight w:val="none"/>
        </w:rPr>
        <w:t>标段：</w:t>
      </w:r>
    </w:p>
    <w:p>
      <w:pPr>
        <w:pStyle w:val="2"/>
        <w:spacing w:line="460" w:lineRule="exact"/>
        <w:ind w:firstLine="480" w:firstLineChars="200"/>
        <w:rPr>
          <w:rFonts w:ascii="宋体" w:hAnsi="宋体" w:eastAsiaTheme="minorEastAsia" w:cstheme="minorBidi"/>
          <w:color w:val="auto"/>
          <w:sz w:val="24"/>
          <w:szCs w:val="22"/>
          <w:highlight w:val="none"/>
        </w:rPr>
      </w:pPr>
      <w:r>
        <w:rPr>
          <w:rFonts w:hint="eastAsia" w:asciiTheme="minorEastAsia" w:hAnsiTheme="minorEastAsia" w:eastAsiaTheme="minorEastAsia" w:cstheme="minorEastAsia"/>
          <w:color w:val="auto"/>
          <w:kern w:val="0"/>
          <w:sz w:val="24"/>
          <w:highlight w:val="none"/>
        </w:rPr>
        <w:t>具备</w:t>
      </w:r>
      <w:r>
        <w:rPr>
          <w:rFonts w:hint="eastAsia" w:ascii="宋体" w:hAnsi="宋体" w:eastAsiaTheme="minorEastAsia" w:cstheme="minorBidi"/>
          <w:color w:val="auto"/>
          <w:sz w:val="24"/>
          <w:szCs w:val="22"/>
          <w:highlight w:val="none"/>
        </w:rPr>
        <w:t>建设行政主管部门颁发的房屋建筑工程专业乙级及以上监理资质，并且合法有效。</w:t>
      </w:r>
    </w:p>
    <w:p>
      <w:pPr>
        <w:pStyle w:val="2"/>
        <w:spacing w:line="460" w:lineRule="exact"/>
        <w:ind w:firstLine="482" w:firstLineChars="200"/>
        <w:rPr>
          <w:rFonts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Ⅳ类：JL</w:t>
      </w:r>
      <w:r>
        <w:rPr>
          <w:rFonts w:hint="eastAsia" w:asciiTheme="minorEastAsia" w:hAnsiTheme="minorEastAsia" w:eastAsiaTheme="minorEastAsia" w:cstheme="minorEastAsia"/>
          <w:b/>
          <w:bCs/>
          <w:color w:val="auto"/>
          <w:kern w:val="0"/>
          <w:sz w:val="24"/>
          <w:highlight w:val="none"/>
          <w:lang w:val="en-US" w:eastAsia="zh-CN"/>
        </w:rPr>
        <w:t>8</w:t>
      </w:r>
      <w:r>
        <w:rPr>
          <w:rFonts w:hint="eastAsia" w:asciiTheme="minorEastAsia" w:hAnsiTheme="minorEastAsia" w:eastAsiaTheme="minorEastAsia" w:cstheme="minorEastAsia"/>
          <w:b/>
          <w:bCs/>
          <w:color w:val="auto"/>
          <w:kern w:val="0"/>
          <w:sz w:val="24"/>
          <w:highlight w:val="none"/>
        </w:rPr>
        <w:t>标段：</w:t>
      </w:r>
    </w:p>
    <w:p>
      <w:pPr>
        <w:pStyle w:val="2"/>
        <w:spacing w:line="460" w:lineRule="exact"/>
        <w:ind w:firstLine="480" w:firstLineChars="200"/>
        <w:rPr>
          <w:rFonts w:ascii="宋体" w:hAnsi="宋体" w:eastAsiaTheme="minorEastAsia" w:cstheme="minorBidi"/>
          <w:color w:val="auto"/>
          <w:sz w:val="24"/>
          <w:szCs w:val="22"/>
          <w:highlight w:val="none"/>
        </w:rPr>
      </w:pPr>
      <w:r>
        <w:rPr>
          <w:rFonts w:hint="eastAsia" w:asciiTheme="minorEastAsia" w:hAnsiTheme="minorEastAsia" w:eastAsiaTheme="minorEastAsia" w:cstheme="minorEastAsia"/>
          <w:color w:val="auto"/>
          <w:kern w:val="0"/>
          <w:sz w:val="24"/>
          <w:highlight w:val="none"/>
        </w:rPr>
        <w:t>具备</w:t>
      </w:r>
      <w:r>
        <w:rPr>
          <w:rFonts w:hint="eastAsia" w:ascii="宋体" w:hAnsi="宋体" w:eastAsiaTheme="minorEastAsia" w:cstheme="minorBidi"/>
          <w:color w:val="auto"/>
          <w:sz w:val="24"/>
          <w:szCs w:val="22"/>
          <w:highlight w:val="none"/>
        </w:rPr>
        <w:t>交通运输部核发的公路工程甲级监理资质</w:t>
      </w:r>
      <w:r>
        <w:rPr>
          <w:rFonts w:hint="eastAsia" w:ascii="宋体" w:hAnsi="宋体" w:eastAsiaTheme="minorEastAsia" w:cstheme="minorBidi"/>
          <w:color w:val="auto"/>
          <w:sz w:val="24"/>
          <w:szCs w:val="22"/>
          <w:highlight w:val="none"/>
          <w:lang w:val="en-US" w:eastAsia="zh-CN"/>
        </w:rPr>
        <w:t>和</w:t>
      </w:r>
      <w:r>
        <w:rPr>
          <w:rFonts w:hint="eastAsia" w:ascii="宋体" w:hAnsi="宋体" w:eastAsiaTheme="minorEastAsia" w:cstheme="minorBidi"/>
          <w:color w:val="auto"/>
          <w:sz w:val="24"/>
          <w:szCs w:val="22"/>
          <w:highlight w:val="none"/>
        </w:rPr>
        <w:t>公路机电工程专项监理资质，并且合法有效。</w:t>
      </w:r>
    </w:p>
    <w:p>
      <w:pPr>
        <w:pStyle w:val="2"/>
        <w:spacing w:line="460" w:lineRule="exact"/>
        <w:ind w:firstLine="482" w:firstLineChars="200"/>
        <w:rPr>
          <w:rFonts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Ⅴ类：JL</w:t>
      </w:r>
      <w:r>
        <w:rPr>
          <w:rFonts w:hint="eastAsia" w:asciiTheme="minorEastAsia" w:hAnsiTheme="minorEastAsia" w:eastAsiaTheme="minorEastAsia" w:cstheme="minorEastAsia"/>
          <w:b/>
          <w:bCs/>
          <w:color w:val="auto"/>
          <w:kern w:val="0"/>
          <w:sz w:val="24"/>
          <w:highlight w:val="none"/>
          <w:lang w:val="en-US" w:eastAsia="zh-CN"/>
        </w:rPr>
        <w:t>9</w:t>
      </w:r>
      <w:r>
        <w:rPr>
          <w:rFonts w:hint="eastAsia" w:asciiTheme="minorEastAsia" w:hAnsiTheme="minorEastAsia" w:eastAsiaTheme="minorEastAsia" w:cstheme="minorEastAsia"/>
          <w:b/>
          <w:bCs/>
          <w:color w:val="auto"/>
          <w:kern w:val="0"/>
          <w:sz w:val="24"/>
          <w:highlight w:val="none"/>
        </w:rPr>
        <w:t>标段：</w:t>
      </w:r>
    </w:p>
    <w:p>
      <w:pPr>
        <w:pStyle w:val="2"/>
        <w:spacing w:line="460" w:lineRule="exact"/>
        <w:ind w:firstLine="480" w:firstLineChars="200"/>
        <w:rPr>
          <w:rFonts w:ascii="宋体" w:hAnsi="宋体" w:eastAsiaTheme="minorEastAsia" w:cstheme="minorBidi"/>
          <w:color w:val="auto"/>
          <w:sz w:val="24"/>
          <w:szCs w:val="22"/>
          <w:highlight w:val="none"/>
        </w:rPr>
      </w:pPr>
      <w:r>
        <w:rPr>
          <w:rFonts w:asciiTheme="minorEastAsia" w:hAnsiTheme="minorEastAsia" w:eastAsiaTheme="minorEastAsia" w:cstheme="minorEastAsia"/>
          <w:color w:val="auto"/>
          <w:kern w:val="0"/>
          <w:sz w:val="24"/>
          <w:highlight w:val="none"/>
        </w:rPr>
        <w:t>具备</w:t>
      </w:r>
      <w:r>
        <w:rPr>
          <w:rFonts w:hint="eastAsia" w:ascii="宋体" w:hAnsi="宋体" w:eastAsiaTheme="minorEastAsia" w:cstheme="minorBidi"/>
          <w:color w:val="auto"/>
          <w:sz w:val="24"/>
          <w:szCs w:val="22"/>
          <w:highlight w:val="none"/>
        </w:rPr>
        <w:t>建设行政主管部门颁发的铁路工程监理甲级及以上资质，并且合法有效。</w:t>
      </w:r>
    </w:p>
    <w:p>
      <w:pPr>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lang w:val="en-US" w:eastAsia="zh-CN"/>
        </w:rPr>
        <w:t>2</w:t>
      </w:r>
      <w:r>
        <w:rPr>
          <w:rFonts w:hint="eastAsia" w:ascii="宋体" w:hAnsi="宋体"/>
          <w:b/>
          <w:bCs/>
          <w:color w:val="auto"/>
          <w:sz w:val="24"/>
          <w:highlight w:val="none"/>
        </w:rPr>
        <w:t>.1.2业绩要求：</w:t>
      </w:r>
    </w:p>
    <w:p>
      <w:pPr>
        <w:spacing w:line="440" w:lineRule="exact"/>
        <w:ind w:firstLine="482" w:firstLineChars="200"/>
        <w:rPr>
          <w:rFonts w:ascii="宋体" w:hAnsi="宋体"/>
          <w:b/>
          <w:bCs/>
          <w:color w:val="auto"/>
          <w:sz w:val="24"/>
          <w:highlight w:val="none"/>
        </w:rPr>
      </w:pPr>
      <w:r>
        <w:rPr>
          <w:rFonts w:hint="eastAsia" w:asciiTheme="minorEastAsia" w:hAnsiTheme="minorEastAsia" w:cstheme="minorEastAsia"/>
          <w:b/>
          <w:bCs/>
          <w:color w:val="auto"/>
          <w:kern w:val="0"/>
          <w:sz w:val="24"/>
          <w:szCs w:val="24"/>
          <w:highlight w:val="none"/>
        </w:rPr>
        <w:t>I类：JL1</w:t>
      </w:r>
      <w:r>
        <w:rPr>
          <w:rFonts w:hint="eastAsia" w:asciiTheme="minorEastAsia" w:hAnsiTheme="minorEastAsia" w:cstheme="minorEastAsia"/>
          <w:b/>
          <w:bCs/>
          <w:color w:val="auto"/>
          <w:kern w:val="0"/>
          <w:sz w:val="24"/>
          <w:szCs w:val="24"/>
          <w:highlight w:val="none"/>
          <w:lang w:eastAsia="zh-CN"/>
        </w:rPr>
        <w:t>、JL</w:t>
      </w:r>
      <w:r>
        <w:rPr>
          <w:rFonts w:hint="eastAsia" w:asciiTheme="minorEastAsia" w:hAnsiTheme="minorEastAsia" w:cstheme="minorEastAsia"/>
          <w:b/>
          <w:bCs/>
          <w:color w:val="auto"/>
          <w:kern w:val="0"/>
          <w:sz w:val="24"/>
          <w:szCs w:val="24"/>
          <w:highlight w:val="none"/>
          <w:lang w:val="en-US" w:eastAsia="zh-CN"/>
        </w:rPr>
        <w:t>2</w:t>
      </w:r>
      <w:r>
        <w:rPr>
          <w:rFonts w:hint="eastAsia" w:asciiTheme="minorEastAsia" w:hAnsiTheme="minorEastAsia" w:cstheme="minorEastAsia"/>
          <w:b/>
          <w:bCs/>
          <w:color w:val="auto"/>
          <w:kern w:val="0"/>
          <w:sz w:val="24"/>
          <w:szCs w:val="24"/>
          <w:highlight w:val="none"/>
        </w:rPr>
        <w:t>标段:</w:t>
      </w:r>
      <w:r>
        <w:rPr>
          <w:rFonts w:ascii="宋体" w:hAnsi="宋体"/>
          <w:color w:val="auto"/>
          <w:sz w:val="24"/>
          <w:highlight w:val="none"/>
        </w:rPr>
        <w:t>近五年内（</w:t>
      </w:r>
      <w:r>
        <w:rPr>
          <w:rFonts w:hint="eastAsia" w:ascii="宋体" w:hAnsi="宋体"/>
          <w:color w:val="auto"/>
          <w:sz w:val="24"/>
          <w:highlight w:val="none"/>
        </w:rPr>
        <w:t>2017年6月1日</w:t>
      </w:r>
      <w:r>
        <w:rPr>
          <w:rFonts w:ascii="宋体" w:hAnsi="宋体"/>
          <w:color w:val="auto"/>
          <w:sz w:val="24"/>
          <w:highlight w:val="none"/>
        </w:rPr>
        <w:t>至投标文件递交截止日）完工并通过交工或竣工验收</w:t>
      </w:r>
      <w:r>
        <w:rPr>
          <w:rFonts w:hint="eastAsia" w:ascii="宋体" w:hAnsi="宋体"/>
          <w:color w:val="auto"/>
          <w:sz w:val="24"/>
          <w:highlight w:val="none"/>
        </w:rPr>
        <w:t>，至少完成过2项（含2项）且累计长度不少于</w:t>
      </w:r>
      <w:r>
        <w:rPr>
          <w:rFonts w:hint="eastAsia" w:ascii="宋体" w:hAnsi="宋体"/>
          <w:color w:val="auto"/>
          <w:sz w:val="24"/>
          <w:highlight w:val="none"/>
          <w:lang w:val="en-US" w:eastAsia="zh-CN"/>
        </w:rPr>
        <w:t>100</w:t>
      </w:r>
      <w:r>
        <w:rPr>
          <w:rFonts w:hint="eastAsia" w:ascii="宋体" w:hAnsi="宋体"/>
          <w:color w:val="auto"/>
          <w:sz w:val="24"/>
          <w:highlight w:val="none"/>
        </w:rPr>
        <w:t>公里的一级及以上新（改）建公路路面工程监理</w:t>
      </w:r>
      <w:r>
        <w:rPr>
          <w:rFonts w:hint="eastAsia" w:ascii="宋体" w:hAnsi="宋体"/>
          <w:color w:val="auto"/>
          <w:sz w:val="24"/>
          <w:highlight w:val="none"/>
          <w:lang w:val="en-US" w:eastAsia="zh-CN"/>
        </w:rPr>
        <w:t>业绩</w:t>
      </w:r>
      <w:r>
        <w:rPr>
          <w:rFonts w:hint="eastAsia" w:ascii="宋体" w:hAnsi="宋体"/>
          <w:color w:val="auto"/>
          <w:sz w:val="24"/>
          <w:highlight w:val="none"/>
        </w:rPr>
        <w:t>，其中至少1项不少于50公里</w:t>
      </w:r>
      <w:r>
        <w:rPr>
          <w:rFonts w:ascii="宋体" w:hAnsi="宋体"/>
          <w:color w:val="auto"/>
          <w:sz w:val="24"/>
          <w:highlight w:val="none"/>
        </w:rPr>
        <w:t>。</w:t>
      </w:r>
    </w:p>
    <w:p>
      <w:pPr>
        <w:spacing w:line="440" w:lineRule="exact"/>
        <w:ind w:firstLine="482" w:firstLineChars="200"/>
        <w:rPr>
          <w:rFonts w:ascii="宋体" w:hAnsi="宋体"/>
          <w:b/>
          <w:bCs/>
          <w:color w:val="auto"/>
          <w:sz w:val="24"/>
          <w:highlight w:val="none"/>
        </w:rPr>
      </w:pPr>
      <w:r>
        <w:rPr>
          <w:rFonts w:hint="eastAsia" w:asciiTheme="minorEastAsia" w:hAnsiTheme="minorEastAsia" w:cstheme="minorEastAsia"/>
          <w:b/>
          <w:bCs/>
          <w:color w:val="auto"/>
          <w:kern w:val="0"/>
          <w:sz w:val="24"/>
          <w:szCs w:val="24"/>
          <w:highlight w:val="none"/>
        </w:rPr>
        <w:t>II类：</w:t>
      </w:r>
      <w:r>
        <w:rPr>
          <w:rFonts w:asciiTheme="minorEastAsia" w:hAnsiTheme="minorEastAsia" w:cstheme="minorEastAsia"/>
          <w:b/>
          <w:color w:val="auto"/>
          <w:sz w:val="24"/>
          <w:szCs w:val="24"/>
          <w:highlight w:val="none"/>
        </w:rPr>
        <w:t>JL</w:t>
      </w:r>
      <w:r>
        <w:rPr>
          <w:rFonts w:hint="eastAsia" w:asciiTheme="minorEastAsia" w:hAnsiTheme="minorEastAsia" w:cstheme="minorEastAsia"/>
          <w:b/>
          <w:color w:val="auto"/>
          <w:sz w:val="24"/>
          <w:szCs w:val="24"/>
          <w:highlight w:val="none"/>
          <w:lang w:val="en-US" w:eastAsia="zh-CN"/>
        </w:rPr>
        <w:t>3</w:t>
      </w:r>
      <w:r>
        <w:rPr>
          <w:rFonts w:hint="eastAsia" w:asciiTheme="minorEastAsia" w:hAnsiTheme="minorEastAsia" w:cstheme="minorEastAsia"/>
          <w:b/>
          <w:color w:val="auto"/>
          <w:sz w:val="24"/>
          <w:szCs w:val="24"/>
          <w:highlight w:val="none"/>
        </w:rPr>
        <w:t>～</w:t>
      </w:r>
      <w:r>
        <w:rPr>
          <w:rFonts w:hint="eastAsia" w:asciiTheme="minorEastAsia" w:hAnsiTheme="minorEastAsia" w:cstheme="minorEastAsia"/>
          <w:b/>
          <w:bCs/>
          <w:color w:val="auto"/>
          <w:kern w:val="0"/>
          <w:sz w:val="24"/>
          <w:szCs w:val="24"/>
          <w:highlight w:val="none"/>
        </w:rPr>
        <w:t>JL</w:t>
      </w:r>
      <w:r>
        <w:rPr>
          <w:rFonts w:hint="eastAsia" w:asciiTheme="minorEastAsia" w:hAnsiTheme="minorEastAsia" w:cstheme="minorEastAsia"/>
          <w:b/>
          <w:bCs/>
          <w:color w:val="auto"/>
          <w:kern w:val="0"/>
          <w:sz w:val="24"/>
          <w:szCs w:val="24"/>
          <w:highlight w:val="none"/>
          <w:lang w:val="en-US" w:eastAsia="zh-CN"/>
        </w:rPr>
        <w:t>6</w:t>
      </w:r>
      <w:r>
        <w:rPr>
          <w:rFonts w:hint="eastAsia" w:ascii="宋体" w:hAnsi="宋体"/>
          <w:b/>
          <w:bCs/>
          <w:color w:val="auto"/>
          <w:sz w:val="24"/>
          <w:highlight w:val="none"/>
        </w:rPr>
        <w:t>标段：</w:t>
      </w:r>
      <w:r>
        <w:rPr>
          <w:rFonts w:ascii="宋体" w:hAnsi="宋体"/>
          <w:color w:val="auto"/>
          <w:sz w:val="24"/>
          <w:highlight w:val="none"/>
        </w:rPr>
        <w:t>近五年内（201</w:t>
      </w:r>
      <w:r>
        <w:rPr>
          <w:rFonts w:hint="eastAsia" w:ascii="宋体" w:hAnsi="宋体"/>
          <w:color w:val="auto"/>
          <w:sz w:val="24"/>
          <w:highlight w:val="none"/>
        </w:rPr>
        <w:t>7</w:t>
      </w:r>
      <w:r>
        <w:rPr>
          <w:rFonts w:ascii="宋体" w:hAnsi="宋体"/>
          <w:color w:val="auto"/>
          <w:sz w:val="24"/>
          <w:highlight w:val="none"/>
        </w:rPr>
        <w:t>年</w:t>
      </w:r>
      <w:r>
        <w:rPr>
          <w:rFonts w:hint="eastAsia" w:ascii="宋体" w:hAnsi="宋体"/>
          <w:color w:val="auto"/>
          <w:sz w:val="24"/>
          <w:highlight w:val="none"/>
        </w:rPr>
        <w:t>6</w:t>
      </w:r>
      <w:r>
        <w:rPr>
          <w:rFonts w:ascii="宋体" w:hAnsi="宋体"/>
          <w:color w:val="auto"/>
          <w:sz w:val="24"/>
          <w:highlight w:val="none"/>
        </w:rPr>
        <w:t>月1日至投标文件递交截止日）完工并通过交工或竣工验收，至少完成过2项（含2项）且累计长度不少于50公里的一级及以上新</w:t>
      </w:r>
      <w:r>
        <w:rPr>
          <w:rFonts w:hint="eastAsia" w:ascii="宋体" w:hAnsi="宋体"/>
          <w:color w:val="auto"/>
          <w:sz w:val="24"/>
          <w:highlight w:val="none"/>
        </w:rPr>
        <w:t>（</w:t>
      </w:r>
      <w:r>
        <w:rPr>
          <w:rFonts w:ascii="宋体" w:hAnsi="宋体"/>
          <w:color w:val="auto"/>
          <w:sz w:val="24"/>
          <w:highlight w:val="none"/>
        </w:rPr>
        <w:t>改</w:t>
      </w:r>
      <w:r>
        <w:rPr>
          <w:rFonts w:hint="eastAsia" w:ascii="宋体" w:hAnsi="宋体"/>
          <w:color w:val="auto"/>
          <w:sz w:val="24"/>
          <w:highlight w:val="none"/>
        </w:rPr>
        <w:t>）</w:t>
      </w:r>
      <w:r>
        <w:rPr>
          <w:rFonts w:ascii="宋体" w:hAnsi="宋体"/>
          <w:color w:val="auto"/>
          <w:sz w:val="24"/>
          <w:highlight w:val="none"/>
        </w:rPr>
        <w:t>建公路</w:t>
      </w:r>
      <w:r>
        <w:rPr>
          <w:rFonts w:hint="eastAsia" w:ascii="宋体" w:hAnsi="宋体"/>
          <w:color w:val="auto"/>
          <w:sz w:val="24"/>
          <w:highlight w:val="none"/>
        </w:rPr>
        <w:t>工程</w:t>
      </w:r>
      <w:r>
        <w:rPr>
          <w:rFonts w:ascii="宋体" w:hAnsi="宋体"/>
          <w:color w:val="auto"/>
          <w:sz w:val="24"/>
          <w:highlight w:val="none"/>
        </w:rPr>
        <w:t>的监理</w:t>
      </w:r>
      <w:r>
        <w:rPr>
          <w:rFonts w:hint="eastAsia" w:ascii="宋体" w:hAnsi="宋体"/>
          <w:color w:val="auto"/>
          <w:sz w:val="24"/>
          <w:highlight w:val="none"/>
        </w:rPr>
        <w:t>业绩，</w:t>
      </w:r>
      <w:r>
        <w:rPr>
          <w:rFonts w:ascii="宋体" w:hAnsi="宋体"/>
          <w:color w:val="auto"/>
          <w:sz w:val="24"/>
          <w:highlight w:val="none"/>
        </w:rPr>
        <w:t>其中至少1项（涵盖公路路基、桥涵监理）长度不少于15公里。</w:t>
      </w:r>
    </w:p>
    <w:p>
      <w:pPr>
        <w:spacing w:line="440" w:lineRule="exact"/>
        <w:ind w:firstLine="482" w:firstLineChars="200"/>
        <w:rPr>
          <w:rFonts w:ascii="宋体" w:hAnsi="宋体"/>
          <w:color w:val="auto"/>
          <w:sz w:val="24"/>
          <w:highlight w:val="none"/>
        </w:rPr>
      </w:pPr>
      <w:r>
        <w:rPr>
          <w:rFonts w:hint="eastAsia" w:asciiTheme="minorEastAsia" w:hAnsiTheme="minorEastAsia" w:cstheme="minorEastAsia"/>
          <w:b/>
          <w:bCs/>
          <w:color w:val="auto"/>
          <w:kern w:val="0"/>
          <w:sz w:val="24"/>
          <w:szCs w:val="24"/>
          <w:highlight w:val="none"/>
        </w:rPr>
        <w:t>III类：JL</w:t>
      </w:r>
      <w:r>
        <w:rPr>
          <w:rFonts w:hint="eastAsia" w:asciiTheme="minorEastAsia" w:hAnsiTheme="minorEastAsia" w:cstheme="minorEastAsia"/>
          <w:b/>
          <w:bCs/>
          <w:color w:val="auto"/>
          <w:kern w:val="0"/>
          <w:sz w:val="24"/>
          <w:szCs w:val="24"/>
          <w:highlight w:val="none"/>
          <w:lang w:val="en-US" w:eastAsia="zh-CN"/>
        </w:rPr>
        <w:t>7</w:t>
      </w:r>
      <w:r>
        <w:rPr>
          <w:rFonts w:hint="eastAsia" w:ascii="宋体" w:hAnsi="宋体"/>
          <w:b/>
          <w:bCs/>
          <w:color w:val="auto"/>
          <w:sz w:val="24"/>
          <w:highlight w:val="none"/>
        </w:rPr>
        <w:t>标段</w:t>
      </w:r>
      <w:r>
        <w:rPr>
          <w:rFonts w:hint="eastAsia" w:ascii="宋体" w:hAnsi="宋体"/>
          <w:b/>
          <w:color w:val="auto"/>
          <w:sz w:val="24"/>
          <w:highlight w:val="none"/>
        </w:rPr>
        <w:t>：</w:t>
      </w:r>
      <w:r>
        <w:rPr>
          <w:rFonts w:ascii="宋体" w:hAnsi="宋体"/>
          <w:color w:val="auto"/>
          <w:sz w:val="24"/>
          <w:highlight w:val="none"/>
        </w:rPr>
        <w:t>近五年内（</w:t>
      </w:r>
      <w:r>
        <w:rPr>
          <w:rFonts w:hint="eastAsia" w:ascii="宋体" w:hAnsi="宋体"/>
          <w:color w:val="auto"/>
          <w:sz w:val="24"/>
          <w:highlight w:val="none"/>
        </w:rPr>
        <w:t>2017年6月1日</w:t>
      </w:r>
      <w:r>
        <w:rPr>
          <w:rFonts w:ascii="宋体" w:hAnsi="宋体"/>
          <w:color w:val="auto"/>
          <w:sz w:val="24"/>
          <w:highlight w:val="none"/>
        </w:rPr>
        <w:t>至投标文件递交截止日）</w:t>
      </w:r>
      <w:r>
        <w:rPr>
          <w:rFonts w:hint="eastAsia" w:ascii="宋体" w:hAnsi="宋体"/>
          <w:color w:val="auto"/>
          <w:sz w:val="24"/>
          <w:highlight w:val="none"/>
        </w:rPr>
        <w:t>完工并通过交工验收，至少独立完成过2项（含2项）且累计面积不少于30000平方米的框架或框剪结构房建工程监理</w:t>
      </w:r>
      <w:r>
        <w:rPr>
          <w:rFonts w:hint="eastAsia" w:ascii="宋体" w:hAnsi="宋体"/>
          <w:color w:val="auto"/>
          <w:sz w:val="24"/>
          <w:highlight w:val="none"/>
          <w:lang w:val="en-US" w:eastAsia="zh-CN"/>
        </w:rPr>
        <w:t>业绩</w:t>
      </w:r>
      <w:r>
        <w:rPr>
          <w:rFonts w:hint="eastAsia" w:ascii="宋体" w:hAnsi="宋体"/>
          <w:color w:val="auto"/>
          <w:sz w:val="24"/>
          <w:highlight w:val="none"/>
        </w:rPr>
        <w:t>，其中至少1项</w:t>
      </w:r>
      <w:r>
        <w:rPr>
          <w:rFonts w:hint="eastAsia" w:ascii="宋体" w:hAnsi="宋体"/>
          <w:color w:val="auto"/>
          <w:sz w:val="24"/>
          <w:highlight w:val="none"/>
          <w:lang w:val="en-US" w:eastAsia="zh-CN"/>
        </w:rPr>
        <w:t>为一级及以上新（改）建公路房建工程的监理业绩</w:t>
      </w:r>
      <w:r>
        <w:rPr>
          <w:rFonts w:ascii="宋体" w:hAnsi="宋体"/>
          <w:color w:val="auto"/>
          <w:sz w:val="24"/>
          <w:highlight w:val="none"/>
        </w:rPr>
        <w:t>。</w:t>
      </w:r>
    </w:p>
    <w:p>
      <w:pPr>
        <w:spacing w:line="440" w:lineRule="exact"/>
        <w:ind w:firstLine="482" w:firstLineChars="200"/>
        <w:rPr>
          <w:rFonts w:ascii="宋体" w:hAnsi="宋体"/>
          <w:color w:val="auto"/>
          <w:sz w:val="24"/>
          <w:highlight w:val="none"/>
        </w:rPr>
      </w:pPr>
      <w:r>
        <w:rPr>
          <w:rFonts w:hint="eastAsia" w:ascii="宋体" w:hAnsi="宋体"/>
          <w:b/>
          <w:bCs/>
          <w:color w:val="auto"/>
          <w:sz w:val="24"/>
          <w:highlight w:val="none"/>
        </w:rPr>
        <w:t>Ⅳ类：JL</w:t>
      </w:r>
      <w:r>
        <w:rPr>
          <w:rFonts w:hint="eastAsia" w:ascii="宋体" w:hAnsi="宋体"/>
          <w:b/>
          <w:bCs/>
          <w:color w:val="auto"/>
          <w:sz w:val="24"/>
          <w:highlight w:val="none"/>
          <w:lang w:val="en-US" w:eastAsia="zh-CN"/>
        </w:rPr>
        <w:t>8</w:t>
      </w:r>
      <w:r>
        <w:rPr>
          <w:rFonts w:hint="eastAsia" w:ascii="宋体" w:hAnsi="宋体"/>
          <w:b/>
          <w:bCs/>
          <w:color w:val="auto"/>
          <w:sz w:val="24"/>
          <w:highlight w:val="none"/>
        </w:rPr>
        <w:t>标段：</w:t>
      </w:r>
      <w:r>
        <w:rPr>
          <w:rFonts w:ascii="宋体" w:hAnsi="宋体"/>
          <w:color w:val="auto"/>
          <w:sz w:val="24"/>
          <w:highlight w:val="none"/>
        </w:rPr>
        <w:t>近五年内（</w:t>
      </w:r>
      <w:r>
        <w:rPr>
          <w:rFonts w:hint="eastAsia" w:ascii="宋体" w:hAnsi="宋体"/>
          <w:color w:val="auto"/>
          <w:sz w:val="24"/>
          <w:highlight w:val="none"/>
        </w:rPr>
        <w:t>2017年6月1日</w:t>
      </w:r>
      <w:r>
        <w:rPr>
          <w:rFonts w:ascii="宋体" w:hAnsi="宋体"/>
          <w:color w:val="auto"/>
          <w:sz w:val="24"/>
          <w:highlight w:val="none"/>
        </w:rPr>
        <w:t>至投标文件递交截止日）完工并通过交工或竣工验收，至少独立完成</w:t>
      </w:r>
      <w:r>
        <w:rPr>
          <w:rFonts w:hint="eastAsia" w:ascii="宋体" w:hAnsi="宋体"/>
          <w:color w:val="auto"/>
          <w:sz w:val="24"/>
          <w:highlight w:val="none"/>
        </w:rPr>
        <w:t>过</w:t>
      </w:r>
      <w:r>
        <w:rPr>
          <w:rFonts w:ascii="宋体" w:hAnsi="宋体"/>
          <w:color w:val="auto"/>
          <w:sz w:val="24"/>
          <w:highlight w:val="none"/>
        </w:rPr>
        <w:t>2项（含2项）一级及以上新</w:t>
      </w:r>
      <w:r>
        <w:rPr>
          <w:rFonts w:hint="eastAsia" w:ascii="宋体" w:hAnsi="宋体"/>
          <w:color w:val="auto"/>
          <w:sz w:val="24"/>
          <w:highlight w:val="none"/>
        </w:rPr>
        <w:t>（</w:t>
      </w:r>
      <w:r>
        <w:rPr>
          <w:rFonts w:ascii="宋体" w:hAnsi="宋体"/>
          <w:color w:val="auto"/>
          <w:sz w:val="24"/>
          <w:highlight w:val="none"/>
        </w:rPr>
        <w:t>改</w:t>
      </w:r>
      <w:r>
        <w:rPr>
          <w:rFonts w:hint="eastAsia" w:ascii="宋体" w:hAnsi="宋体"/>
          <w:color w:val="auto"/>
          <w:sz w:val="24"/>
          <w:highlight w:val="none"/>
        </w:rPr>
        <w:t>）</w:t>
      </w:r>
      <w:r>
        <w:rPr>
          <w:rFonts w:ascii="宋体" w:hAnsi="宋体"/>
          <w:color w:val="auto"/>
          <w:sz w:val="24"/>
          <w:highlight w:val="none"/>
        </w:rPr>
        <w:t>建</w:t>
      </w:r>
      <w:r>
        <w:rPr>
          <w:rFonts w:hint="eastAsia" w:ascii="宋体" w:hAnsi="宋体"/>
          <w:color w:val="auto"/>
          <w:sz w:val="24"/>
          <w:highlight w:val="none"/>
        </w:rPr>
        <w:t>公路机电工程施工监理业绩</w:t>
      </w:r>
      <w:r>
        <w:rPr>
          <w:rFonts w:ascii="宋体" w:hAnsi="宋体"/>
          <w:color w:val="auto"/>
          <w:sz w:val="24"/>
          <w:highlight w:val="none"/>
        </w:rPr>
        <w:t>。</w:t>
      </w:r>
    </w:p>
    <w:p>
      <w:pPr>
        <w:spacing w:line="440" w:lineRule="exact"/>
        <w:ind w:firstLine="482" w:firstLineChars="200"/>
        <w:rPr>
          <w:rFonts w:ascii="宋体" w:hAnsi="宋体"/>
          <w:color w:val="auto"/>
          <w:sz w:val="24"/>
          <w:highlight w:val="none"/>
        </w:rPr>
      </w:pPr>
      <w:r>
        <w:rPr>
          <w:rFonts w:hint="eastAsia" w:ascii="宋体" w:hAnsi="宋体"/>
          <w:b/>
          <w:bCs/>
          <w:color w:val="auto"/>
          <w:sz w:val="24"/>
          <w:highlight w:val="none"/>
        </w:rPr>
        <w:t>Ⅴ类：JL</w:t>
      </w:r>
      <w:r>
        <w:rPr>
          <w:rFonts w:hint="eastAsia" w:ascii="宋体" w:hAnsi="宋体"/>
          <w:b/>
          <w:bCs/>
          <w:color w:val="auto"/>
          <w:sz w:val="24"/>
          <w:highlight w:val="none"/>
          <w:lang w:val="en-US" w:eastAsia="zh-CN"/>
        </w:rPr>
        <w:t>9</w:t>
      </w:r>
      <w:r>
        <w:rPr>
          <w:rFonts w:hint="eastAsia" w:ascii="宋体" w:hAnsi="宋体"/>
          <w:b/>
          <w:bCs/>
          <w:color w:val="auto"/>
          <w:sz w:val="24"/>
          <w:highlight w:val="none"/>
        </w:rPr>
        <w:t>标段：</w:t>
      </w:r>
      <w:r>
        <w:rPr>
          <w:rFonts w:ascii="宋体" w:hAnsi="宋体"/>
          <w:color w:val="auto"/>
          <w:sz w:val="24"/>
          <w:highlight w:val="none"/>
        </w:rPr>
        <w:t>近五年内（</w:t>
      </w:r>
      <w:r>
        <w:rPr>
          <w:rFonts w:hint="eastAsia" w:ascii="宋体" w:hAnsi="宋体"/>
          <w:color w:val="auto"/>
          <w:sz w:val="24"/>
          <w:highlight w:val="none"/>
        </w:rPr>
        <w:t>2017年6月1日</w:t>
      </w:r>
      <w:r>
        <w:rPr>
          <w:rFonts w:ascii="宋体" w:hAnsi="宋体"/>
          <w:color w:val="auto"/>
          <w:sz w:val="24"/>
          <w:highlight w:val="none"/>
        </w:rPr>
        <w:t>至投标文件递交截止日）完工并通过交工或竣工验收，至少</w:t>
      </w:r>
      <w:r>
        <w:rPr>
          <w:rFonts w:hint="eastAsia" w:ascii="宋体" w:hAnsi="宋体"/>
          <w:color w:val="auto"/>
          <w:sz w:val="24"/>
          <w:highlight w:val="none"/>
        </w:rPr>
        <w:t>独立</w:t>
      </w:r>
      <w:r>
        <w:rPr>
          <w:rFonts w:ascii="宋体" w:hAnsi="宋体"/>
          <w:color w:val="auto"/>
          <w:sz w:val="24"/>
          <w:highlight w:val="none"/>
        </w:rPr>
        <w:t>完成过</w:t>
      </w:r>
      <w:r>
        <w:rPr>
          <w:rFonts w:hint="eastAsia" w:ascii="宋体" w:hAnsi="宋体"/>
          <w:color w:val="auto"/>
          <w:sz w:val="24"/>
          <w:highlight w:val="none"/>
        </w:rPr>
        <w:t>1</w:t>
      </w:r>
      <w:r>
        <w:rPr>
          <w:rFonts w:ascii="宋体" w:hAnsi="宋体"/>
          <w:color w:val="auto"/>
          <w:sz w:val="24"/>
          <w:highlight w:val="none"/>
        </w:rPr>
        <w:t>项（含</w:t>
      </w:r>
      <w:r>
        <w:rPr>
          <w:rFonts w:hint="eastAsia" w:ascii="宋体" w:hAnsi="宋体"/>
          <w:color w:val="auto"/>
          <w:sz w:val="24"/>
          <w:highlight w:val="none"/>
        </w:rPr>
        <w:t>1</w:t>
      </w:r>
      <w:r>
        <w:rPr>
          <w:rFonts w:ascii="宋体" w:hAnsi="宋体"/>
          <w:color w:val="auto"/>
          <w:sz w:val="24"/>
          <w:highlight w:val="none"/>
        </w:rPr>
        <w:t>项）</w:t>
      </w:r>
      <w:r>
        <w:rPr>
          <w:rFonts w:hint="eastAsia" w:ascii="宋体" w:hAnsi="宋体"/>
          <w:color w:val="auto"/>
          <w:sz w:val="24"/>
          <w:highlight w:val="none"/>
        </w:rPr>
        <w:t>公路上跨或下穿铁路施工监理业绩</w:t>
      </w:r>
      <w:r>
        <w:rPr>
          <w:rFonts w:ascii="宋体" w:hAnsi="宋体"/>
          <w:color w:val="auto"/>
          <w:sz w:val="24"/>
          <w:highlight w:val="none"/>
        </w:rPr>
        <w:t>。</w:t>
      </w:r>
    </w:p>
    <w:p>
      <w:pPr>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lang w:val="en-US" w:eastAsia="zh-CN"/>
        </w:rPr>
        <w:t>2</w:t>
      </w:r>
      <w:r>
        <w:rPr>
          <w:rFonts w:hint="eastAsia" w:ascii="宋体" w:hAnsi="宋体"/>
          <w:b/>
          <w:bCs/>
          <w:color w:val="auto"/>
          <w:sz w:val="24"/>
          <w:highlight w:val="none"/>
        </w:rPr>
        <w:t>.1.3总监理工程师要求：</w:t>
      </w:r>
    </w:p>
    <w:p>
      <w:pPr>
        <w:spacing w:line="440" w:lineRule="exact"/>
        <w:ind w:firstLine="482" w:firstLineChars="200"/>
        <w:rPr>
          <w:rFonts w:ascii="宋体" w:hAnsi="宋体"/>
          <w:color w:val="auto"/>
          <w:sz w:val="24"/>
          <w:highlight w:val="none"/>
        </w:rPr>
      </w:pPr>
      <w:r>
        <w:rPr>
          <w:rFonts w:hint="eastAsia" w:asciiTheme="minorEastAsia" w:hAnsiTheme="minorEastAsia" w:cstheme="minorEastAsia"/>
          <w:b/>
          <w:color w:val="auto"/>
          <w:sz w:val="24"/>
          <w:szCs w:val="24"/>
          <w:highlight w:val="none"/>
        </w:rPr>
        <w:t>Ⅰ类、II类：JL1～JL</w:t>
      </w:r>
      <w:r>
        <w:rPr>
          <w:rFonts w:hint="eastAsia" w:asciiTheme="minorEastAsia" w:hAnsiTheme="minorEastAsia" w:cstheme="minorEastAsia"/>
          <w:b/>
          <w:color w:val="auto"/>
          <w:sz w:val="24"/>
          <w:szCs w:val="24"/>
          <w:highlight w:val="none"/>
          <w:lang w:val="en-US" w:eastAsia="zh-CN"/>
        </w:rPr>
        <w:t>6</w:t>
      </w:r>
      <w:r>
        <w:rPr>
          <w:rFonts w:hint="eastAsia" w:asciiTheme="minorEastAsia" w:hAnsiTheme="minorEastAsia" w:cstheme="minorEastAsia"/>
          <w:b/>
          <w:color w:val="auto"/>
          <w:sz w:val="24"/>
          <w:szCs w:val="24"/>
          <w:highlight w:val="none"/>
        </w:rPr>
        <w:t>标段:</w:t>
      </w:r>
      <w:r>
        <w:rPr>
          <w:rFonts w:hint="eastAsia" w:asciiTheme="minorEastAsia" w:hAnsiTheme="minorEastAsia" w:cstheme="minorEastAsia"/>
          <w:bCs/>
          <w:color w:val="auto"/>
          <w:sz w:val="24"/>
          <w:szCs w:val="24"/>
          <w:highlight w:val="none"/>
        </w:rPr>
        <w:t>总监理工程师1名，具有公路工程相关专业高级工程师及以上技术职称，持有交通运输部颁发的监理工程师执业资格证书，年龄在65周岁以下</w:t>
      </w:r>
      <w:r>
        <w:rPr>
          <w:rFonts w:hint="eastAsia" w:ascii="宋体" w:hAnsi="宋体"/>
          <w:color w:val="auto"/>
          <w:sz w:val="24"/>
          <w:highlight w:val="none"/>
          <w:lang w:eastAsia="zh-CN"/>
        </w:rPr>
        <w:t>，</w:t>
      </w:r>
      <w:r>
        <w:rPr>
          <w:rFonts w:ascii="宋体" w:hAnsi="宋体"/>
          <w:color w:val="auto"/>
          <w:sz w:val="24"/>
          <w:highlight w:val="none"/>
        </w:rPr>
        <w:t>至少担任过</w:t>
      </w:r>
      <w:r>
        <w:rPr>
          <w:rFonts w:hint="eastAsia" w:ascii="宋体" w:hAnsi="宋体"/>
          <w:color w:val="auto"/>
          <w:sz w:val="24"/>
          <w:highlight w:val="none"/>
        </w:rPr>
        <w:t>1</w:t>
      </w:r>
      <w:r>
        <w:rPr>
          <w:rFonts w:ascii="宋体" w:hAnsi="宋体"/>
          <w:color w:val="auto"/>
          <w:sz w:val="24"/>
          <w:highlight w:val="none"/>
        </w:rPr>
        <w:t>项一级及以上新（改）建公路工程施工监理的总监或驻地监理工程师职务</w:t>
      </w:r>
      <w:r>
        <w:rPr>
          <w:rFonts w:hint="eastAsia" w:ascii="宋体" w:hAnsi="宋体"/>
          <w:color w:val="auto"/>
          <w:sz w:val="24"/>
          <w:highlight w:val="none"/>
        </w:rPr>
        <w:t>。</w:t>
      </w:r>
    </w:p>
    <w:p>
      <w:pPr>
        <w:spacing w:line="440" w:lineRule="exact"/>
        <w:ind w:firstLine="482" w:firstLineChars="200"/>
        <w:rPr>
          <w:rFonts w:ascii="宋体" w:hAnsi="宋体"/>
          <w:color w:val="auto"/>
          <w:sz w:val="24"/>
          <w:highlight w:val="none"/>
        </w:rPr>
      </w:pPr>
      <w:r>
        <w:rPr>
          <w:rFonts w:hint="eastAsia" w:asciiTheme="minorEastAsia" w:hAnsiTheme="minorEastAsia" w:cstheme="minorEastAsia"/>
          <w:b/>
          <w:color w:val="auto"/>
          <w:sz w:val="24"/>
          <w:szCs w:val="24"/>
          <w:highlight w:val="none"/>
        </w:rPr>
        <w:t>Ⅲ类：JL</w:t>
      </w:r>
      <w:r>
        <w:rPr>
          <w:rFonts w:hint="eastAsia" w:asciiTheme="minorEastAsia" w:hAnsiTheme="minorEastAsia" w:cstheme="minorEastAsia"/>
          <w:b/>
          <w:color w:val="auto"/>
          <w:sz w:val="24"/>
          <w:szCs w:val="24"/>
          <w:highlight w:val="none"/>
          <w:lang w:val="en-US" w:eastAsia="zh-CN"/>
        </w:rPr>
        <w:t>7</w:t>
      </w:r>
      <w:r>
        <w:rPr>
          <w:rFonts w:hint="eastAsia" w:asciiTheme="minorEastAsia" w:hAnsiTheme="minorEastAsia" w:cstheme="minorEastAsia"/>
          <w:b/>
          <w:color w:val="auto"/>
          <w:sz w:val="24"/>
          <w:szCs w:val="24"/>
          <w:highlight w:val="none"/>
        </w:rPr>
        <w:t>标段：</w:t>
      </w:r>
      <w:r>
        <w:rPr>
          <w:rFonts w:hint="eastAsia" w:asciiTheme="minorEastAsia" w:hAnsiTheme="minorEastAsia" w:cstheme="minorEastAsia"/>
          <w:bCs/>
          <w:color w:val="auto"/>
          <w:sz w:val="24"/>
          <w:szCs w:val="24"/>
          <w:highlight w:val="none"/>
        </w:rPr>
        <w:t>总监理工程师1名，具有建筑工程相关专业高级工程师及以上技术职称，持有房屋建筑工程专业国家注册监理工程师执业资格，</w:t>
      </w:r>
      <w:r>
        <w:rPr>
          <w:rFonts w:hint="eastAsia" w:asciiTheme="minorEastAsia" w:hAnsiTheme="minorEastAsia" w:cstheme="minorEastAsia"/>
          <w:bCs/>
          <w:color w:val="auto"/>
          <w:sz w:val="24"/>
          <w:szCs w:val="24"/>
          <w:highlight w:val="none"/>
          <w:lang w:eastAsia="zh-CN"/>
        </w:rPr>
        <w:t>年龄在65周岁以下，</w:t>
      </w:r>
      <w:r>
        <w:rPr>
          <w:rFonts w:ascii="宋体" w:hAnsi="宋体"/>
          <w:color w:val="auto"/>
          <w:sz w:val="24"/>
          <w:highlight w:val="none"/>
        </w:rPr>
        <w:t>至少担任过</w:t>
      </w:r>
      <w:r>
        <w:rPr>
          <w:rFonts w:hint="eastAsia" w:ascii="宋体" w:hAnsi="宋体"/>
          <w:color w:val="auto"/>
          <w:sz w:val="24"/>
          <w:highlight w:val="none"/>
        </w:rPr>
        <w:t>1</w:t>
      </w:r>
      <w:r>
        <w:rPr>
          <w:rFonts w:ascii="宋体" w:hAnsi="宋体"/>
          <w:color w:val="auto"/>
          <w:sz w:val="24"/>
          <w:highlight w:val="none"/>
        </w:rPr>
        <w:t>项房屋建筑面积10000 m²以上建筑工程施工监理</w:t>
      </w:r>
      <w:r>
        <w:rPr>
          <w:rFonts w:hint="eastAsia" w:ascii="宋体" w:hAnsi="宋体"/>
          <w:color w:val="auto"/>
          <w:sz w:val="24"/>
          <w:highlight w:val="none"/>
        </w:rPr>
        <w:t>业绩</w:t>
      </w:r>
      <w:r>
        <w:rPr>
          <w:rFonts w:ascii="宋体" w:hAnsi="宋体"/>
          <w:color w:val="auto"/>
          <w:sz w:val="24"/>
          <w:highlight w:val="none"/>
        </w:rPr>
        <w:t>的总监职务</w:t>
      </w:r>
      <w:r>
        <w:rPr>
          <w:rFonts w:hint="eastAsia" w:ascii="宋体" w:hAnsi="宋体"/>
          <w:color w:val="auto"/>
          <w:sz w:val="24"/>
          <w:highlight w:val="none"/>
        </w:rPr>
        <w:t>。</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b/>
          <w:bCs/>
          <w:color w:val="auto"/>
          <w:sz w:val="24"/>
          <w:highlight w:val="none"/>
        </w:rPr>
        <w:t>Ⅳ类：JL</w:t>
      </w:r>
      <w:r>
        <w:rPr>
          <w:rFonts w:hint="eastAsia" w:ascii="宋体" w:hAnsi="宋体"/>
          <w:b/>
          <w:bCs/>
          <w:color w:val="auto"/>
          <w:sz w:val="24"/>
          <w:highlight w:val="none"/>
          <w:lang w:val="en-US" w:eastAsia="zh-CN"/>
        </w:rPr>
        <w:t>8</w:t>
      </w:r>
      <w:r>
        <w:rPr>
          <w:rFonts w:hint="eastAsia" w:ascii="宋体" w:hAnsi="宋体"/>
          <w:b/>
          <w:bCs/>
          <w:color w:val="auto"/>
          <w:sz w:val="24"/>
          <w:highlight w:val="none"/>
        </w:rPr>
        <w:t>标段：</w:t>
      </w:r>
      <w:r>
        <w:rPr>
          <w:rFonts w:hint="eastAsia" w:asciiTheme="minorEastAsia" w:hAnsiTheme="minorEastAsia" w:cstheme="minorEastAsia"/>
          <w:bCs/>
          <w:color w:val="auto"/>
          <w:sz w:val="24"/>
          <w:szCs w:val="24"/>
          <w:highlight w:val="none"/>
        </w:rPr>
        <w:t>总监理工程师1名，具有机电工程相关专业高级工程师及以上技术职称，持有交通运输部颁发的监理工程师执业资格证书，</w:t>
      </w:r>
      <w:r>
        <w:rPr>
          <w:rFonts w:hint="eastAsia" w:asciiTheme="minorEastAsia" w:hAnsiTheme="minorEastAsia" w:cstheme="minorEastAsia"/>
          <w:bCs/>
          <w:color w:val="auto"/>
          <w:sz w:val="24"/>
          <w:szCs w:val="24"/>
          <w:highlight w:val="none"/>
          <w:lang w:eastAsia="zh-CN"/>
        </w:rPr>
        <w:t>年龄在65周岁以下，</w:t>
      </w:r>
      <w:r>
        <w:rPr>
          <w:rFonts w:ascii="宋体" w:hAnsi="宋体"/>
          <w:color w:val="auto"/>
          <w:sz w:val="24"/>
          <w:highlight w:val="none"/>
        </w:rPr>
        <w:t>至少担任过</w:t>
      </w:r>
      <w:r>
        <w:rPr>
          <w:rFonts w:hint="eastAsia" w:ascii="宋体" w:hAnsi="宋体"/>
          <w:color w:val="auto"/>
          <w:sz w:val="24"/>
          <w:highlight w:val="none"/>
        </w:rPr>
        <w:t>1</w:t>
      </w:r>
      <w:r>
        <w:rPr>
          <w:rFonts w:ascii="宋体" w:hAnsi="宋体"/>
          <w:color w:val="auto"/>
          <w:sz w:val="24"/>
          <w:highlight w:val="none"/>
        </w:rPr>
        <w:t>项一级及以上新</w:t>
      </w:r>
      <w:r>
        <w:rPr>
          <w:rFonts w:hint="eastAsia" w:ascii="宋体" w:hAnsi="宋体"/>
          <w:color w:val="auto"/>
          <w:sz w:val="24"/>
          <w:highlight w:val="none"/>
        </w:rPr>
        <w:t>（</w:t>
      </w:r>
      <w:r>
        <w:rPr>
          <w:rFonts w:ascii="宋体" w:hAnsi="宋体"/>
          <w:color w:val="auto"/>
          <w:sz w:val="24"/>
          <w:highlight w:val="none"/>
        </w:rPr>
        <w:t>改</w:t>
      </w:r>
      <w:r>
        <w:rPr>
          <w:rFonts w:hint="eastAsia" w:ascii="宋体" w:hAnsi="宋体"/>
          <w:color w:val="auto"/>
          <w:sz w:val="24"/>
          <w:highlight w:val="none"/>
        </w:rPr>
        <w:t>）</w:t>
      </w:r>
      <w:r>
        <w:rPr>
          <w:rFonts w:ascii="宋体" w:hAnsi="宋体"/>
          <w:color w:val="auto"/>
          <w:sz w:val="24"/>
          <w:highlight w:val="none"/>
        </w:rPr>
        <w:t>建</w:t>
      </w:r>
      <w:r>
        <w:rPr>
          <w:rFonts w:hint="eastAsia" w:ascii="宋体" w:hAnsi="宋体"/>
          <w:color w:val="auto"/>
          <w:sz w:val="24"/>
          <w:highlight w:val="none"/>
        </w:rPr>
        <w:t>公路机电工程施工监理业绩</w:t>
      </w:r>
      <w:r>
        <w:rPr>
          <w:rFonts w:ascii="宋体" w:hAnsi="宋体"/>
          <w:color w:val="auto"/>
          <w:sz w:val="24"/>
          <w:highlight w:val="none"/>
        </w:rPr>
        <w:t>的总监或驻地监理工程师职务</w:t>
      </w:r>
      <w:r>
        <w:rPr>
          <w:rFonts w:hint="eastAsia" w:ascii="宋体" w:hAnsi="宋体"/>
          <w:color w:val="auto"/>
          <w:sz w:val="24"/>
          <w:highlight w:val="none"/>
        </w:rPr>
        <w:t>。</w:t>
      </w:r>
    </w:p>
    <w:p>
      <w:pPr>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Ⅴ类：JL</w:t>
      </w:r>
      <w:r>
        <w:rPr>
          <w:rFonts w:hint="eastAsia" w:ascii="宋体" w:hAnsi="宋体"/>
          <w:b/>
          <w:bCs/>
          <w:color w:val="auto"/>
          <w:sz w:val="24"/>
          <w:highlight w:val="none"/>
          <w:lang w:val="en-US" w:eastAsia="zh-CN"/>
        </w:rPr>
        <w:t>9</w:t>
      </w:r>
      <w:r>
        <w:rPr>
          <w:rFonts w:hint="eastAsia" w:ascii="宋体" w:hAnsi="宋体"/>
          <w:b/>
          <w:bCs/>
          <w:color w:val="auto"/>
          <w:sz w:val="24"/>
          <w:highlight w:val="none"/>
        </w:rPr>
        <w:t>标段</w:t>
      </w:r>
      <w:r>
        <w:rPr>
          <w:rFonts w:ascii="宋体" w:hAnsi="宋体"/>
          <w:b/>
          <w:bCs/>
          <w:color w:val="auto"/>
          <w:sz w:val="24"/>
          <w:highlight w:val="none"/>
        </w:rPr>
        <w:t>：</w:t>
      </w:r>
      <w:r>
        <w:rPr>
          <w:rFonts w:hint="eastAsia" w:asciiTheme="minorEastAsia" w:hAnsiTheme="minorEastAsia" w:cstheme="minorEastAsia"/>
          <w:bCs/>
          <w:color w:val="auto"/>
          <w:sz w:val="24"/>
          <w:szCs w:val="24"/>
          <w:highlight w:val="none"/>
        </w:rPr>
        <w:t>总监理工程师1名，具有铁路工程或公路工程相关专业高级工程师及以上技术职称，持有铁路工程专业国家注册监理工程师执业资格，</w:t>
      </w:r>
      <w:r>
        <w:rPr>
          <w:rFonts w:hint="eastAsia" w:asciiTheme="minorEastAsia" w:hAnsiTheme="minorEastAsia" w:cstheme="minorEastAsia"/>
          <w:bCs/>
          <w:color w:val="auto"/>
          <w:sz w:val="24"/>
          <w:szCs w:val="24"/>
          <w:highlight w:val="none"/>
          <w:lang w:eastAsia="zh-CN"/>
        </w:rPr>
        <w:t>年龄在65周岁以下，</w:t>
      </w:r>
      <w:r>
        <w:rPr>
          <w:rFonts w:ascii="宋体" w:hAnsi="宋体"/>
          <w:color w:val="auto"/>
          <w:sz w:val="24"/>
          <w:highlight w:val="none"/>
        </w:rPr>
        <w:t>至少担任过</w:t>
      </w:r>
      <w:r>
        <w:rPr>
          <w:rFonts w:hint="eastAsia" w:ascii="宋体" w:hAnsi="宋体"/>
          <w:color w:val="auto"/>
          <w:sz w:val="24"/>
          <w:highlight w:val="none"/>
        </w:rPr>
        <w:t>1</w:t>
      </w:r>
      <w:r>
        <w:rPr>
          <w:rFonts w:ascii="宋体" w:hAnsi="宋体"/>
          <w:color w:val="auto"/>
          <w:sz w:val="24"/>
          <w:highlight w:val="none"/>
        </w:rPr>
        <w:t>项（含</w:t>
      </w:r>
      <w:r>
        <w:rPr>
          <w:rFonts w:hint="eastAsia" w:ascii="宋体" w:hAnsi="宋体"/>
          <w:color w:val="auto"/>
          <w:sz w:val="24"/>
          <w:highlight w:val="none"/>
        </w:rPr>
        <w:t>1</w:t>
      </w:r>
      <w:r>
        <w:rPr>
          <w:rFonts w:ascii="宋体" w:hAnsi="宋体"/>
          <w:color w:val="auto"/>
          <w:sz w:val="24"/>
          <w:highlight w:val="none"/>
        </w:rPr>
        <w:t>项）</w:t>
      </w:r>
      <w:r>
        <w:rPr>
          <w:rFonts w:hint="eastAsia" w:ascii="宋体" w:hAnsi="宋体"/>
          <w:color w:val="auto"/>
          <w:sz w:val="24"/>
          <w:highlight w:val="none"/>
        </w:rPr>
        <w:t>公路上跨或下穿铁路施工监理业绩</w:t>
      </w:r>
      <w:r>
        <w:rPr>
          <w:rFonts w:ascii="宋体" w:hAnsi="宋体"/>
          <w:color w:val="auto"/>
          <w:sz w:val="24"/>
          <w:highlight w:val="none"/>
        </w:rPr>
        <w:t>的总监或驻地监理工程师职务</w:t>
      </w:r>
      <w:r>
        <w:rPr>
          <w:rFonts w:hint="eastAsia" w:ascii="宋体" w:hAnsi="宋体"/>
          <w:color w:val="auto"/>
          <w:sz w:val="24"/>
          <w:highlight w:val="none"/>
        </w:rPr>
        <w:t>。</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.2本次招标不接受联合体投标。</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 xml:space="preserve">.3 </w:t>
      </w:r>
      <w:r>
        <w:rPr>
          <w:rFonts w:hint="eastAsia" w:ascii="宋体" w:hAnsi="宋体"/>
          <w:color w:val="auto"/>
          <w:sz w:val="24"/>
          <w:highlight w:val="none"/>
          <w:lang w:eastAsia="zh-CN"/>
        </w:rPr>
        <w:t>JL1～JL6标段、JL8标段</w:t>
      </w:r>
      <w:r>
        <w:rPr>
          <w:rFonts w:hint="eastAsia" w:ascii="宋体" w:hAnsi="宋体"/>
          <w:color w:val="auto"/>
          <w:sz w:val="24"/>
          <w:highlight w:val="none"/>
        </w:rPr>
        <w:t>的投标人须进入交通运输部“全国公路建设市场信用信息管理系统（</w:t>
      </w:r>
      <w:r>
        <w:rPr>
          <w:color w:val="auto"/>
          <w:highlight w:val="none"/>
        </w:rPr>
        <w:fldChar w:fldCharType="begin"/>
      </w:r>
      <w:r>
        <w:rPr>
          <w:color w:val="auto"/>
          <w:highlight w:val="none"/>
        </w:rPr>
        <w:instrText xml:space="preserve"> HYPERLINK "http://glxy.mot.gov.cn/" </w:instrText>
      </w:r>
      <w:r>
        <w:rPr>
          <w:color w:val="auto"/>
          <w:highlight w:val="none"/>
        </w:rPr>
        <w:fldChar w:fldCharType="separate"/>
      </w:r>
      <w:r>
        <w:rPr>
          <w:rFonts w:hint="eastAsia" w:ascii="宋体" w:hAnsi="宋体"/>
          <w:color w:val="auto"/>
          <w:sz w:val="24"/>
          <w:highlight w:val="none"/>
        </w:rPr>
        <w:t>http://glxy.mot.gov.cn</w:t>
      </w:r>
      <w:r>
        <w:rPr>
          <w:rFonts w:hint="eastAsia" w:ascii="宋体" w:hAnsi="宋体"/>
          <w:color w:val="auto"/>
          <w:sz w:val="24"/>
          <w:highlight w:val="none"/>
        </w:rPr>
        <w:fldChar w:fldCharType="end"/>
      </w:r>
      <w:r>
        <w:rPr>
          <w:rFonts w:hint="eastAsia" w:ascii="宋体" w:hAnsi="宋体"/>
          <w:color w:val="auto"/>
          <w:sz w:val="24"/>
          <w:highlight w:val="none"/>
        </w:rPr>
        <w:t>）”中的公路工程施工监理资质企业名录，且投标人名称和资质与该名录中的相应企业名称和资质完全一致。</w:t>
      </w:r>
    </w:p>
    <w:p>
      <w:pPr>
        <w:spacing w:line="440" w:lineRule="exact"/>
        <w:ind w:firstLine="480" w:firstLineChars="200"/>
        <w:rPr>
          <w:rFonts w:hint="eastAsia" w:ascii="宋体" w:hAnsi="宋体" w:eastAsiaTheme="minorEastAsia"/>
          <w:color w:val="auto"/>
          <w:sz w:val="24"/>
          <w:highlight w:val="none"/>
          <w:lang w:eastAsia="zh-CN"/>
        </w:rPr>
      </w:pPr>
      <w:r>
        <w:rPr>
          <w:rFonts w:hint="eastAsia" w:ascii="宋体" w:hAnsi="宋体"/>
          <w:color w:val="auto"/>
          <w:sz w:val="24"/>
          <w:highlight w:val="none"/>
          <w:lang w:val="en-US" w:eastAsia="zh-CN"/>
        </w:rPr>
        <w:t>2</w:t>
      </w:r>
      <w:r>
        <w:rPr>
          <w:rFonts w:hint="eastAsia" w:ascii="宋体" w:hAnsi="宋体"/>
          <w:color w:val="auto"/>
          <w:sz w:val="24"/>
          <w:highlight w:val="none"/>
        </w:rPr>
        <w:t>.4投标人的相关业绩</w:t>
      </w:r>
      <w:r>
        <w:rPr>
          <w:rFonts w:hint="eastAsia" w:ascii="宋体" w:hAnsi="宋体"/>
          <w:b/>
          <w:bCs/>
          <w:color w:val="auto"/>
          <w:sz w:val="24"/>
          <w:highlight w:val="none"/>
        </w:rPr>
        <w:t>（</w:t>
      </w:r>
      <w:r>
        <w:rPr>
          <w:rFonts w:hint="eastAsia" w:ascii="宋体" w:hAnsi="宋体"/>
          <w:b/>
          <w:bCs/>
          <w:color w:val="auto"/>
          <w:sz w:val="24"/>
          <w:highlight w:val="none"/>
          <w:lang w:eastAsia="zh-CN"/>
        </w:rPr>
        <w:t>JL1～JL6标段、JL8标段</w:t>
      </w:r>
      <w:r>
        <w:rPr>
          <w:rFonts w:hint="eastAsia" w:ascii="宋体" w:hAnsi="宋体"/>
          <w:b/>
          <w:bCs/>
          <w:color w:val="auto"/>
          <w:sz w:val="24"/>
          <w:highlight w:val="none"/>
        </w:rPr>
        <w:t>）</w:t>
      </w:r>
      <w:r>
        <w:rPr>
          <w:rFonts w:hint="eastAsia" w:ascii="宋体" w:hAnsi="宋体"/>
          <w:color w:val="auto"/>
          <w:sz w:val="24"/>
          <w:highlight w:val="none"/>
        </w:rPr>
        <w:t>应是已列入交通运输部“全国公路建设市场信用信息管理系统”或“山西省公路水运市场管理平台”查询系统的主包已建业绩。上述证明材料中应明确表述本项目资格审查所需的工程内容（例如工程名称、公路等级、里程长度（或者里程桩号）、交（竣）工时间等）。如查询不到信息，则该业绩不予认定</w:t>
      </w:r>
      <w:r>
        <w:rPr>
          <w:rFonts w:hint="eastAsia" w:ascii="宋体" w:hAnsi="宋体"/>
          <w:color w:val="auto"/>
          <w:sz w:val="24"/>
          <w:highlight w:val="none"/>
          <w:lang w:eastAsia="zh-CN"/>
        </w:rPr>
        <w:t>,但查询到而无法明确表述上述内容的可补充明确（如中标通知书、合同协议书或交竣工验收证书）。</w:t>
      </w:r>
    </w:p>
    <w:p>
      <w:pPr>
        <w:spacing w:line="440" w:lineRule="exact"/>
        <w:ind w:firstLine="482" w:firstLineChars="200"/>
        <w:rPr>
          <w:rFonts w:ascii="宋体" w:hAnsi="宋体"/>
          <w:color w:val="auto"/>
          <w:sz w:val="24"/>
          <w:highlight w:val="none"/>
        </w:rPr>
      </w:pPr>
      <w:r>
        <w:rPr>
          <w:rFonts w:hint="eastAsia" w:ascii="宋体" w:hAnsi="宋体"/>
          <w:b/>
          <w:bCs/>
          <w:color w:val="auto"/>
          <w:sz w:val="24"/>
          <w:highlight w:val="none"/>
          <w:lang w:eastAsia="zh-CN"/>
        </w:rPr>
        <w:t>JL7、JL9标段</w:t>
      </w:r>
      <w:r>
        <w:rPr>
          <w:rFonts w:hint="eastAsia" w:ascii="宋体" w:hAnsi="宋体"/>
          <w:b/>
          <w:bCs/>
          <w:color w:val="auto"/>
          <w:sz w:val="24"/>
          <w:highlight w:val="none"/>
        </w:rPr>
        <w:t>投标人相关业绩证明资料须提供合同协议书</w:t>
      </w:r>
      <w:r>
        <w:rPr>
          <w:rFonts w:hint="eastAsia" w:ascii="宋体" w:hAnsi="宋体"/>
          <w:b/>
          <w:bCs/>
          <w:color w:val="auto"/>
          <w:sz w:val="24"/>
          <w:highlight w:val="none"/>
          <w:lang w:eastAsia="zh-CN"/>
        </w:rPr>
        <w:t>、</w:t>
      </w:r>
      <w:r>
        <w:rPr>
          <w:rFonts w:hint="eastAsia" w:ascii="宋体" w:hAnsi="宋体"/>
          <w:b/>
          <w:bCs/>
          <w:color w:val="auto"/>
          <w:sz w:val="24"/>
          <w:highlight w:val="none"/>
        </w:rPr>
        <w:t>交（竣）工验收证书或监理评定书。</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5凡被交通运输部或山西省交通运输厅取消投标资格或禁止进入建设市场的施工监理企业，在处罚期内无资格参与本项目的投标。在交通运输部或山西省公路建设市场信用评价的考核定级中，被评价为D级的施工监理企业，在评价有效期内无资格参与本项目的投标。</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6单位负责人为同一人或者存在控股、管理关系的不同单位、具有投资参股关系的关联企业，不得同时参与同一标段的投标；企业主要负责人（董事、监事、总经理、副总经理和财务负责人等）相互兼职的关联企业，不得同时参与同一标段的投标，否则，相关投标均无效。</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.7</w:t>
      </w:r>
      <w:bookmarkStart w:id="1" w:name="_Hlk501985731"/>
      <w:r>
        <w:rPr>
          <w:color w:val="auto"/>
          <w:sz w:val="24"/>
          <w:highlight w:val="none"/>
        </w:rPr>
        <w:t>与</w:t>
      </w:r>
      <w:r>
        <w:rPr>
          <w:rFonts w:hint="eastAsia"/>
          <w:color w:val="auto"/>
          <w:sz w:val="24"/>
          <w:highlight w:val="none"/>
        </w:rPr>
        <w:t>山西路桥建设集团有限公司</w:t>
      </w:r>
      <w:r>
        <w:rPr>
          <w:color w:val="auto"/>
          <w:sz w:val="24"/>
          <w:highlight w:val="none"/>
        </w:rPr>
        <w:t>具有关联关系的投标人不得参与本项目的投标。</w:t>
      </w:r>
      <w:bookmarkEnd w:id="1"/>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.8本项目施工监理分为</w:t>
      </w:r>
      <w:r>
        <w:rPr>
          <w:rFonts w:hint="eastAsia" w:ascii="宋体" w:hAnsi="宋体"/>
          <w:color w:val="auto"/>
          <w:sz w:val="24"/>
          <w:highlight w:val="none"/>
          <w:lang w:eastAsia="zh-CN"/>
        </w:rPr>
        <w:t>5个类别</w:t>
      </w:r>
      <w:r>
        <w:rPr>
          <w:rFonts w:hint="eastAsia" w:ascii="宋体" w:hAnsi="宋体"/>
          <w:color w:val="auto"/>
          <w:sz w:val="24"/>
          <w:highlight w:val="none"/>
        </w:rPr>
        <w:t>，投标人只可对其中1个类别</w:t>
      </w:r>
      <w:r>
        <w:rPr>
          <w:rFonts w:hint="eastAsia" w:ascii="宋体" w:hAnsi="宋体"/>
          <w:color w:val="auto"/>
          <w:sz w:val="24"/>
          <w:highlight w:val="none"/>
          <w:lang w:val="en-US" w:eastAsia="zh-CN"/>
        </w:rPr>
        <w:t>提出</w:t>
      </w:r>
      <w:r>
        <w:rPr>
          <w:rFonts w:hint="eastAsia" w:ascii="宋体" w:hAnsi="宋体"/>
          <w:color w:val="auto"/>
          <w:sz w:val="24"/>
          <w:highlight w:val="none"/>
        </w:rPr>
        <w:t>申请。投标人</w:t>
      </w:r>
      <w:r>
        <w:rPr>
          <w:rFonts w:hint="eastAsia" w:ascii="宋体" w:hAnsi="宋体"/>
          <w:color w:val="auto"/>
          <w:sz w:val="24"/>
          <w:highlight w:val="none"/>
          <w:lang w:val="en-US" w:eastAsia="zh-CN"/>
        </w:rPr>
        <w:t>须按类别编制并提交第一信封投标文件（注：Ⅰ类、Ⅱ类须按标段分别上传第一信封，上传的第一信封投标文件内容须一致，否则相关投标均无效），同时</w:t>
      </w:r>
      <w:r>
        <w:rPr>
          <w:rFonts w:hint="eastAsia" w:ascii="宋体" w:hAnsi="宋体"/>
          <w:color w:val="auto"/>
          <w:sz w:val="24"/>
          <w:highlight w:val="none"/>
        </w:rPr>
        <w:t>对所报类别中的所有标段分别编制并提交第二信封的投标文件，否则</w:t>
      </w:r>
      <w:r>
        <w:rPr>
          <w:rFonts w:hint="eastAsia" w:ascii="宋体" w:hAnsi="宋体"/>
          <w:color w:val="auto"/>
          <w:sz w:val="24"/>
          <w:highlight w:val="none"/>
          <w:lang w:val="en-US" w:eastAsia="zh-CN"/>
        </w:rPr>
        <w:t>投标无效</w:t>
      </w:r>
      <w:r>
        <w:rPr>
          <w:rFonts w:hint="eastAsia" w:ascii="宋体" w:hAnsi="宋体"/>
          <w:color w:val="auto"/>
          <w:sz w:val="24"/>
          <w:highlight w:val="none"/>
        </w:rPr>
        <w:t>。在开标现场，招标人将按照平均分配的原则确定Ⅱ类的标段组后，对通过第一信封的投标人将按照平均分配的原则确定</w:t>
      </w:r>
      <w:r>
        <w:rPr>
          <w:rFonts w:hint="eastAsia" w:ascii="宋体" w:hAnsi="宋体"/>
          <w:color w:val="auto"/>
          <w:sz w:val="24"/>
          <w:highlight w:val="none"/>
          <w:lang w:val="en-US" w:eastAsia="zh-CN"/>
        </w:rPr>
        <w:t>Ⅰ类、</w:t>
      </w:r>
      <w:r>
        <w:rPr>
          <w:rFonts w:hint="eastAsia" w:ascii="宋体" w:hAnsi="宋体"/>
          <w:color w:val="auto"/>
          <w:sz w:val="24"/>
          <w:highlight w:val="none"/>
        </w:rPr>
        <w:t>Ⅱ类</w:t>
      </w:r>
      <w:r>
        <w:rPr>
          <w:rFonts w:hint="eastAsia" w:ascii="宋体" w:hAnsi="宋体"/>
          <w:color w:val="auto"/>
          <w:sz w:val="24"/>
          <w:highlight w:val="none"/>
          <w:lang w:val="en-US" w:eastAsia="zh-CN"/>
        </w:rPr>
        <w:t>各</w:t>
      </w:r>
      <w:r>
        <w:rPr>
          <w:rFonts w:hint="eastAsia" w:ascii="宋体" w:hAnsi="宋体"/>
          <w:color w:val="auto"/>
          <w:sz w:val="24"/>
          <w:highlight w:val="none"/>
        </w:rPr>
        <w:t>标段</w:t>
      </w:r>
      <w:r>
        <w:rPr>
          <w:rFonts w:hint="eastAsia" w:ascii="宋体" w:hAnsi="宋体"/>
          <w:color w:val="auto"/>
          <w:sz w:val="24"/>
          <w:highlight w:val="none"/>
          <w:lang w:val="en-US" w:eastAsia="zh-CN"/>
        </w:rPr>
        <w:t>第二信封</w:t>
      </w:r>
      <w:r>
        <w:rPr>
          <w:rFonts w:hint="eastAsia" w:ascii="宋体" w:hAnsi="宋体"/>
          <w:color w:val="auto"/>
          <w:sz w:val="24"/>
          <w:highlight w:val="none"/>
        </w:rPr>
        <w:t>准予开标的投标人数量，并采用随机抽取的方式确定</w:t>
      </w:r>
      <w:r>
        <w:rPr>
          <w:rFonts w:hint="eastAsia" w:ascii="宋体" w:hAnsi="宋体"/>
          <w:color w:val="auto"/>
          <w:sz w:val="24"/>
          <w:highlight w:val="none"/>
          <w:lang w:val="en-US" w:eastAsia="zh-CN"/>
        </w:rPr>
        <w:t>Ⅰ类、</w:t>
      </w:r>
      <w:r>
        <w:rPr>
          <w:rFonts w:hint="eastAsia" w:ascii="宋体" w:hAnsi="宋体"/>
          <w:color w:val="auto"/>
          <w:sz w:val="24"/>
          <w:highlight w:val="none"/>
        </w:rPr>
        <w:t>Ⅱ类每个标段的具体投标人</w:t>
      </w:r>
      <w:r>
        <w:rPr>
          <w:rFonts w:hint="eastAsia" w:ascii="宋体" w:hAnsi="宋体"/>
          <w:color w:val="auto"/>
          <w:sz w:val="24"/>
          <w:highlight w:val="none"/>
          <w:lang w:eastAsia="zh-CN"/>
        </w:rPr>
        <w:t>。</w:t>
      </w:r>
      <w:r>
        <w:rPr>
          <w:rFonts w:hint="eastAsia" w:ascii="宋体" w:hAnsi="宋体"/>
          <w:color w:val="auto"/>
          <w:sz w:val="24"/>
          <w:highlight w:val="none"/>
        </w:rPr>
        <w:t>若投标人数量不能平均分配，则标段金额较大的优先分配。一个投标人只开类别中1个标段的</w:t>
      </w:r>
      <w:r>
        <w:rPr>
          <w:rFonts w:hint="eastAsia" w:ascii="宋体" w:hAnsi="宋体"/>
          <w:color w:val="auto"/>
          <w:sz w:val="24"/>
          <w:highlight w:val="none"/>
          <w:lang w:val="en-US" w:eastAsia="zh-CN"/>
        </w:rPr>
        <w:t>第二信封</w:t>
      </w:r>
      <w:r>
        <w:rPr>
          <w:rFonts w:hint="eastAsia" w:ascii="宋体" w:hAnsi="宋体"/>
          <w:color w:val="auto"/>
          <w:sz w:val="24"/>
          <w:highlight w:val="none"/>
        </w:rPr>
        <w:t>投标文件，且同一类别有关联关系的家数超过标段数的，以上传第一信封时间</w:t>
      </w:r>
      <w:r>
        <w:rPr>
          <w:rFonts w:hint="eastAsia" w:ascii="宋体" w:hAnsi="宋体"/>
          <w:color w:val="auto"/>
          <w:sz w:val="24"/>
          <w:highlight w:val="none"/>
          <w:lang w:val="en-US" w:eastAsia="zh-CN"/>
        </w:rPr>
        <w:t>早</w:t>
      </w:r>
      <w:r>
        <w:rPr>
          <w:rFonts w:hint="eastAsia" w:ascii="宋体" w:hAnsi="宋体"/>
          <w:color w:val="auto"/>
          <w:sz w:val="24"/>
          <w:highlight w:val="none"/>
        </w:rPr>
        <w:t>的投标人优先。</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.9投标人及其关联关系单位如在本项目同期发布招标公告的国道108线忻州境内砂河至石岭关段改建工程第三方试验检测项目中投标，不得同时中标，以项目开标时间靠前的优先。</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.10投标人在“信用中国”网站平台中未被列入“严重失信主体名单”。</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.11投标人及其法定代表人、拟派总监理工程师近三年内（2019年6月1日至今）无行贿犯罪行为。</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val="en-US" w:eastAsia="zh-CN"/>
        </w:rPr>
        <w:t>2</w:t>
      </w:r>
      <w:r>
        <w:rPr>
          <w:rFonts w:hint="eastAsia" w:ascii="宋体" w:hAnsi="宋体"/>
          <w:color w:val="auto"/>
          <w:sz w:val="24"/>
          <w:highlight w:val="none"/>
        </w:rPr>
        <w:t>.12投标人在国家企业信用信息公示系统中未被列入严重违法失信企业名单</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560" w:firstLineChars="200"/>
        <w:jc w:val="left"/>
        <w:textAlignment w:val="auto"/>
        <w:outlineLvl w:val="9"/>
        <w:rPr>
          <w:rFonts w:hint="eastAsia" w:eastAsia="黑体" w:asciiTheme="minorHAnsi" w:hAnsiTheme="minorHAnsi" w:cstheme="minorBidi"/>
          <w:bCs/>
          <w:color w:val="auto"/>
          <w:kern w:val="2"/>
          <w:sz w:val="28"/>
          <w:szCs w:val="28"/>
          <w:highlight w:val="none"/>
          <w:lang w:val="en-US" w:eastAsia="zh-CN" w:bidi="ar-SA"/>
        </w:rPr>
      </w:pPr>
      <w:r>
        <w:rPr>
          <w:rFonts w:hint="eastAsia" w:eastAsia="黑体" w:asciiTheme="minorHAnsi" w:hAnsiTheme="minorHAnsi" w:cstheme="minorBidi"/>
          <w:bCs/>
          <w:color w:val="auto"/>
          <w:kern w:val="2"/>
          <w:sz w:val="28"/>
          <w:szCs w:val="28"/>
          <w:highlight w:val="none"/>
          <w:lang w:val="en-US" w:eastAsia="zh-CN" w:bidi="ar-SA"/>
        </w:rPr>
        <w:t>三、评标办法</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default" w:ascii="Times New Roman" w:hAnsi="Times New Roman" w:eastAsia="宋体" w:cs="Times New Roman"/>
          <w:color w:val="auto"/>
          <w:sz w:val="24"/>
          <w:highlight w:val="none"/>
          <w:lang w:val="en-US" w:eastAsia="zh-CN"/>
        </w:rPr>
      </w:pPr>
    </w:p>
    <w:p>
      <w:pPr>
        <w:spacing w:line="440" w:lineRule="exact"/>
        <w:jc w:val="center"/>
        <w:rPr>
          <w:rFonts w:asciiTheme="minorEastAsia" w:hAnsiTheme="minorEastAsia"/>
          <w:color w:val="auto"/>
          <w:sz w:val="24"/>
          <w:szCs w:val="24"/>
          <w:highlight w:val="none"/>
        </w:rPr>
      </w:pPr>
      <w:bookmarkStart w:id="2" w:name="_Toc396460495"/>
      <w:bookmarkStart w:id="3" w:name="_Toc25787429"/>
      <w:bookmarkStart w:id="4" w:name="_Toc396461663"/>
      <w:r>
        <w:rPr>
          <w:b w:val="0"/>
          <w:color w:val="auto"/>
          <w:sz w:val="28"/>
          <w:szCs w:val="28"/>
          <w:highlight w:val="none"/>
        </w:rPr>
        <w:t xml:space="preserve"> </w:t>
      </w:r>
      <w:bookmarkEnd w:id="2"/>
      <w:bookmarkEnd w:id="3"/>
      <w:bookmarkEnd w:id="4"/>
      <w:r>
        <w:rPr>
          <w:rFonts w:hint="eastAsia" w:asciiTheme="minorEastAsia" w:hAnsiTheme="minorEastAsia"/>
          <w:b/>
          <w:color w:val="auto"/>
          <w:sz w:val="30"/>
          <w:szCs w:val="30"/>
          <w:highlight w:val="none"/>
        </w:rPr>
        <w:t>评标办法（综合评分法）</w:t>
      </w:r>
    </w:p>
    <w:p>
      <w:pPr>
        <w:spacing w:line="440" w:lineRule="exact"/>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评标办法前附表</w:t>
      </w:r>
    </w:p>
    <w:tbl>
      <w:tblPr>
        <w:tblStyle w:val="8"/>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4"/>
        <w:gridCol w:w="1774"/>
        <w:gridCol w:w="7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exact"/>
          <w:tblHeader/>
          <w:jc w:val="center"/>
        </w:trPr>
        <w:tc>
          <w:tcPr>
            <w:tcW w:w="2738" w:type="dxa"/>
            <w:gridSpan w:val="2"/>
            <w:vAlign w:val="center"/>
          </w:tcPr>
          <w:p>
            <w:pPr>
              <w:spacing w:line="240" w:lineRule="atLeast"/>
              <w:ind w:left="105" w:leftChars="50"/>
              <w:jc w:val="center"/>
              <w:rPr>
                <w:rFonts w:asciiTheme="minorEastAsia" w:hAnsiTheme="minorEastAsia"/>
                <w:b/>
                <w:color w:val="auto"/>
                <w:szCs w:val="21"/>
                <w:highlight w:val="none"/>
              </w:rPr>
            </w:pPr>
            <w:r>
              <w:rPr>
                <w:rFonts w:asciiTheme="minorEastAsia" w:hAnsiTheme="minorEastAsia"/>
                <w:b/>
                <w:color w:val="auto"/>
                <w:szCs w:val="21"/>
                <w:highlight w:val="none"/>
              </w:rPr>
              <w:t>条款号</w:t>
            </w:r>
          </w:p>
        </w:tc>
        <w:tc>
          <w:tcPr>
            <w:tcW w:w="7018" w:type="dxa"/>
            <w:vAlign w:val="center"/>
          </w:tcPr>
          <w:p>
            <w:pPr>
              <w:spacing w:line="240" w:lineRule="atLeast"/>
              <w:ind w:left="105" w:leftChars="50" w:right="105" w:rightChars="50"/>
              <w:jc w:val="center"/>
              <w:rPr>
                <w:rFonts w:asciiTheme="minorEastAsia" w:hAnsiTheme="minorEastAsia"/>
                <w:b/>
                <w:color w:val="auto"/>
                <w:szCs w:val="21"/>
                <w:highlight w:val="none"/>
              </w:rPr>
            </w:pPr>
            <w:r>
              <w:rPr>
                <w:rFonts w:asciiTheme="minorEastAsia" w:hAnsiTheme="minorEastAsia"/>
                <w:b/>
                <w:color w:val="auto"/>
                <w:szCs w:val="21"/>
                <w:highlight w:val="none"/>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exact"/>
          <w:jc w:val="center"/>
        </w:trPr>
        <w:tc>
          <w:tcPr>
            <w:tcW w:w="964" w:type="dxa"/>
            <w:vAlign w:val="center"/>
          </w:tcPr>
          <w:p>
            <w:pPr>
              <w:spacing w:line="240" w:lineRule="atLeast"/>
              <w:ind w:left="105" w:leftChars="50"/>
              <w:jc w:val="center"/>
              <w:rPr>
                <w:rFonts w:asciiTheme="minorEastAsia" w:hAnsiTheme="minorEastAsia"/>
                <w:color w:val="auto"/>
                <w:szCs w:val="21"/>
                <w:highlight w:val="none"/>
              </w:rPr>
            </w:pPr>
            <w:r>
              <w:rPr>
                <w:rFonts w:hint="eastAsia" w:asciiTheme="minorEastAsia" w:hAnsiTheme="minorEastAsia"/>
                <w:color w:val="auto"/>
                <w:szCs w:val="21"/>
                <w:highlight w:val="none"/>
              </w:rPr>
              <w:t>1</w:t>
            </w:r>
          </w:p>
        </w:tc>
        <w:tc>
          <w:tcPr>
            <w:tcW w:w="1774" w:type="dxa"/>
            <w:vAlign w:val="center"/>
          </w:tcPr>
          <w:p>
            <w:pPr>
              <w:spacing w:line="240" w:lineRule="atLeast"/>
              <w:ind w:left="105" w:leftChars="50"/>
              <w:jc w:val="center"/>
              <w:rPr>
                <w:rFonts w:asciiTheme="minorEastAsia" w:hAnsiTheme="minorEastAsia"/>
                <w:color w:val="auto"/>
                <w:szCs w:val="21"/>
                <w:highlight w:val="none"/>
              </w:rPr>
            </w:pPr>
            <w:r>
              <w:rPr>
                <w:rFonts w:hint="eastAsia" w:asciiTheme="minorEastAsia" w:hAnsiTheme="minorEastAsia"/>
                <w:color w:val="auto"/>
                <w:szCs w:val="21"/>
                <w:highlight w:val="none"/>
              </w:rPr>
              <w:t>评标方法</w:t>
            </w:r>
          </w:p>
        </w:tc>
        <w:tc>
          <w:tcPr>
            <w:tcW w:w="7018" w:type="dxa"/>
            <w:vAlign w:val="center"/>
          </w:tcPr>
          <w:p>
            <w:pPr>
              <w:spacing w:line="240" w:lineRule="atLeast"/>
              <w:ind w:left="105" w:leftChars="50" w:right="105" w:rightChars="50"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本项目采用综合评分法。</w:t>
            </w:r>
          </w:p>
          <w:p>
            <w:pPr>
              <w:spacing w:line="240" w:lineRule="atLeast"/>
              <w:ind w:left="105" w:leftChars="50" w:right="105" w:rightChars="50"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综合评分相等时，评标委员会依次按照以下优先顺序推荐中标候选人：</w:t>
            </w:r>
          </w:p>
          <w:p>
            <w:pPr>
              <w:spacing w:line="240" w:lineRule="atLeast"/>
              <w:ind w:left="105" w:leftChars="50" w:right="105" w:rightChars="50"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a.评标价低的优先；</w:t>
            </w:r>
          </w:p>
          <w:p>
            <w:pPr>
              <w:spacing w:line="240" w:lineRule="atLeast"/>
              <w:ind w:left="105" w:leftChars="50" w:right="105" w:rightChars="50"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b.以信用评价高</w:t>
            </w:r>
            <w:r>
              <w:rPr>
                <w:rFonts w:hint="eastAsia"/>
                <w:color w:val="auto"/>
                <w:szCs w:val="21"/>
                <w:highlight w:val="none"/>
              </w:rPr>
              <w:t>的投标人优先</w:t>
            </w:r>
            <w:r>
              <w:rPr>
                <w:rFonts w:hint="eastAsia" w:asciiTheme="minorEastAsia" w:hAnsiTheme="minorEastAsia"/>
                <w:color w:val="auto"/>
                <w:szCs w:val="21"/>
                <w:highlight w:val="none"/>
              </w:rPr>
              <w:t>；</w:t>
            </w:r>
          </w:p>
          <w:p>
            <w:pPr>
              <w:spacing w:line="240" w:lineRule="atLeast"/>
              <w:ind w:left="105" w:leftChars="50" w:right="105" w:rightChars="50"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c.按规定上传电子投标文件较早的投标人优先。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964" w:type="dxa"/>
            <w:vAlign w:val="center"/>
          </w:tcPr>
          <w:p>
            <w:pPr>
              <w:spacing w:line="240" w:lineRule="atLeast"/>
              <w:ind w:left="105" w:leftChars="50"/>
              <w:jc w:val="left"/>
              <w:rPr>
                <w:rFonts w:asciiTheme="minorEastAsia" w:hAnsiTheme="minorEastAsia"/>
                <w:color w:val="auto"/>
                <w:szCs w:val="21"/>
                <w:highlight w:val="none"/>
              </w:rPr>
            </w:pPr>
            <w:r>
              <w:rPr>
                <w:rFonts w:asciiTheme="minorEastAsia" w:hAnsiTheme="minorEastAsia"/>
                <w:color w:val="auto"/>
                <w:szCs w:val="21"/>
                <w:highlight w:val="none"/>
              </w:rPr>
              <w:t>2.1.1</w:t>
            </w:r>
          </w:p>
          <w:p>
            <w:pPr>
              <w:spacing w:line="240" w:lineRule="atLeast"/>
              <w:ind w:left="105" w:leftChars="50"/>
              <w:jc w:val="left"/>
              <w:rPr>
                <w:rFonts w:asciiTheme="minorEastAsia" w:hAnsiTheme="minorEastAsia"/>
                <w:color w:val="auto"/>
                <w:szCs w:val="21"/>
                <w:highlight w:val="none"/>
              </w:rPr>
            </w:pPr>
            <w:r>
              <w:rPr>
                <w:rFonts w:asciiTheme="minorEastAsia" w:hAnsiTheme="minorEastAsia"/>
                <w:color w:val="auto"/>
                <w:szCs w:val="21"/>
                <w:highlight w:val="none"/>
              </w:rPr>
              <w:t>2.1.3</w:t>
            </w:r>
          </w:p>
        </w:tc>
        <w:tc>
          <w:tcPr>
            <w:tcW w:w="1774" w:type="dxa"/>
            <w:vAlign w:val="center"/>
          </w:tcPr>
          <w:p>
            <w:pPr>
              <w:snapToGrid w:val="0"/>
              <w:spacing w:line="240" w:lineRule="atLeast"/>
              <w:contextualSpacing/>
              <w:jc w:val="center"/>
              <w:rPr>
                <w:rFonts w:asciiTheme="minorEastAsia" w:hAnsiTheme="minorEastAsia"/>
                <w:color w:val="auto"/>
                <w:szCs w:val="21"/>
                <w:highlight w:val="none"/>
              </w:rPr>
            </w:pPr>
            <w:r>
              <w:rPr>
                <w:rFonts w:asciiTheme="minorEastAsia" w:hAnsiTheme="minorEastAsia"/>
                <w:color w:val="auto"/>
                <w:szCs w:val="21"/>
                <w:highlight w:val="none"/>
              </w:rPr>
              <w:t>形式评审</w:t>
            </w:r>
          </w:p>
          <w:p>
            <w:pPr>
              <w:snapToGrid w:val="0"/>
              <w:spacing w:line="240" w:lineRule="atLeast"/>
              <w:contextualSpacing/>
              <w:jc w:val="center"/>
              <w:rPr>
                <w:rFonts w:asciiTheme="minorEastAsia" w:hAnsiTheme="minorEastAsia"/>
                <w:color w:val="auto"/>
                <w:szCs w:val="21"/>
                <w:highlight w:val="none"/>
              </w:rPr>
            </w:pPr>
            <w:r>
              <w:rPr>
                <w:rFonts w:asciiTheme="minorEastAsia" w:hAnsiTheme="minorEastAsia"/>
                <w:color w:val="auto"/>
                <w:szCs w:val="21"/>
                <w:highlight w:val="none"/>
              </w:rPr>
              <w:t>与响应性</w:t>
            </w:r>
          </w:p>
          <w:p>
            <w:pPr>
              <w:snapToGrid w:val="0"/>
              <w:spacing w:line="240" w:lineRule="atLeast"/>
              <w:contextualSpacing/>
              <w:jc w:val="center"/>
              <w:rPr>
                <w:rFonts w:asciiTheme="minorEastAsia" w:hAnsiTheme="minorEastAsia"/>
                <w:color w:val="auto"/>
                <w:szCs w:val="21"/>
                <w:highlight w:val="none"/>
              </w:rPr>
            </w:pPr>
            <w:r>
              <w:rPr>
                <w:rFonts w:asciiTheme="minorEastAsia" w:hAnsiTheme="minorEastAsia"/>
                <w:color w:val="auto"/>
                <w:szCs w:val="21"/>
                <w:highlight w:val="none"/>
              </w:rPr>
              <w:t>评审标准</w:t>
            </w:r>
          </w:p>
          <w:p>
            <w:pPr>
              <w:snapToGrid w:val="0"/>
              <w:spacing w:line="240" w:lineRule="atLeast"/>
              <w:contextualSpacing/>
              <w:jc w:val="center"/>
              <w:rPr>
                <w:rFonts w:asciiTheme="minorEastAsia" w:hAnsiTheme="minorEastAsia"/>
                <w:color w:val="auto"/>
                <w:szCs w:val="21"/>
                <w:highlight w:val="none"/>
              </w:rPr>
            </w:pPr>
            <w:r>
              <w:rPr>
                <w:rFonts w:hint="eastAsia" w:asciiTheme="minorEastAsia" w:hAnsiTheme="minorEastAsia"/>
                <w:b/>
                <w:color w:val="auto"/>
                <w:szCs w:val="21"/>
                <w:highlight w:val="none"/>
              </w:rPr>
              <w:t>注：适用于第一信封（商务及技术文件）</w:t>
            </w:r>
          </w:p>
        </w:tc>
        <w:tc>
          <w:tcPr>
            <w:tcW w:w="7018" w:type="dxa"/>
            <w:vAlign w:val="center"/>
          </w:tcPr>
          <w:p>
            <w:pPr>
              <w:spacing w:line="240" w:lineRule="atLeast"/>
              <w:ind w:left="105" w:leftChars="50" w:right="105" w:rightChars="50"/>
              <w:rPr>
                <w:color w:val="auto"/>
                <w:highlight w:val="none"/>
              </w:rPr>
            </w:pPr>
            <w:r>
              <w:rPr>
                <w:rFonts w:hint="eastAsia"/>
                <w:color w:val="auto"/>
                <w:highlight w:val="none"/>
              </w:rPr>
              <w:t>(1)投标文件按照招标文件规定的格式、内容填写，字迹清晰可辨：</w:t>
            </w:r>
          </w:p>
          <w:p>
            <w:pPr>
              <w:spacing w:line="240" w:lineRule="atLeast"/>
              <w:ind w:left="105" w:leftChars="50" w:right="105" w:rightChars="50" w:firstLine="105" w:firstLineChars="50"/>
              <w:rPr>
                <w:color w:val="auto"/>
                <w:highlight w:val="none"/>
              </w:rPr>
            </w:pPr>
            <w:r>
              <w:rPr>
                <w:rFonts w:hint="eastAsia"/>
                <w:color w:val="auto"/>
                <w:highlight w:val="none"/>
              </w:rPr>
              <w:t>a.投标函按招标文件规定填报了项目名称、标段号、补遗书编号（如有）、监理服务周期、质量目标、安全目标、总监理工程师；</w:t>
            </w:r>
          </w:p>
          <w:p>
            <w:pPr>
              <w:spacing w:line="240" w:lineRule="atLeast"/>
              <w:ind w:left="105" w:leftChars="50" w:right="105" w:rightChars="50" w:firstLine="105" w:firstLineChars="50"/>
              <w:rPr>
                <w:color w:val="auto"/>
                <w:highlight w:val="none"/>
              </w:rPr>
            </w:pPr>
            <w:r>
              <w:rPr>
                <w:rFonts w:hint="eastAsia"/>
                <w:color w:val="auto"/>
                <w:highlight w:val="none"/>
              </w:rPr>
              <w:t>b．投标文件组成齐全完整，内容均按规定填写；</w:t>
            </w:r>
          </w:p>
          <w:p>
            <w:pPr>
              <w:spacing w:line="240" w:lineRule="atLeast"/>
              <w:ind w:left="105" w:leftChars="50" w:right="105" w:rightChars="50"/>
              <w:rPr>
                <w:color w:val="auto"/>
                <w:highlight w:val="none"/>
              </w:rPr>
            </w:pPr>
            <w:r>
              <w:rPr>
                <w:rFonts w:hint="eastAsia"/>
                <w:color w:val="auto"/>
                <w:highlight w:val="none"/>
              </w:rPr>
              <w:t>(2)投标文件上法定代表人或其授权代理人的签字、投标人的单位章盖章齐全，符合招标文件规定；</w:t>
            </w:r>
          </w:p>
          <w:p>
            <w:pPr>
              <w:spacing w:line="240" w:lineRule="atLeast"/>
              <w:ind w:left="105" w:leftChars="50" w:right="105" w:rightChars="50" w:firstLine="105" w:firstLineChars="50"/>
              <w:rPr>
                <w:color w:val="auto"/>
                <w:highlight w:val="none"/>
              </w:rPr>
            </w:pPr>
            <w:r>
              <w:rPr>
                <w:rFonts w:hint="eastAsia"/>
                <w:color w:val="auto"/>
                <w:highlight w:val="none"/>
              </w:rPr>
              <w:t>(3)投标人按照招标文件的规定提供了投标保证金：</w:t>
            </w:r>
          </w:p>
          <w:p>
            <w:pPr>
              <w:spacing w:line="240" w:lineRule="atLeast"/>
              <w:ind w:left="105" w:leftChars="50" w:right="105" w:rightChars="50" w:firstLine="105" w:firstLineChars="50"/>
              <w:rPr>
                <w:color w:val="auto"/>
                <w:highlight w:val="none"/>
              </w:rPr>
            </w:pPr>
            <w:r>
              <w:rPr>
                <w:rFonts w:hint="eastAsia"/>
                <w:color w:val="auto"/>
                <w:highlight w:val="none"/>
              </w:rPr>
              <w:t>a.投标保证金金额符合招标文件规定的金额，且投标保证金有效期不少于投标有效期；</w:t>
            </w:r>
          </w:p>
          <w:p>
            <w:pPr>
              <w:spacing w:line="240" w:lineRule="atLeast"/>
              <w:ind w:left="105" w:leftChars="50" w:right="105" w:rightChars="50" w:firstLine="105" w:firstLineChars="50"/>
              <w:rPr>
                <w:color w:val="auto"/>
                <w:highlight w:val="none"/>
              </w:rPr>
            </w:pPr>
            <w:r>
              <w:rPr>
                <w:rFonts w:hint="eastAsia"/>
                <w:color w:val="auto"/>
                <w:highlight w:val="none"/>
              </w:rPr>
              <w:t>b.若投标保证金采用现金或支票形式提交，投标人需在递交投标文件截止时间之前，将投标保证金由投标人的基本账户转入招标人指定账户；</w:t>
            </w:r>
          </w:p>
          <w:p>
            <w:pPr>
              <w:spacing w:line="240" w:lineRule="atLeast"/>
              <w:ind w:left="105" w:leftChars="50" w:right="105" w:rightChars="50" w:firstLine="105" w:firstLineChars="50"/>
              <w:rPr>
                <w:color w:val="auto"/>
                <w:highlight w:val="none"/>
              </w:rPr>
            </w:pPr>
            <w:r>
              <w:rPr>
                <w:rFonts w:hint="eastAsia"/>
                <w:color w:val="auto"/>
                <w:highlight w:val="none"/>
              </w:rPr>
              <w:t>c.若投标保证金采用保函形式提交，开具保函的金融机构、担保公司均满足招标文件要求，且在递交投标文件截止时间之前向招标人提交了投标保函原件。</w:t>
            </w:r>
          </w:p>
          <w:p>
            <w:pPr>
              <w:spacing w:line="240" w:lineRule="atLeast"/>
              <w:ind w:left="105" w:leftChars="50" w:right="105" w:rightChars="50" w:firstLine="105" w:firstLineChars="50"/>
              <w:rPr>
                <w:color w:val="auto"/>
                <w:highlight w:val="none"/>
              </w:rPr>
            </w:pPr>
            <w:r>
              <w:rPr>
                <w:rFonts w:hint="eastAsia"/>
                <w:color w:val="auto"/>
                <w:highlight w:val="none"/>
              </w:rPr>
              <w:t>(4)投标人法定代表人若亲自签署投标文件的，提供了法定代表人身份证明，并在法定代表人身份证明上签署CA数字电子名章；</w:t>
            </w:r>
          </w:p>
          <w:p>
            <w:pPr>
              <w:spacing w:line="240" w:lineRule="atLeast"/>
              <w:ind w:left="105" w:leftChars="50" w:right="105" w:rightChars="50" w:firstLine="105" w:firstLineChars="50"/>
              <w:rPr>
                <w:color w:val="auto"/>
                <w:highlight w:val="none"/>
              </w:rPr>
            </w:pPr>
            <w:r>
              <w:rPr>
                <w:rFonts w:hint="eastAsia"/>
                <w:color w:val="auto"/>
                <w:highlight w:val="none"/>
              </w:rPr>
              <w:t>(5)投标人未以联合体形式投标；</w:t>
            </w:r>
          </w:p>
          <w:p>
            <w:pPr>
              <w:spacing w:line="240" w:lineRule="atLeast"/>
              <w:ind w:left="105" w:leftChars="50" w:right="105" w:rightChars="50" w:firstLine="105" w:firstLineChars="50"/>
              <w:rPr>
                <w:color w:val="auto"/>
                <w:highlight w:val="none"/>
              </w:rPr>
            </w:pPr>
            <w:r>
              <w:rPr>
                <w:rFonts w:hint="eastAsia"/>
                <w:color w:val="auto"/>
                <w:highlight w:val="none"/>
              </w:rPr>
              <w:t>(6)同一投标人未提交两个以上不同的投标文件，但招标文件要求提交备选投标的除外。</w:t>
            </w:r>
          </w:p>
          <w:p>
            <w:pPr>
              <w:spacing w:line="240" w:lineRule="atLeast"/>
              <w:ind w:left="105" w:leftChars="50" w:right="105" w:rightChars="50"/>
              <w:rPr>
                <w:color w:val="auto"/>
                <w:highlight w:val="none"/>
              </w:rPr>
            </w:pPr>
            <w:r>
              <w:rPr>
                <w:rFonts w:hint="eastAsia"/>
                <w:color w:val="auto"/>
                <w:highlight w:val="none"/>
              </w:rPr>
              <w:t>(7)投标文件中未出现有关投标报价的内容。</w:t>
            </w:r>
          </w:p>
          <w:p>
            <w:pPr>
              <w:spacing w:line="240" w:lineRule="atLeast"/>
              <w:ind w:left="105" w:leftChars="50" w:right="105" w:rightChars="50"/>
              <w:rPr>
                <w:color w:val="auto"/>
                <w:highlight w:val="none"/>
                <w:lang w:val="zh-CN"/>
              </w:rPr>
            </w:pPr>
            <w:r>
              <w:rPr>
                <w:rFonts w:hint="eastAsia"/>
                <w:color w:val="auto"/>
                <w:highlight w:val="none"/>
              </w:rPr>
              <w:t>(8)</w:t>
            </w:r>
            <w:r>
              <w:rPr>
                <w:rFonts w:hint="eastAsia"/>
                <w:color w:val="auto"/>
                <w:highlight w:val="none"/>
                <w:lang w:val="zh-CN"/>
              </w:rPr>
              <w:t>投标文件载明的招标项目完成期限未超过招标文件规定的时限。</w:t>
            </w:r>
          </w:p>
          <w:p>
            <w:pPr>
              <w:spacing w:line="240" w:lineRule="atLeast"/>
              <w:ind w:left="105" w:leftChars="50" w:right="105" w:rightChars="50"/>
              <w:rPr>
                <w:color w:val="auto"/>
                <w:highlight w:val="none"/>
                <w:lang w:val="zh-CN"/>
              </w:rPr>
            </w:pPr>
            <w:r>
              <w:rPr>
                <w:rFonts w:hint="eastAsia"/>
                <w:color w:val="auto"/>
                <w:highlight w:val="none"/>
              </w:rPr>
              <w:t>(9)</w:t>
            </w:r>
            <w:r>
              <w:rPr>
                <w:rFonts w:hint="eastAsia"/>
                <w:color w:val="auto"/>
                <w:highlight w:val="none"/>
                <w:lang w:val="zh-CN"/>
              </w:rPr>
              <w:t>投标文件对招标文件的实质性要求和条件作出响应，且未附招标人不能接受的条件。</w:t>
            </w:r>
          </w:p>
          <w:p>
            <w:pPr>
              <w:spacing w:line="240" w:lineRule="atLeast"/>
              <w:ind w:left="105" w:leftChars="50" w:right="105" w:rightChars="50"/>
              <w:rPr>
                <w:color w:val="auto"/>
                <w:highlight w:val="none"/>
                <w:lang w:val="zh-CN"/>
              </w:rPr>
            </w:pPr>
            <w:r>
              <w:rPr>
                <w:rFonts w:hint="eastAsia"/>
                <w:color w:val="auto"/>
                <w:highlight w:val="none"/>
              </w:rPr>
              <w:t>(10)权利义务符合招标文件规定：</w:t>
            </w:r>
          </w:p>
          <w:p>
            <w:pPr>
              <w:spacing w:line="240" w:lineRule="atLeast"/>
              <w:ind w:left="105" w:leftChars="50" w:right="105" w:rightChars="50" w:firstLine="105" w:firstLineChars="50"/>
              <w:rPr>
                <w:color w:val="auto"/>
                <w:highlight w:val="none"/>
              </w:rPr>
            </w:pPr>
            <w:r>
              <w:rPr>
                <w:rFonts w:hint="eastAsia"/>
                <w:color w:val="auto"/>
                <w:highlight w:val="none"/>
              </w:rPr>
              <w:t>a．投标人应接受招标文件规定的风险划分原则，未提出新的风险划分办法；</w:t>
            </w:r>
          </w:p>
          <w:p>
            <w:pPr>
              <w:spacing w:line="240" w:lineRule="atLeast"/>
              <w:ind w:left="105" w:leftChars="50" w:right="105" w:rightChars="50"/>
              <w:rPr>
                <w:color w:val="auto"/>
                <w:highlight w:val="none"/>
                <w:lang w:val="zh-CN"/>
              </w:rPr>
            </w:pPr>
            <w:r>
              <w:rPr>
                <w:rFonts w:hint="eastAsia"/>
                <w:color w:val="auto"/>
                <w:highlight w:val="none"/>
              </w:rPr>
              <w:t>b．</w:t>
            </w:r>
            <w:r>
              <w:rPr>
                <w:rFonts w:hint="eastAsia"/>
                <w:color w:val="auto"/>
                <w:highlight w:val="none"/>
                <w:lang w:val="zh-CN"/>
              </w:rPr>
              <w:t>投标人未增加委托人的责任范围，或减少投标人义务；</w:t>
            </w:r>
          </w:p>
          <w:p>
            <w:pPr>
              <w:spacing w:line="240" w:lineRule="atLeast"/>
              <w:ind w:left="105" w:leftChars="50" w:right="105" w:rightChars="50"/>
              <w:rPr>
                <w:color w:val="auto"/>
                <w:highlight w:val="none"/>
                <w:lang w:val="zh-CN"/>
              </w:rPr>
            </w:pPr>
            <w:r>
              <w:rPr>
                <w:rFonts w:hint="eastAsia"/>
                <w:color w:val="auto"/>
                <w:highlight w:val="none"/>
                <w:lang w:val="zh-CN"/>
              </w:rPr>
              <w:t>c．投标人未提出不同的工程验收、计量、支付办法；</w:t>
            </w:r>
          </w:p>
          <w:p>
            <w:pPr>
              <w:spacing w:line="240" w:lineRule="atLeast"/>
              <w:ind w:left="105" w:leftChars="50" w:right="105" w:rightChars="50"/>
              <w:rPr>
                <w:color w:val="auto"/>
                <w:highlight w:val="none"/>
                <w:lang w:val="zh-CN"/>
              </w:rPr>
            </w:pPr>
            <w:r>
              <w:rPr>
                <w:rFonts w:hint="eastAsia"/>
                <w:color w:val="auto"/>
                <w:highlight w:val="none"/>
                <w:lang w:val="zh-CN"/>
              </w:rPr>
              <w:t>d．投标人对合同纠纷、事故处理办法未提出异议；</w:t>
            </w:r>
          </w:p>
          <w:p>
            <w:pPr>
              <w:spacing w:line="240" w:lineRule="atLeast"/>
              <w:ind w:left="105" w:leftChars="50" w:right="105" w:rightChars="50"/>
              <w:rPr>
                <w:color w:val="auto"/>
                <w:highlight w:val="none"/>
                <w:lang w:val="zh-CN"/>
              </w:rPr>
            </w:pPr>
            <w:r>
              <w:rPr>
                <w:rFonts w:hint="eastAsia"/>
                <w:color w:val="auto"/>
                <w:highlight w:val="none"/>
                <w:lang w:val="zh-CN"/>
              </w:rPr>
              <w:t>e．投标人在投标活动中无欺诈行为；</w:t>
            </w:r>
          </w:p>
          <w:p>
            <w:pPr>
              <w:spacing w:line="240" w:lineRule="atLeast"/>
              <w:ind w:left="105" w:leftChars="50" w:right="105" w:rightChars="50"/>
              <w:rPr>
                <w:color w:val="auto"/>
                <w:highlight w:val="none"/>
                <w:lang w:val="zh-CN"/>
              </w:rPr>
            </w:pPr>
            <w:r>
              <w:rPr>
                <w:rFonts w:hint="eastAsia"/>
                <w:color w:val="auto"/>
                <w:highlight w:val="none"/>
                <w:lang w:val="zh-CN"/>
              </w:rPr>
              <w:t>f．投标人未对合同条款有重要保留。</w:t>
            </w:r>
          </w:p>
          <w:p>
            <w:pPr>
              <w:spacing w:line="240" w:lineRule="atLeast"/>
              <w:ind w:left="105" w:leftChars="50" w:right="105" w:rightChars="50"/>
              <w:rPr>
                <w:color w:val="auto"/>
                <w:highlight w:val="none"/>
              </w:rPr>
            </w:pPr>
            <w:r>
              <w:rPr>
                <w:rFonts w:hint="eastAsia"/>
                <w:color w:val="auto"/>
                <w:highlight w:val="none"/>
                <w:lang w:val="zh-CN"/>
              </w:rPr>
              <w:t>（1</w:t>
            </w:r>
            <w:r>
              <w:rPr>
                <w:rFonts w:hint="eastAsia"/>
                <w:color w:val="auto"/>
                <w:highlight w:val="none"/>
              </w:rPr>
              <w:t>1</w:t>
            </w:r>
            <w:r>
              <w:rPr>
                <w:rFonts w:hint="eastAsia"/>
                <w:color w:val="auto"/>
                <w:highlight w:val="none"/>
                <w:lang w:val="zh-CN"/>
              </w:rPr>
              <w:t>）电子投标文件符合招</w:t>
            </w:r>
            <w:r>
              <w:rPr>
                <w:rFonts w:hint="eastAsia"/>
                <w:color w:val="auto"/>
                <w:highlight w:val="none"/>
              </w:rPr>
              <w:t>标文件规定且不存在投标人须知第10.8款第一条规定的情形。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8" w:hRule="atLeast"/>
          <w:jc w:val="center"/>
        </w:trPr>
        <w:tc>
          <w:tcPr>
            <w:tcW w:w="964" w:type="dxa"/>
            <w:vAlign w:val="center"/>
          </w:tcPr>
          <w:p>
            <w:pPr>
              <w:spacing w:line="240" w:lineRule="atLeast"/>
              <w:ind w:left="105" w:leftChars="50" w:right="105" w:rightChars="50"/>
              <w:rPr>
                <w:rFonts w:asciiTheme="minorEastAsia" w:hAnsiTheme="minorEastAsia"/>
                <w:color w:val="auto"/>
                <w:szCs w:val="21"/>
                <w:highlight w:val="none"/>
              </w:rPr>
            </w:pPr>
            <w:r>
              <w:rPr>
                <w:rFonts w:hint="eastAsia" w:asciiTheme="minorEastAsia" w:hAnsiTheme="minorEastAsia"/>
                <w:color w:val="auto"/>
                <w:szCs w:val="21"/>
                <w:highlight w:val="none"/>
              </w:rPr>
              <w:t>2.1.2</w:t>
            </w:r>
          </w:p>
        </w:tc>
        <w:tc>
          <w:tcPr>
            <w:tcW w:w="1774" w:type="dxa"/>
            <w:vAlign w:val="center"/>
          </w:tcPr>
          <w:p>
            <w:pPr>
              <w:spacing w:line="240" w:lineRule="atLeast"/>
              <w:ind w:right="105" w:rightChars="50"/>
              <w:jc w:val="center"/>
              <w:rPr>
                <w:rFonts w:asciiTheme="minorEastAsia" w:hAnsiTheme="minorEastAsia"/>
                <w:color w:val="auto"/>
                <w:szCs w:val="21"/>
                <w:highlight w:val="none"/>
              </w:rPr>
            </w:pPr>
            <w:r>
              <w:rPr>
                <w:rFonts w:hint="eastAsia" w:asciiTheme="minorEastAsia" w:hAnsiTheme="minorEastAsia"/>
                <w:color w:val="auto"/>
                <w:szCs w:val="21"/>
                <w:highlight w:val="none"/>
              </w:rPr>
              <w:t>资格评审标准</w:t>
            </w:r>
          </w:p>
          <w:p>
            <w:pPr>
              <w:spacing w:line="240" w:lineRule="atLeast"/>
              <w:ind w:left="105" w:leftChars="50" w:right="105" w:rightChars="50"/>
              <w:rPr>
                <w:rFonts w:asciiTheme="minorEastAsia" w:hAnsiTheme="minorEastAsia"/>
                <w:color w:val="auto"/>
                <w:szCs w:val="21"/>
                <w:highlight w:val="none"/>
              </w:rPr>
            </w:pPr>
            <w:r>
              <w:rPr>
                <w:rFonts w:hint="eastAsia" w:asciiTheme="minorEastAsia" w:hAnsiTheme="minorEastAsia"/>
                <w:b/>
                <w:color w:val="auto"/>
                <w:szCs w:val="21"/>
                <w:highlight w:val="none"/>
              </w:rPr>
              <w:t>注：适用于第一信封（商务及技术文件）</w:t>
            </w:r>
          </w:p>
        </w:tc>
        <w:tc>
          <w:tcPr>
            <w:tcW w:w="7018" w:type="dxa"/>
            <w:vAlign w:val="center"/>
          </w:tcPr>
          <w:p>
            <w:pPr>
              <w:spacing w:line="240" w:lineRule="atLeast"/>
              <w:ind w:left="105" w:leftChars="50" w:right="105" w:rightChars="50"/>
              <w:rPr>
                <w:color w:val="auto"/>
                <w:highlight w:val="none"/>
              </w:rPr>
            </w:pPr>
            <w:r>
              <w:rPr>
                <w:rFonts w:hint="eastAsia"/>
                <w:color w:val="auto"/>
                <w:highlight w:val="none"/>
              </w:rPr>
              <w:t>(1)投标人具备有效的营业执照、资质证书、基本账户开户许可证或银行基本存款账户信息，并且合法有效；</w:t>
            </w:r>
          </w:p>
          <w:p>
            <w:pPr>
              <w:spacing w:line="240" w:lineRule="atLeast"/>
              <w:ind w:left="105" w:leftChars="50" w:right="105" w:rightChars="50"/>
              <w:rPr>
                <w:color w:val="auto"/>
                <w:highlight w:val="none"/>
              </w:rPr>
            </w:pPr>
            <w:r>
              <w:rPr>
                <w:rFonts w:hint="eastAsia"/>
                <w:color w:val="auto"/>
                <w:highlight w:val="none"/>
              </w:rPr>
              <w:t>(2)投标人的资质符合招标文件</w:t>
            </w:r>
            <w:r>
              <w:rPr>
                <w:rFonts w:hint="eastAsia"/>
                <w:color w:val="auto"/>
                <w:highlight w:val="none"/>
                <w:lang w:val="en-US" w:eastAsia="zh-CN"/>
              </w:rPr>
              <w:t>附录1</w:t>
            </w:r>
            <w:r>
              <w:rPr>
                <w:rFonts w:hint="eastAsia"/>
                <w:color w:val="auto"/>
                <w:highlight w:val="none"/>
              </w:rPr>
              <w:t>规定；</w:t>
            </w:r>
          </w:p>
          <w:p>
            <w:pPr>
              <w:spacing w:line="240" w:lineRule="atLeast"/>
              <w:ind w:left="105" w:leftChars="50" w:right="105" w:rightChars="50"/>
              <w:rPr>
                <w:color w:val="auto"/>
                <w:highlight w:val="none"/>
              </w:rPr>
            </w:pPr>
            <w:r>
              <w:rPr>
                <w:rFonts w:hint="eastAsia"/>
                <w:color w:val="auto"/>
                <w:highlight w:val="none"/>
              </w:rPr>
              <w:t>(3)投标人的业绩符合招标文件</w:t>
            </w:r>
            <w:r>
              <w:rPr>
                <w:rFonts w:hint="eastAsia"/>
                <w:color w:val="auto"/>
                <w:highlight w:val="none"/>
                <w:lang w:val="en-US" w:eastAsia="zh-CN"/>
              </w:rPr>
              <w:t>附录2</w:t>
            </w:r>
            <w:r>
              <w:rPr>
                <w:rFonts w:hint="eastAsia"/>
                <w:color w:val="auto"/>
                <w:highlight w:val="none"/>
              </w:rPr>
              <w:t>规定；</w:t>
            </w:r>
          </w:p>
          <w:p>
            <w:pPr>
              <w:spacing w:line="240" w:lineRule="atLeast"/>
              <w:ind w:left="105" w:leftChars="50" w:right="105" w:rightChars="50"/>
              <w:rPr>
                <w:rFonts w:hint="eastAsia" w:eastAsiaTheme="minorEastAsia"/>
                <w:color w:val="auto"/>
                <w:highlight w:val="none"/>
                <w:lang w:eastAsia="zh-CN"/>
              </w:rPr>
            </w:pPr>
            <w:r>
              <w:rPr>
                <w:rFonts w:hint="eastAsia"/>
                <w:color w:val="auto"/>
                <w:highlight w:val="none"/>
              </w:rPr>
              <w:t>(4)投标人的信誉符合招标文件</w:t>
            </w:r>
            <w:r>
              <w:rPr>
                <w:rFonts w:hint="eastAsia"/>
                <w:color w:val="auto"/>
                <w:highlight w:val="none"/>
                <w:lang w:val="en-US" w:eastAsia="zh-CN"/>
              </w:rPr>
              <w:t>附录3</w:t>
            </w:r>
            <w:r>
              <w:rPr>
                <w:rFonts w:hint="eastAsia"/>
                <w:color w:val="auto"/>
                <w:highlight w:val="none"/>
              </w:rPr>
              <w:t>规定</w:t>
            </w:r>
            <w:r>
              <w:rPr>
                <w:rFonts w:hint="eastAsia"/>
                <w:color w:val="auto"/>
                <w:highlight w:val="none"/>
                <w:lang w:eastAsia="zh-CN"/>
              </w:rPr>
              <w:t>；</w:t>
            </w:r>
          </w:p>
          <w:p>
            <w:pPr>
              <w:spacing w:line="240" w:lineRule="atLeast"/>
              <w:ind w:left="105" w:leftChars="50" w:right="105" w:rightChars="50"/>
              <w:rPr>
                <w:color w:val="auto"/>
                <w:highlight w:val="none"/>
              </w:rPr>
            </w:pPr>
            <w:r>
              <w:rPr>
                <w:rFonts w:hint="eastAsia"/>
                <w:color w:val="auto"/>
                <w:highlight w:val="none"/>
              </w:rPr>
              <w:t>(5)投标人的总监理工程师资格、在岗情况符合招标文件</w:t>
            </w:r>
            <w:r>
              <w:rPr>
                <w:rFonts w:hint="eastAsia"/>
                <w:color w:val="auto"/>
                <w:highlight w:val="none"/>
                <w:lang w:val="en-US" w:eastAsia="zh-CN"/>
              </w:rPr>
              <w:t>附录4</w:t>
            </w:r>
            <w:r>
              <w:rPr>
                <w:rFonts w:hint="eastAsia"/>
                <w:color w:val="auto"/>
                <w:highlight w:val="none"/>
              </w:rPr>
              <w:t>规定；</w:t>
            </w:r>
          </w:p>
          <w:p>
            <w:pPr>
              <w:spacing w:line="240" w:lineRule="atLeast"/>
              <w:ind w:left="105" w:leftChars="50" w:right="105" w:rightChars="50"/>
              <w:rPr>
                <w:color w:val="auto"/>
                <w:highlight w:val="none"/>
              </w:rPr>
            </w:pPr>
            <w:r>
              <w:rPr>
                <w:rFonts w:hint="eastAsia"/>
                <w:color w:val="auto"/>
                <w:highlight w:val="none"/>
              </w:rPr>
              <w:t>(6)投标人的其他要求符合招标文件规定；</w:t>
            </w:r>
          </w:p>
          <w:p>
            <w:pPr>
              <w:autoSpaceDE w:val="0"/>
              <w:autoSpaceDN w:val="0"/>
              <w:adjustRightInd w:val="0"/>
              <w:spacing w:line="240" w:lineRule="atLeast"/>
              <w:ind w:left="105" w:leftChars="50" w:right="105" w:rightChars="50"/>
              <w:rPr>
                <w:color w:val="auto"/>
                <w:highlight w:val="none"/>
              </w:rPr>
            </w:pPr>
            <w:r>
              <w:rPr>
                <w:rFonts w:hint="eastAsia"/>
                <w:color w:val="auto"/>
                <w:highlight w:val="none"/>
              </w:rPr>
              <w:t>(7)投标人不存在第二章“投标人须知”第1.4.3和1.4.4项规定的任何一种情形。</w:t>
            </w:r>
          </w:p>
          <w:p>
            <w:pPr>
              <w:autoSpaceDE w:val="0"/>
              <w:autoSpaceDN w:val="0"/>
              <w:adjustRightInd w:val="0"/>
              <w:spacing w:line="240" w:lineRule="atLeast"/>
              <w:ind w:left="105" w:leftChars="50" w:right="105" w:rightChars="50"/>
              <w:rPr>
                <w:color w:val="auto"/>
                <w:highlight w:val="none"/>
              </w:rPr>
            </w:pPr>
            <w:r>
              <w:rPr>
                <w:rFonts w:hint="eastAsia"/>
                <w:color w:val="auto"/>
                <w:highlight w:val="none"/>
              </w:rPr>
              <w:t>(8)投标人符合第二章“投标人须知”第1.4.5规定。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3" w:hRule="atLeast"/>
          <w:jc w:val="center"/>
        </w:trPr>
        <w:tc>
          <w:tcPr>
            <w:tcW w:w="964" w:type="dxa"/>
            <w:vAlign w:val="center"/>
          </w:tcPr>
          <w:p>
            <w:pPr>
              <w:spacing w:line="240" w:lineRule="atLeast"/>
              <w:ind w:left="105" w:leftChars="50" w:right="105" w:rightChars="50"/>
              <w:jc w:val="center"/>
              <w:rPr>
                <w:rFonts w:asciiTheme="minorEastAsia" w:hAnsiTheme="minorEastAsia"/>
                <w:color w:val="auto"/>
                <w:szCs w:val="21"/>
                <w:highlight w:val="none"/>
              </w:rPr>
            </w:pPr>
            <w:r>
              <w:rPr>
                <w:rFonts w:hint="eastAsia" w:asciiTheme="minorEastAsia" w:hAnsiTheme="minorEastAsia"/>
                <w:color w:val="auto"/>
                <w:szCs w:val="21"/>
                <w:highlight w:val="none"/>
              </w:rPr>
              <w:t>2.1.1</w:t>
            </w:r>
          </w:p>
          <w:p>
            <w:pPr>
              <w:spacing w:line="240" w:lineRule="atLeast"/>
              <w:ind w:left="105" w:leftChars="50" w:right="105" w:rightChars="50"/>
              <w:jc w:val="center"/>
              <w:rPr>
                <w:rFonts w:asciiTheme="minorEastAsia" w:hAnsiTheme="minorEastAsia"/>
                <w:color w:val="auto"/>
                <w:szCs w:val="21"/>
                <w:highlight w:val="none"/>
              </w:rPr>
            </w:pPr>
            <w:r>
              <w:rPr>
                <w:rFonts w:hint="eastAsia" w:asciiTheme="minorEastAsia" w:hAnsiTheme="minorEastAsia"/>
                <w:color w:val="auto"/>
                <w:szCs w:val="21"/>
                <w:highlight w:val="none"/>
              </w:rPr>
              <w:t>2.1.3</w:t>
            </w:r>
          </w:p>
        </w:tc>
        <w:tc>
          <w:tcPr>
            <w:tcW w:w="1774" w:type="dxa"/>
            <w:vAlign w:val="center"/>
          </w:tcPr>
          <w:p>
            <w:pPr>
              <w:spacing w:line="240" w:lineRule="atLeast"/>
              <w:ind w:left="105" w:leftChars="50" w:right="105" w:rightChars="50"/>
              <w:rPr>
                <w:color w:val="auto"/>
                <w:highlight w:val="none"/>
              </w:rPr>
            </w:pPr>
            <w:r>
              <w:rPr>
                <w:rFonts w:hint="eastAsia"/>
                <w:color w:val="auto"/>
                <w:highlight w:val="none"/>
              </w:rPr>
              <w:t>形式评审与响应性评审标准</w:t>
            </w:r>
          </w:p>
          <w:p>
            <w:pPr>
              <w:spacing w:line="240" w:lineRule="atLeast"/>
              <w:ind w:left="105" w:leftChars="50" w:right="105" w:rightChars="50"/>
              <w:rPr>
                <w:color w:val="auto"/>
                <w:highlight w:val="none"/>
              </w:rPr>
            </w:pPr>
            <w:r>
              <w:rPr>
                <w:rFonts w:hint="eastAsia"/>
                <w:color w:val="auto"/>
                <w:highlight w:val="none"/>
              </w:rPr>
              <w:t>注：适用于第二信封（报价文件）</w:t>
            </w:r>
          </w:p>
        </w:tc>
        <w:tc>
          <w:tcPr>
            <w:tcW w:w="7018" w:type="dxa"/>
            <w:vAlign w:val="center"/>
          </w:tcPr>
          <w:p>
            <w:pPr>
              <w:spacing w:line="240" w:lineRule="atLeast"/>
              <w:ind w:left="105" w:leftChars="50" w:right="105" w:rightChars="50"/>
              <w:rPr>
                <w:color w:val="auto"/>
                <w:highlight w:val="none"/>
              </w:rPr>
            </w:pPr>
            <w:r>
              <w:rPr>
                <w:rFonts w:hint="eastAsia"/>
                <w:color w:val="auto"/>
                <w:highlight w:val="none"/>
              </w:rPr>
              <w:t>(1)投标文件按照招标文件规定的格式、内容填写，字迹清晰可辨：</w:t>
            </w:r>
          </w:p>
          <w:p>
            <w:pPr>
              <w:spacing w:line="240" w:lineRule="atLeast"/>
              <w:ind w:left="105" w:leftChars="50" w:right="105" w:rightChars="50"/>
              <w:rPr>
                <w:color w:val="auto"/>
                <w:highlight w:val="none"/>
              </w:rPr>
            </w:pPr>
            <w:r>
              <w:rPr>
                <w:rFonts w:hint="eastAsia"/>
                <w:color w:val="auto"/>
                <w:highlight w:val="none"/>
              </w:rPr>
              <w:t>a．投标函按招标文件规定填报了项目名称、标段号、补遗书编号（如有）、投标价（包括大写金额和小写金额）；</w:t>
            </w:r>
          </w:p>
          <w:p>
            <w:pPr>
              <w:spacing w:line="240" w:lineRule="atLeast"/>
              <w:ind w:left="105" w:leftChars="50" w:right="105" w:rightChars="50"/>
              <w:rPr>
                <w:color w:val="auto"/>
                <w:highlight w:val="none"/>
              </w:rPr>
            </w:pPr>
            <w:r>
              <w:rPr>
                <w:rFonts w:hint="eastAsia"/>
                <w:color w:val="auto"/>
                <w:highlight w:val="none"/>
              </w:rPr>
              <w:t>b．投标函文字与招标文件规定一致，未进行修改和删减；</w:t>
            </w:r>
          </w:p>
          <w:p>
            <w:pPr>
              <w:spacing w:line="240" w:lineRule="atLeast"/>
              <w:ind w:left="105" w:leftChars="50" w:right="105" w:rightChars="50"/>
              <w:rPr>
                <w:color w:val="auto"/>
                <w:highlight w:val="none"/>
              </w:rPr>
            </w:pPr>
            <w:r>
              <w:rPr>
                <w:rFonts w:hint="eastAsia"/>
                <w:color w:val="auto"/>
                <w:highlight w:val="none"/>
              </w:rPr>
              <w:t>c．投标文件组成齐全完整，内容均按规定填写。</w:t>
            </w:r>
          </w:p>
          <w:p>
            <w:pPr>
              <w:spacing w:line="240" w:lineRule="atLeast"/>
              <w:ind w:left="105" w:leftChars="50" w:right="105" w:rightChars="50"/>
              <w:rPr>
                <w:color w:val="auto"/>
                <w:highlight w:val="none"/>
              </w:rPr>
            </w:pPr>
            <w:r>
              <w:rPr>
                <w:rFonts w:hint="eastAsia"/>
                <w:color w:val="auto"/>
                <w:highlight w:val="none"/>
              </w:rPr>
              <w:t>(2)投标文件上法定代表人或其授权代理人的签字、投标人的单位章盖章齐全，符合招标文件规定；</w:t>
            </w:r>
          </w:p>
          <w:p>
            <w:pPr>
              <w:spacing w:line="240" w:lineRule="atLeast"/>
              <w:ind w:left="105" w:leftChars="50" w:right="105" w:rightChars="50"/>
              <w:rPr>
                <w:color w:val="auto"/>
                <w:highlight w:val="none"/>
              </w:rPr>
            </w:pPr>
            <w:r>
              <w:rPr>
                <w:rFonts w:hint="eastAsia"/>
                <w:color w:val="auto"/>
                <w:highlight w:val="none"/>
              </w:rPr>
              <w:t>(3)投标报价未超过招标文件设定的最高投标限价；</w:t>
            </w:r>
          </w:p>
          <w:p>
            <w:pPr>
              <w:spacing w:line="240" w:lineRule="atLeast"/>
              <w:ind w:left="105" w:leftChars="50" w:right="105" w:rightChars="50"/>
              <w:rPr>
                <w:color w:val="auto"/>
                <w:highlight w:val="none"/>
              </w:rPr>
            </w:pPr>
            <w:r>
              <w:rPr>
                <w:rFonts w:hint="eastAsia"/>
                <w:color w:val="auto"/>
                <w:highlight w:val="none"/>
              </w:rPr>
              <w:t>(4)缺陷责任期阶段监理服务费未低于投标报价的10%；</w:t>
            </w:r>
          </w:p>
          <w:p>
            <w:pPr>
              <w:spacing w:line="240" w:lineRule="atLeast"/>
              <w:ind w:left="105" w:leftChars="50" w:right="105" w:rightChars="50"/>
              <w:rPr>
                <w:color w:val="auto"/>
                <w:highlight w:val="none"/>
              </w:rPr>
            </w:pPr>
            <w:r>
              <w:rPr>
                <w:rFonts w:hint="eastAsia"/>
                <w:color w:val="auto"/>
                <w:highlight w:val="none"/>
              </w:rPr>
              <w:t>(5)投标报价的大写金额能够确定具体数值；</w:t>
            </w:r>
          </w:p>
          <w:p>
            <w:pPr>
              <w:spacing w:line="240" w:lineRule="atLeast"/>
              <w:ind w:left="105" w:leftChars="50" w:right="105" w:rightChars="50"/>
              <w:rPr>
                <w:color w:val="auto"/>
                <w:highlight w:val="none"/>
              </w:rPr>
            </w:pPr>
            <w:r>
              <w:rPr>
                <w:rFonts w:hint="eastAsia"/>
                <w:color w:val="auto"/>
                <w:highlight w:val="none"/>
              </w:rPr>
              <w:t>(6)同一投标人未提交两个以上不同的投标报价，但招标文件要求提交备选投标的除外。</w:t>
            </w:r>
          </w:p>
          <w:p>
            <w:pPr>
              <w:spacing w:line="240" w:lineRule="atLeast"/>
              <w:ind w:left="105" w:leftChars="50" w:right="105" w:rightChars="50"/>
              <w:rPr>
                <w:color w:val="auto"/>
                <w:highlight w:val="none"/>
              </w:rPr>
            </w:pPr>
            <w:r>
              <w:rPr>
                <w:rFonts w:hint="eastAsia"/>
                <w:color w:val="auto"/>
                <w:highlight w:val="none"/>
              </w:rPr>
              <w:t>(7)</w:t>
            </w:r>
            <w:r>
              <w:rPr>
                <w:rFonts w:hint="eastAsia"/>
                <w:color w:val="auto"/>
                <w:highlight w:val="none"/>
                <w:lang w:val="zh-CN"/>
              </w:rPr>
              <w:t>电子投标文件符合招</w:t>
            </w:r>
            <w:r>
              <w:rPr>
                <w:rFonts w:hint="eastAsia"/>
                <w:color w:val="auto"/>
                <w:highlight w:val="none"/>
              </w:rPr>
              <w:t>标文件规定且不存在投标人须知第10.8款第一条规定的情形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7" w:hRule="atLeast"/>
          <w:jc w:val="center"/>
        </w:trPr>
        <w:tc>
          <w:tcPr>
            <w:tcW w:w="964" w:type="dxa"/>
            <w:vAlign w:val="center"/>
          </w:tcPr>
          <w:p>
            <w:pPr>
              <w:spacing w:line="240" w:lineRule="atLeast"/>
              <w:ind w:right="113"/>
              <w:jc w:val="center"/>
              <w:rPr>
                <w:rFonts w:asciiTheme="minorEastAsia" w:hAnsiTheme="minorEastAsia"/>
                <w:color w:val="auto"/>
                <w:szCs w:val="21"/>
                <w:highlight w:val="none"/>
              </w:rPr>
            </w:pPr>
            <w:r>
              <w:rPr>
                <w:rFonts w:asciiTheme="minorEastAsia" w:hAnsiTheme="minorEastAsia"/>
                <w:color w:val="auto"/>
                <w:szCs w:val="21"/>
                <w:highlight w:val="none"/>
              </w:rPr>
              <w:t>2.2.1</w:t>
            </w:r>
          </w:p>
        </w:tc>
        <w:tc>
          <w:tcPr>
            <w:tcW w:w="1774" w:type="dxa"/>
            <w:vAlign w:val="center"/>
          </w:tcPr>
          <w:p>
            <w:pPr>
              <w:spacing w:line="240" w:lineRule="atLeast"/>
              <w:jc w:val="center"/>
              <w:rPr>
                <w:rFonts w:asciiTheme="minorEastAsia" w:hAnsiTheme="minorEastAsia"/>
                <w:color w:val="auto"/>
                <w:szCs w:val="21"/>
                <w:highlight w:val="none"/>
              </w:rPr>
            </w:pPr>
            <w:r>
              <w:rPr>
                <w:rFonts w:asciiTheme="minorEastAsia" w:hAnsiTheme="minorEastAsia"/>
                <w:color w:val="auto"/>
                <w:szCs w:val="21"/>
                <w:highlight w:val="none"/>
              </w:rPr>
              <w:t>分值构成</w:t>
            </w:r>
          </w:p>
          <w:p>
            <w:pPr>
              <w:spacing w:line="240" w:lineRule="atLeast"/>
              <w:jc w:val="center"/>
              <w:rPr>
                <w:rFonts w:asciiTheme="minorEastAsia" w:hAnsiTheme="minorEastAsia"/>
                <w:color w:val="auto"/>
                <w:szCs w:val="21"/>
                <w:highlight w:val="none"/>
              </w:rPr>
            </w:pPr>
            <w:r>
              <w:rPr>
                <w:rFonts w:hint="eastAsia" w:asciiTheme="minorEastAsia" w:hAnsiTheme="minorEastAsia"/>
                <w:color w:val="auto"/>
                <w:szCs w:val="21"/>
                <w:highlight w:val="none"/>
              </w:rPr>
              <w:t>（总分100分）</w:t>
            </w:r>
          </w:p>
        </w:tc>
        <w:tc>
          <w:tcPr>
            <w:tcW w:w="7018" w:type="dxa"/>
            <w:vAlign w:val="center"/>
          </w:tcPr>
          <w:p>
            <w:pPr>
              <w:spacing w:line="240" w:lineRule="atLeast"/>
              <w:ind w:left="103" w:leftChars="49" w:right="105" w:rightChars="50"/>
              <w:rPr>
                <w:rFonts w:cs="宋体" w:asciiTheme="minorEastAsia" w:hAnsiTheme="minorEastAsia"/>
                <w:b/>
                <w:bCs/>
                <w:color w:val="auto"/>
                <w:szCs w:val="21"/>
                <w:highlight w:val="none"/>
              </w:rPr>
            </w:pPr>
            <w:r>
              <w:rPr>
                <w:rFonts w:hint="eastAsia" w:cs="宋体" w:asciiTheme="minorEastAsia" w:hAnsiTheme="minorEastAsia"/>
                <w:b/>
                <w:bCs/>
                <w:color w:val="auto"/>
                <w:szCs w:val="21"/>
                <w:highlight w:val="none"/>
              </w:rPr>
              <w:t>第一个信封（商务及技术文件）评分分值构成：</w:t>
            </w:r>
          </w:p>
          <w:p>
            <w:pPr>
              <w:spacing w:line="240" w:lineRule="atLeast"/>
              <w:ind w:left="103" w:leftChars="49"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技术建议书：</w:t>
            </w:r>
            <w:r>
              <w:rPr>
                <w:rFonts w:hint="eastAsia" w:cs="宋体" w:asciiTheme="minorEastAsia" w:hAnsiTheme="minorEastAsia"/>
                <w:bCs/>
                <w:color w:val="auto"/>
                <w:szCs w:val="21"/>
                <w:highlight w:val="none"/>
                <w:u w:val="single"/>
              </w:rPr>
              <w:t xml:space="preserve"> 10</w:t>
            </w:r>
            <w:r>
              <w:rPr>
                <w:rFonts w:hint="eastAsia" w:cs="宋体" w:asciiTheme="minorEastAsia" w:hAnsiTheme="minorEastAsia"/>
                <w:bCs/>
                <w:color w:val="auto"/>
                <w:szCs w:val="21"/>
                <w:highlight w:val="none"/>
              </w:rPr>
              <w:t>分</w:t>
            </w:r>
          </w:p>
          <w:p>
            <w:pPr>
              <w:spacing w:line="240" w:lineRule="atLeast"/>
              <w:ind w:left="103" w:leftChars="49"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主要人员：</w:t>
            </w:r>
            <w:r>
              <w:rPr>
                <w:rFonts w:hint="eastAsia" w:cs="宋体" w:asciiTheme="minorEastAsia" w:hAnsiTheme="minorEastAsia"/>
                <w:bCs/>
                <w:color w:val="auto"/>
                <w:szCs w:val="21"/>
                <w:highlight w:val="none"/>
                <w:u w:val="single"/>
              </w:rPr>
              <w:t xml:space="preserve"> 35</w:t>
            </w:r>
            <w:r>
              <w:rPr>
                <w:rFonts w:hint="eastAsia" w:cs="宋体" w:asciiTheme="minorEastAsia" w:hAnsiTheme="minorEastAsia"/>
                <w:bCs/>
                <w:color w:val="auto"/>
                <w:szCs w:val="21"/>
                <w:highlight w:val="none"/>
              </w:rPr>
              <w:t xml:space="preserve">分 </w:t>
            </w:r>
          </w:p>
          <w:p>
            <w:pPr>
              <w:spacing w:line="240" w:lineRule="atLeast"/>
              <w:ind w:left="103" w:leftChars="49"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业绩：</w:t>
            </w:r>
            <w:r>
              <w:rPr>
                <w:rFonts w:hint="eastAsia" w:cs="宋体" w:asciiTheme="minorEastAsia" w:hAnsiTheme="minorEastAsia"/>
                <w:bCs/>
                <w:color w:val="auto"/>
                <w:szCs w:val="21"/>
                <w:highlight w:val="none"/>
                <w:u w:val="single"/>
              </w:rPr>
              <w:t>35</w:t>
            </w:r>
            <w:r>
              <w:rPr>
                <w:rFonts w:hint="eastAsia" w:cs="宋体" w:asciiTheme="minorEastAsia" w:hAnsiTheme="minorEastAsia"/>
                <w:bCs/>
                <w:color w:val="auto"/>
                <w:szCs w:val="21"/>
                <w:highlight w:val="none"/>
              </w:rPr>
              <w:t xml:space="preserve">分 </w:t>
            </w:r>
          </w:p>
          <w:p>
            <w:pPr>
              <w:spacing w:line="240" w:lineRule="atLeast"/>
              <w:ind w:left="103" w:leftChars="49"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履约信誉：</w:t>
            </w:r>
            <w:r>
              <w:rPr>
                <w:rFonts w:hint="eastAsia" w:cs="宋体" w:asciiTheme="minorEastAsia" w:hAnsiTheme="minorEastAsia"/>
                <w:bCs/>
                <w:color w:val="auto"/>
                <w:szCs w:val="21"/>
                <w:highlight w:val="none"/>
                <w:u w:val="single"/>
              </w:rPr>
              <w:t>10</w:t>
            </w:r>
            <w:r>
              <w:rPr>
                <w:rFonts w:hint="eastAsia" w:cs="宋体" w:asciiTheme="minorEastAsia" w:hAnsiTheme="minorEastAsia"/>
                <w:bCs/>
                <w:color w:val="auto"/>
                <w:szCs w:val="21"/>
                <w:highlight w:val="none"/>
              </w:rPr>
              <w:t>分</w:t>
            </w:r>
          </w:p>
          <w:p>
            <w:pPr>
              <w:spacing w:line="240" w:lineRule="atLeast"/>
              <w:ind w:left="103" w:leftChars="49" w:right="105" w:rightChars="50"/>
              <w:rPr>
                <w:rFonts w:cs="宋体" w:asciiTheme="minorEastAsia" w:hAnsiTheme="minorEastAsia"/>
                <w:b/>
                <w:bCs/>
                <w:color w:val="auto"/>
                <w:szCs w:val="21"/>
                <w:highlight w:val="none"/>
              </w:rPr>
            </w:pPr>
            <w:r>
              <w:rPr>
                <w:rFonts w:hint="eastAsia" w:cs="宋体" w:asciiTheme="minorEastAsia" w:hAnsiTheme="minorEastAsia"/>
                <w:b/>
                <w:bCs/>
                <w:color w:val="auto"/>
                <w:szCs w:val="21"/>
                <w:highlight w:val="none"/>
              </w:rPr>
              <w:t xml:space="preserve">第二个信封（报价文件）评分分值构成： </w:t>
            </w:r>
          </w:p>
          <w:p>
            <w:pPr>
              <w:spacing w:line="240" w:lineRule="atLeast"/>
              <w:ind w:left="103" w:leftChars="49" w:right="105" w:rightChars="50"/>
              <w:rPr>
                <w:rFonts w:asciiTheme="minorEastAsia" w:hAnsiTheme="minorEastAsia"/>
                <w:b/>
                <w:color w:val="auto"/>
                <w:szCs w:val="21"/>
                <w:highlight w:val="none"/>
              </w:rPr>
            </w:pPr>
            <w:r>
              <w:rPr>
                <w:rFonts w:hint="eastAsia" w:cs="宋体" w:asciiTheme="minorEastAsia" w:hAnsiTheme="minorEastAsia"/>
                <w:bCs/>
                <w:color w:val="auto"/>
                <w:szCs w:val="21"/>
                <w:highlight w:val="none"/>
              </w:rPr>
              <w:t>评标价：</w:t>
            </w:r>
            <w:r>
              <w:rPr>
                <w:rFonts w:hint="eastAsia" w:cs="宋体" w:asciiTheme="minorEastAsia" w:hAnsiTheme="minorEastAsia"/>
                <w:bCs/>
                <w:color w:val="auto"/>
                <w:szCs w:val="21"/>
                <w:highlight w:val="none"/>
                <w:u w:val="single"/>
              </w:rPr>
              <w:t xml:space="preserve"> 10</w:t>
            </w:r>
            <w:r>
              <w:rPr>
                <w:rFonts w:hint="eastAsia" w:cs="宋体" w:asciiTheme="minorEastAsia" w:hAnsiTheme="minorEastAsia"/>
                <w:bCs/>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1" w:hRule="atLeast"/>
          <w:jc w:val="center"/>
        </w:trPr>
        <w:tc>
          <w:tcPr>
            <w:tcW w:w="964" w:type="dxa"/>
            <w:vAlign w:val="center"/>
          </w:tcPr>
          <w:p>
            <w:pPr>
              <w:spacing w:line="240" w:lineRule="atLeast"/>
              <w:ind w:right="113"/>
              <w:jc w:val="center"/>
              <w:rPr>
                <w:rFonts w:cs="宋体" w:asciiTheme="minorEastAsia" w:hAnsiTheme="minorEastAsia"/>
                <w:color w:val="auto"/>
                <w:szCs w:val="21"/>
                <w:highlight w:val="none"/>
              </w:rPr>
            </w:pPr>
            <w:r>
              <w:rPr>
                <w:rFonts w:hint="eastAsia" w:cs="宋体" w:asciiTheme="minorEastAsia" w:hAnsiTheme="minorEastAsia"/>
                <w:color w:val="auto"/>
                <w:szCs w:val="21"/>
                <w:highlight w:val="none"/>
              </w:rPr>
              <w:t>2.2.2</w:t>
            </w:r>
          </w:p>
          <w:p>
            <w:pPr>
              <w:spacing w:line="240" w:lineRule="atLeast"/>
              <w:ind w:right="113"/>
              <w:jc w:val="center"/>
              <w:rPr>
                <w:rFonts w:asciiTheme="minorEastAsia" w:hAnsiTheme="minorEastAsia"/>
                <w:color w:val="auto"/>
                <w:szCs w:val="21"/>
                <w:highlight w:val="none"/>
              </w:rPr>
            </w:pPr>
            <w:r>
              <w:rPr>
                <w:rFonts w:hint="eastAsia" w:cs="宋体" w:asciiTheme="minorEastAsia" w:hAnsiTheme="minorEastAsia"/>
                <w:color w:val="auto"/>
                <w:szCs w:val="21"/>
                <w:highlight w:val="none"/>
              </w:rPr>
              <w:t>(1)</w:t>
            </w:r>
          </w:p>
        </w:tc>
        <w:tc>
          <w:tcPr>
            <w:tcW w:w="1774" w:type="dxa"/>
            <w:vAlign w:val="center"/>
          </w:tcPr>
          <w:p>
            <w:pPr>
              <w:spacing w:line="240" w:lineRule="atLeast"/>
              <w:jc w:val="center"/>
              <w:rPr>
                <w:rFonts w:cs="宋体" w:asciiTheme="minorEastAsia" w:hAnsiTheme="minorEastAsia"/>
                <w:color w:val="auto"/>
                <w:szCs w:val="21"/>
                <w:highlight w:val="none"/>
              </w:rPr>
            </w:pPr>
            <w:r>
              <w:rPr>
                <w:rFonts w:hint="eastAsia" w:cs="宋体" w:asciiTheme="minorEastAsia" w:hAnsiTheme="minorEastAsia"/>
                <w:color w:val="auto"/>
                <w:szCs w:val="21"/>
                <w:highlight w:val="none"/>
              </w:rPr>
              <w:t>最终最高</w:t>
            </w:r>
          </w:p>
          <w:p>
            <w:pPr>
              <w:spacing w:line="240" w:lineRule="atLeast"/>
              <w:jc w:val="center"/>
              <w:rPr>
                <w:rFonts w:asciiTheme="minorEastAsia" w:hAnsiTheme="minorEastAsia"/>
                <w:color w:val="auto"/>
                <w:szCs w:val="21"/>
                <w:highlight w:val="none"/>
              </w:rPr>
            </w:pPr>
            <w:r>
              <w:rPr>
                <w:rFonts w:hint="eastAsia" w:cs="宋体" w:asciiTheme="minorEastAsia" w:hAnsiTheme="minorEastAsia"/>
                <w:color w:val="auto"/>
                <w:szCs w:val="21"/>
                <w:highlight w:val="none"/>
              </w:rPr>
              <w:t>投标限价计算</w:t>
            </w:r>
          </w:p>
        </w:tc>
        <w:tc>
          <w:tcPr>
            <w:tcW w:w="7018" w:type="dxa"/>
            <w:vAlign w:val="center"/>
          </w:tcPr>
          <w:p>
            <w:pPr>
              <w:spacing w:line="240" w:lineRule="atLeast"/>
              <w:ind w:left="103" w:leftChars="49" w:right="105" w:rightChars="50"/>
              <w:rPr>
                <w:rFonts w:cs="宋体" w:asciiTheme="minorEastAsia" w:hAnsiTheme="minorEastAsia"/>
                <w:b/>
                <w:bCs/>
                <w:color w:val="auto"/>
                <w:szCs w:val="21"/>
                <w:highlight w:val="none"/>
              </w:rPr>
            </w:pPr>
            <w:r>
              <w:rPr>
                <w:rFonts w:hint="eastAsia" w:cs="宋体" w:asciiTheme="minorEastAsia" w:hAnsiTheme="minorEastAsia"/>
                <w:b/>
                <w:bCs/>
                <w:color w:val="auto"/>
                <w:szCs w:val="21"/>
                <w:highlight w:val="none"/>
              </w:rPr>
              <w:t>1.最高投标限价G1</w:t>
            </w:r>
          </w:p>
          <w:p>
            <w:pPr>
              <w:spacing w:line="240" w:lineRule="atLeast"/>
              <w:ind w:left="103" w:leftChars="49"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招标人将设定最高限价，详见投标人须知前附表3.2.8款。</w:t>
            </w:r>
          </w:p>
          <w:p>
            <w:pPr>
              <w:spacing w:line="240" w:lineRule="atLeast"/>
              <w:ind w:left="103" w:leftChars="49" w:right="105" w:rightChars="50"/>
              <w:rPr>
                <w:rFonts w:cs="宋体" w:asciiTheme="minorEastAsia" w:hAnsiTheme="minorEastAsia"/>
                <w:b/>
                <w:bCs/>
                <w:color w:val="auto"/>
                <w:szCs w:val="21"/>
                <w:highlight w:val="none"/>
              </w:rPr>
            </w:pPr>
            <w:r>
              <w:rPr>
                <w:rFonts w:hint="eastAsia" w:cs="宋体" w:asciiTheme="minorEastAsia" w:hAnsiTheme="minorEastAsia"/>
                <w:b/>
                <w:bCs/>
                <w:color w:val="auto"/>
                <w:szCs w:val="21"/>
                <w:highlight w:val="none"/>
              </w:rPr>
              <w:t>2.最终最高投标限价G2</w:t>
            </w:r>
          </w:p>
          <w:p>
            <w:pPr>
              <w:spacing w:line="240" w:lineRule="atLeast"/>
              <w:ind w:left="103" w:leftChars="49"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最终最高投标限价G2=最高投标限价G1×（1-下浮系数X1）</w:t>
            </w:r>
          </w:p>
          <w:p>
            <w:pPr>
              <w:spacing w:line="240" w:lineRule="atLeast"/>
              <w:ind w:left="103" w:leftChars="49"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下浮系数X1：从0.5%、1%、1.5%、2%、2.5%、3%六个数中，由投标人代表或现场监督在第一个信封开标现场随机抽取确定。</w:t>
            </w:r>
          </w:p>
          <w:p>
            <w:pPr>
              <w:spacing w:line="240" w:lineRule="atLeast"/>
              <w:ind w:left="103" w:leftChars="49" w:right="105" w:rightChars="50"/>
              <w:rPr>
                <w:rFonts w:cs="宋体" w:asciiTheme="minorEastAsia" w:hAnsiTheme="minorEastAsia"/>
                <w:b/>
                <w:bCs/>
                <w:color w:val="auto"/>
                <w:szCs w:val="21"/>
                <w:highlight w:val="none"/>
              </w:rPr>
            </w:pPr>
            <w:r>
              <w:rPr>
                <w:rFonts w:hint="eastAsia" w:cs="宋体" w:asciiTheme="minorEastAsia" w:hAnsiTheme="minorEastAsia"/>
                <w:b/>
                <w:bCs/>
                <w:color w:val="auto"/>
                <w:szCs w:val="21"/>
                <w:highlight w:val="none"/>
              </w:rPr>
              <w:t>3.投标报价高于最终最高投标限价G2的投标文件应否决其投标，不参与后续计算。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964" w:type="dxa"/>
            <w:vAlign w:val="center"/>
          </w:tcPr>
          <w:p>
            <w:pPr>
              <w:spacing w:line="240" w:lineRule="atLeast"/>
              <w:ind w:right="113"/>
              <w:jc w:val="center"/>
              <w:rPr>
                <w:rFonts w:cs="宋体" w:asciiTheme="minorEastAsia" w:hAnsiTheme="minorEastAsia"/>
                <w:color w:val="auto"/>
                <w:szCs w:val="21"/>
                <w:highlight w:val="none"/>
              </w:rPr>
            </w:pPr>
            <w:r>
              <w:rPr>
                <w:rFonts w:hint="eastAsia" w:cs="宋体" w:asciiTheme="minorEastAsia" w:hAnsiTheme="minorEastAsia"/>
                <w:color w:val="auto"/>
                <w:szCs w:val="21"/>
                <w:highlight w:val="none"/>
              </w:rPr>
              <w:t>2.2.2</w:t>
            </w:r>
          </w:p>
          <w:p>
            <w:pPr>
              <w:spacing w:line="240" w:lineRule="atLeast"/>
              <w:ind w:right="113"/>
              <w:jc w:val="center"/>
              <w:rPr>
                <w:rFonts w:asciiTheme="minorEastAsia" w:hAnsiTheme="minorEastAsia"/>
                <w:color w:val="auto"/>
                <w:szCs w:val="21"/>
                <w:highlight w:val="none"/>
              </w:rPr>
            </w:pPr>
            <w:r>
              <w:rPr>
                <w:rFonts w:hint="eastAsia" w:cs="宋体" w:asciiTheme="minorEastAsia" w:hAnsiTheme="minorEastAsia"/>
                <w:color w:val="auto"/>
                <w:szCs w:val="21"/>
                <w:highlight w:val="none"/>
              </w:rPr>
              <w:t>(2)</w:t>
            </w:r>
          </w:p>
        </w:tc>
        <w:tc>
          <w:tcPr>
            <w:tcW w:w="1774" w:type="dxa"/>
            <w:vAlign w:val="center"/>
          </w:tcPr>
          <w:p>
            <w:pPr>
              <w:spacing w:line="240" w:lineRule="atLeast"/>
              <w:jc w:val="center"/>
              <w:rPr>
                <w:rFonts w:asciiTheme="minorEastAsia" w:hAnsiTheme="minorEastAsia"/>
                <w:color w:val="auto"/>
                <w:szCs w:val="21"/>
                <w:highlight w:val="none"/>
              </w:rPr>
            </w:pPr>
            <w:r>
              <w:rPr>
                <w:rFonts w:hint="eastAsia" w:cs="宋体" w:asciiTheme="minorEastAsia" w:hAnsiTheme="minorEastAsia"/>
                <w:color w:val="auto"/>
                <w:szCs w:val="21"/>
                <w:highlight w:val="none"/>
              </w:rPr>
              <w:t>评标价的确定</w:t>
            </w:r>
          </w:p>
        </w:tc>
        <w:tc>
          <w:tcPr>
            <w:tcW w:w="7018" w:type="dxa"/>
            <w:vAlign w:val="center"/>
          </w:tcPr>
          <w:p>
            <w:pPr>
              <w:spacing w:line="240" w:lineRule="atLeast"/>
              <w:ind w:left="103" w:leftChars="49"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评标价=投标函文字报价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7" w:hRule="atLeast"/>
          <w:jc w:val="center"/>
        </w:trPr>
        <w:tc>
          <w:tcPr>
            <w:tcW w:w="964" w:type="dxa"/>
            <w:vAlign w:val="center"/>
          </w:tcPr>
          <w:p>
            <w:pPr>
              <w:spacing w:line="240" w:lineRule="atLeast"/>
              <w:ind w:right="113"/>
              <w:jc w:val="center"/>
              <w:rPr>
                <w:rFonts w:cs="宋体" w:asciiTheme="minorEastAsia" w:hAnsiTheme="minorEastAsia"/>
                <w:color w:val="auto"/>
                <w:szCs w:val="21"/>
                <w:highlight w:val="none"/>
              </w:rPr>
            </w:pPr>
            <w:r>
              <w:rPr>
                <w:rFonts w:hint="eastAsia" w:cs="宋体" w:asciiTheme="minorEastAsia" w:hAnsiTheme="minorEastAsia"/>
                <w:color w:val="auto"/>
                <w:szCs w:val="21"/>
                <w:highlight w:val="none"/>
              </w:rPr>
              <w:t>2.2.2</w:t>
            </w:r>
          </w:p>
          <w:p>
            <w:pPr>
              <w:spacing w:line="240" w:lineRule="atLeast"/>
              <w:ind w:right="113"/>
              <w:jc w:val="center"/>
              <w:rPr>
                <w:rFonts w:asciiTheme="minorEastAsia" w:hAnsiTheme="minorEastAsia"/>
                <w:color w:val="auto"/>
                <w:szCs w:val="21"/>
                <w:highlight w:val="none"/>
              </w:rPr>
            </w:pPr>
            <w:r>
              <w:rPr>
                <w:rFonts w:hint="eastAsia" w:cs="宋体" w:asciiTheme="minorEastAsia" w:hAnsiTheme="minorEastAsia"/>
                <w:color w:val="auto"/>
                <w:szCs w:val="21"/>
                <w:highlight w:val="none"/>
              </w:rPr>
              <w:t>(3)</w:t>
            </w:r>
          </w:p>
        </w:tc>
        <w:tc>
          <w:tcPr>
            <w:tcW w:w="1774" w:type="dxa"/>
            <w:vAlign w:val="center"/>
          </w:tcPr>
          <w:p>
            <w:pPr>
              <w:spacing w:line="240" w:lineRule="atLeast"/>
              <w:jc w:val="center"/>
              <w:rPr>
                <w:rFonts w:asciiTheme="minorEastAsia" w:hAnsiTheme="minorEastAsia"/>
                <w:color w:val="auto"/>
                <w:szCs w:val="21"/>
                <w:highlight w:val="none"/>
              </w:rPr>
            </w:pPr>
            <w:r>
              <w:rPr>
                <w:rFonts w:hint="eastAsia" w:cs="宋体" w:asciiTheme="minorEastAsia" w:hAnsiTheme="minorEastAsia"/>
                <w:color w:val="auto"/>
                <w:szCs w:val="21"/>
                <w:highlight w:val="none"/>
              </w:rPr>
              <w:t>理论成本价计算</w:t>
            </w:r>
          </w:p>
        </w:tc>
        <w:tc>
          <w:tcPr>
            <w:tcW w:w="7018" w:type="dxa"/>
            <w:vAlign w:val="center"/>
          </w:tcPr>
          <w:p>
            <w:pPr>
              <w:spacing w:line="240" w:lineRule="atLeast"/>
              <w:ind w:left="103"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理论成本价C＝［最终最高投标限价G2×50％＋评标价算术平均值×50％］×0.85</w:t>
            </w:r>
          </w:p>
          <w:p>
            <w:pPr>
              <w:spacing w:line="240" w:lineRule="atLeast"/>
              <w:ind w:left="103" w:right="105" w:rightChars="50"/>
              <w:rPr>
                <w:rFonts w:cs="宋体" w:asciiTheme="minorEastAsia" w:hAnsiTheme="minorEastAsia"/>
                <w:b/>
                <w:color w:val="auto"/>
                <w:szCs w:val="21"/>
                <w:highlight w:val="none"/>
              </w:rPr>
            </w:pPr>
            <w:r>
              <w:rPr>
                <w:rFonts w:hint="eastAsia" w:cs="宋体" w:asciiTheme="minorEastAsia" w:hAnsiTheme="minorEastAsia"/>
                <w:bCs/>
                <w:color w:val="auto"/>
                <w:szCs w:val="21"/>
                <w:highlight w:val="none"/>
              </w:rPr>
              <w:t>当评标价有5个及以上时，应去掉其中的最高值和最低值，再对不高于G2的有效投标报价进行算术平均值计算。评标价低于理论成本价的，不再参与后续计算。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7" w:hRule="atLeast"/>
          <w:jc w:val="center"/>
        </w:trPr>
        <w:tc>
          <w:tcPr>
            <w:tcW w:w="964" w:type="dxa"/>
            <w:vAlign w:val="center"/>
          </w:tcPr>
          <w:p>
            <w:pPr>
              <w:spacing w:line="240" w:lineRule="atLeast"/>
              <w:ind w:right="113"/>
              <w:jc w:val="center"/>
              <w:rPr>
                <w:rFonts w:asciiTheme="minorEastAsia" w:hAnsiTheme="minorEastAsia"/>
                <w:color w:val="auto"/>
                <w:szCs w:val="21"/>
                <w:highlight w:val="none"/>
              </w:rPr>
            </w:pPr>
            <w:r>
              <w:rPr>
                <w:rFonts w:asciiTheme="minorEastAsia" w:hAnsiTheme="minorEastAsia"/>
                <w:color w:val="auto"/>
                <w:szCs w:val="21"/>
                <w:highlight w:val="none"/>
              </w:rPr>
              <w:t>2.2.2</w:t>
            </w:r>
            <w:r>
              <w:rPr>
                <w:rFonts w:hint="eastAsia" w:asciiTheme="minorEastAsia" w:hAnsiTheme="minorEastAsia"/>
                <w:color w:val="auto"/>
                <w:szCs w:val="21"/>
                <w:highlight w:val="none"/>
              </w:rPr>
              <w:t>(4)</w:t>
            </w:r>
          </w:p>
        </w:tc>
        <w:tc>
          <w:tcPr>
            <w:tcW w:w="1774" w:type="dxa"/>
            <w:vAlign w:val="center"/>
          </w:tcPr>
          <w:p>
            <w:pPr>
              <w:spacing w:line="240" w:lineRule="atLeast"/>
              <w:ind w:left="36" w:leftChars="17" w:right="113" w:firstLine="86" w:firstLineChars="41"/>
              <w:jc w:val="center"/>
              <w:rPr>
                <w:rFonts w:asciiTheme="minorEastAsia" w:hAnsiTheme="minorEastAsia"/>
                <w:color w:val="auto"/>
                <w:szCs w:val="21"/>
                <w:highlight w:val="none"/>
              </w:rPr>
            </w:pPr>
            <w:r>
              <w:rPr>
                <w:rFonts w:asciiTheme="minorEastAsia" w:hAnsiTheme="minorEastAsia"/>
                <w:color w:val="auto"/>
                <w:szCs w:val="21"/>
                <w:highlight w:val="none"/>
              </w:rPr>
              <w:t>评标基准价计算方法</w:t>
            </w:r>
          </w:p>
        </w:tc>
        <w:tc>
          <w:tcPr>
            <w:tcW w:w="7018" w:type="dxa"/>
            <w:vAlign w:val="center"/>
          </w:tcPr>
          <w:p>
            <w:pPr>
              <w:spacing w:line="240" w:lineRule="atLeast"/>
              <w:ind w:left="103" w:leftChars="49" w:right="105" w:rightChars="50" w:firstLine="420" w:firstLineChars="20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评标基准价在整个评标期间保持不变，不随通过评审的投标人数量发生变化。</w:t>
            </w:r>
          </w:p>
          <w:p>
            <w:pPr>
              <w:spacing w:line="240" w:lineRule="atLeast"/>
              <w:ind w:left="103"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评标基准价＝［最终最高投标限价G2×加权系数X2＋有效评标价算术平均值×（1-加权系数X2）］×评标基准价系数X3</w:t>
            </w:r>
          </w:p>
          <w:p>
            <w:pPr>
              <w:spacing w:line="240" w:lineRule="atLeast"/>
              <w:ind w:left="103"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式中：加权系数是从0.3、0.35、0.4中随机抽取，评标基准价系数是从0.96、0.97、0.98、0.99中随机抽取，均由投标人代表或现场监督在第一个信封开标现场进行。</w:t>
            </w:r>
          </w:p>
          <w:p>
            <w:pPr>
              <w:spacing w:line="240" w:lineRule="atLeast"/>
              <w:ind w:left="103" w:right="105" w:rightChars="50"/>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有效评标价指介于理论成本价（含）与最终最高投标限价（含）范围内的评标价。当有效评标价数量大于5时，</w:t>
            </w:r>
            <w:r>
              <w:rPr>
                <w:rFonts w:hint="eastAsia" w:cs="宋体" w:asciiTheme="minorEastAsia" w:hAnsiTheme="minorEastAsia"/>
                <w:bCs/>
                <w:color w:val="auto"/>
                <w:szCs w:val="21"/>
                <w:highlight w:val="none"/>
                <w:lang w:eastAsia="zh-CN"/>
              </w:rPr>
              <w:t>去掉</w:t>
            </w:r>
            <w:r>
              <w:rPr>
                <w:rFonts w:hint="eastAsia" w:cs="宋体" w:asciiTheme="minorEastAsia" w:hAnsiTheme="minorEastAsia"/>
                <w:bCs/>
                <w:color w:val="auto"/>
                <w:szCs w:val="21"/>
                <w:highlight w:val="none"/>
              </w:rPr>
              <w:t>其中的一个最高和一个最低值，再进行算术平均值计算。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964" w:type="dxa"/>
            <w:vAlign w:val="center"/>
          </w:tcPr>
          <w:p>
            <w:pPr>
              <w:spacing w:line="240" w:lineRule="atLeast"/>
              <w:ind w:right="113"/>
              <w:jc w:val="center"/>
              <w:rPr>
                <w:rFonts w:asciiTheme="minorEastAsia" w:hAnsiTheme="minorEastAsia"/>
                <w:color w:val="auto"/>
                <w:szCs w:val="21"/>
                <w:highlight w:val="none"/>
              </w:rPr>
            </w:pPr>
            <w:r>
              <w:rPr>
                <w:rFonts w:asciiTheme="minorEastAsia" w:hAnsiTheme="minorEastAsia"/>
                <w:color w:val="auto"/>
                <w:szCs w:val="21"/>
                <w:highlight w:val="none"/>
              </w:rPr>
              <w:t>2.2.3</w:t>
            </w:r>
          </w:p>
        </w:tc>
        <w:tc>
          <w:tcPr>
            <w:tcW w:w="1774" w:type="dxa"/>
            <w:vAlign w:val="center"/>
          </w:tcPr>
          <w:p>
            <w:pPr>
              <w:spacing w:line="240" w:lineRule="atLeast"/>
              <w:jc w:val="center"/>
              <w:rPr>
                <w:rFonts w:cs="宋体" w:asciiTheme="minorEastAsia" w:hAnsiTheme="minorEastAsia"/>
                <w:color w:val="auto"/>
                <w:szCs w:val="21"/>
                <w:highlight w:val="none"/>
              </w:rPr>
            </w:pPr>
            <w:r>
              <w:rPr>
                <w:rFonts w:cs="宋体" w:asciiTheme="minorEastAsia" w:hAnsiTheme="minorEastAsia"/>
                <w:color w:val="auto"/>
                <w:szCs w:val="21"/>
                <w:highlight w:val="none"/>
              </w:rPr>
              <w:t>评标价的偏差率计算公式</w:t>
            </w:r>
          </w:p>
        </w:tc>
        <w:tc>
          <w:tcPr>
            <w:tcW w:w="7018" w:type="dxa"/>
            <w:vAlign w:val="center"/>
          </w:tcPr>
          <w:p>
            <w:pPr>
              <w:spacing w:line="240" w:lineRule="atLeast"/>
              <w:ind w:left="103" w:right="105" w:rightChars="50"/>
              <w:jc w:val="left"/>
              <w:rPr>
                <w:color w:val="auto"/>
                <w:highlight w:val="none"/>
              </w:rPr>
            </w:pPr>
            <w:r>
              <w:rPr>
                <w:color w:val="auto"/>
                <w:highlight w:val="none"/>
              </w:rPr>
              <w:t>偏差率=100%×</w:t>
            </w:r>
            <w:r>
              <w:rPr>
                <w:rFonts w:hint="eastAsia" w:ascii="宋体" w:hAnsi="宋体" w:eastAsia="宋体" w:cs="宋体"/>
                <w:color w:val="auto"/>
                <w:highlight w:val="none"/>
              </w:rPr>
              <w:t>|</w:t>
            </w:r>
            <w:r>
              <w:rPr>
                <w:color w:val="auto"/>
                <w:highlight w:val="none"/>
              </w:rPr>
              <w:t>评标价－评标基准价</w:t>
            </w:r>
            <w:r>
              <w:rPr>
                <w:rFonts w:hint="eastAsia" w:ascii="宋体" w:hAnsi="宋体" w:eastAsia="宋体" w:cs="宋体"/>
                <w:color w:val="auto"/>
                <w:highlight w:val="none"/>
              </w:rPr>
              <w:t>|</w:t>
            </w:r>
            <w:r>
              <w:rPr>
                <w:color w:val="auto"/>
                <w:highlight w:val="none"/>
              </w:rPr>
              <w:t>/评标基准价</w:t>
            </w:r>
          </w:p>
          <w:p>
            <w:pPr>
              <w:pStyle w:val="2"/>
              <w:spacing w:line="240" w:lineRule="atLeast"/>
              <w:ind w:left="103" w:right="105" w:rightChars="50"/>
              <w:rPr>
                <w:color w:val="auto"/>
                <w:highlight w:val="none"/>
              </w:rPr>
            </w:pPr>
            <w:r>
              <w:rPr>
                <w:rFonts w:hint="eastAsia" w:asciiTheme="minorEastAsia" w:hAnsiTheme="minorEastAsia" w:eastAsiaTheme="minorEastAsia" w:cstheme="minorEastAsia"/>
                <w:color w:val="auto"/>
                <w:sz w:val="21"/>
                <w:szCs w:val="21"/>
                <w:highlight w:val="none"/>
              </w:rPr>
              <w:t>偏差率保留位两小数</w:t>
            </w:r>
          </w:p>
        </w:tc>
      </w:tr>
    </w:tbl>
    <w:p>
      <w:pPr>
        <w:autoSpaceDE w:val="0"/>
        <w:autoSpaceDN w:val="0"/>
        <w:adjustRightInd w:val="0"/>
        <w:spacing w:line="270" w:lineRule="exact"/>
        <w:ind w:right="214"/>
        <w:jc w:val="right"/>
        <w:rPr>
          <w:rFonts w:cs="宋体" w:asciiTheme="minorEastAsia" w:hAnsiTheme="minorEastAsia"/>
          <w:b/>
          <w:color w:val="auto"/>
          <w:spacing w:val="7"/>
          <w:kern w:val="0"/>
          <w:position w:val="-2"/>
          <w:sz w:val="24"/>
          <w:szCs w:val="24"/>
          <w:highlight w:val="none"/>
        </w:rPr>
      </w:pPr>
    </w:p>
    <w:p>
      <w:pPr>
        <w:autoSpaceDE w:val="0"/>
        <w:autoSpaceDN w:val="0"/>
        <w:adjustRightInd w:val="0"/>
        <w:spacing w:line="270" w:lineRule="exact"/>
        <w:ind w:right="214"/>
        <w:jc w:val="right"/>
        <w:rPr>
          <w:rFonts w:cs="宋体" w:asciiTheme="minorEastAsia" w:hAnsiTheme="minorEastAsia"/>
          <w:b/>
          <w:color w:val="auto"/>
          <w:spacing w:val="7"/>
          <w:kern w:val="0"/>
          <w:position w:val="-2"/>
          <w:sz w:val="24"/>
          <w:szCs w:val="24"/>
          <w:highlight w:val="none"/>
        </w:rPr>
      </w:pPr>
    </w:p>
    <w:p>
      <w:pPr>
        <w:autoSpaceDE w:val="0"/>
        <w:autoSpaceDN w:val="0"/>
        <w:adjustRightInd w:val="0"/>
        <w:spacing w:line="270" w:lineRule="exact"/>
        <w:ind w:right="214"/>
        <w:jc w:val="right"/>
        <w:rPr>
          <w:rFonts w:cs="宋体" w:asciiTheme="minorEastAsia" w:hAnsiTheme="minorEastAsia"/>
          <w:b/>
          <w:color w:val="auto"/>
          <w:spacing w:val="7"/>
          <w:kern w:val="0"/>
          <w:position w:val="-2"/>
          <w:sz w:val="24"/>
          <w:szCs w:val="24"/>
          <w:highlight w:val="none"/>
        </w:rPr>
        <w:sectPr>
          <w:pgSz w:w="11906" w:h="16838"/>
          <w:pgMar w:top="1440" w:right="1080" w:bottom="1440" w:left="1080" w:header="1020" w:footer="1020" w:gutter="0"/>
          <w:cols w:space="425" w:num="1"/>
          <w:docGrid w:type="lines" w:linePitch="312" w:charSpace="0"/>
        </w:sectPr>
      </w:pPr>
    </w:p>
    <w:p>
      <w:pPr>
        <w:autoSpaceDE w:val="0"/>
        <w:autoSpaceDN w:val="0"/>
        <w:adjustRightInd w:val="0"/>
        <w:spacing w:line="270" w:lineRule="exact"/>
        <w:ind w:right="214"/>
        <w:jc w:val="right"/>
        <w:rPr>
          <w:rFonts w:cs="Adobe ｷﾂﾋﾎ Std R" w:asciiTheme="minorEastAsia" w:hAnsiTheme="minorEastAsia"/>
          <w:b/>
          <w:color w:val="auto"/>
          <w:kern w:val="0"/>
          <w:sz w:val="24"/>
          <w:szCs w:val="24"/>
          <w:highlight w:val="none"/>
        </w:rPr>
      </w:pPr>
      <w:r>
        <w:rPr>
          <w:rFonts w:hint="eastAsia" w:cs="宋体" w:asciiTheme="minorEastAsia" w:hAnsiTheme="minorEastAsia"/>
          <w:b/>
          <w:color w:val="auto"/>
          <w:spacing w:val="7"/>
          <w:kern w:val="0"/>
          <w:position w:val="-2"/>
          <w:sz w:val="24"/>
          <w:szCs w:val="24"/>
          <w:highlight w:val="none"/>
        </w:rPr>
        <w:t>续</w:t>
      </w:r>
      <w:r>
        <w:rPr>
          <w:rFonts w:hint="eastAsia" w:cs="Adobe ｷﾂﾋﾎ Std R" w:asciiTheme="minorEastAsia" w:hAnsiTheme="minorEastAsia"/>
          <w:b/>
          <w:color w:val="auto"/>
          <w:spacing w:val="8"/>
          <w:kern w:val="0"/>
          <w:position w:val="-2"/>
          <w:sz w:val="24"/>
          <w:szCs w:val="24"/>
          <w:highlight w:val="none"/>
        </w:rPr>
        <w:t>上</w:t>
      </w:r>
      <w:r>
        <w:rPr>
          <w:rFonts w:hint="eastAsia" w:cs="Adobe ｷﾂﾋﾎ Std R" w:asciiTheme="minorEastAsia" w:hAnsiTheme="minorEastAsia"/>
          <w:b/>
          <w:color w:val="auto"/>
          <w:kern w:val="0"/>
          <w:position w:val="-2"/>
          <w:sz w:val="24"/>
          <w:szCs w:val="24"/>
          <w:highlight w:val="none"/>
        </w:rPr>
        <w:t>表</w:t>
      </w:r>
    </w:p>
    <w:tbl>
      <w:tblPr>
        <w:tblStyle w:val="8"/>
        <w:tblW w:w="9814" w:type="dxa"/>
        <w:tblInd w:w="0" w:type="dxa"/>
        <w:tblLayout w:type="fixed"/>
        <w:tblCellMar>
          <w:top w:w="0" w:type="dxa"/>
          <w:left w:w="0" w:type="dxa"/>
          <w:bottom w:w="0" w:type="dxa"/>
          <w:right w:w="0" w:type="dxa"/>
        </w:tblCellMar>
      </w:tblPr>
      <w:tblGrid>
        <w:gridCol w:w="1004"/>
        <w:gridCol w:w="986"/>
        <w:gridCol w:w="152"/>
        <w:gridCol w:w="1280"/>
        <w:gridCol w:w="6392"/>
      </w:tblGrid>
      <w:tr>
        <w:tblPrEx>
          <w:tblCellMar>
            <w:top w:w="0" w:type="dxa"/>
            <w:left w:w="0" w:type="dxa"/>
            <w:bottom w:w="0" w:type="dxa"/>
            <w:right w:w="0" w:type="dxa"/>
          </w:tblCellMar>
        </w:tblPrEx>
        <w:trPr>
          <w:trHeight w:val="495" w:hRule="atLeast"/>
          <w:tblHeader/>
        </w:trPr>
        <w:tc>
          <w:tcPr>
            <w:tcW w:w="34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Times New Roman" w:asciiTheme="minorEastAsia" w:hAnsiTheme="minorEastAsia"/>
                <w:b/>
                <w:color w:val="auto"/>
                <w:kern w:val="0"/>
                <w:szCs w:val="21"/>
                <w:highlight w:val="none"/>
              </w:rPr>
            </w:pPr>
            <w:r>
              <w:rPr>
                <w:rFonts w:hint="eastAsia" w:cs="宋体" w:asciiTheme="minorEastAsia" w:hAnsiTheme="minorEastAsia"/>
                <w:b/>
                <w:color w:val="auto"/>
                <w:spacing w:val="1"/>
                <w:kern w:val="0"/>
                <w:szCs w:val="21"/>
                <w:highlight w:val="none"/>
              </w:rPr>
              <w:t>评</w:t>
            </w:r>
            <w:r>
              <w:rPr>
                <w:rFonts w:hint="eastAsia" w:cs="Adobe ｷﾂﾋﾎ Std R" w:asciiTheme="minorEastAsia" w:hAnsiTheme="minorEastAsia"/>
                <w:b/>
                <w:color w:val="auto"/>
                <w:spacing w:val="1"/>
                <w:kern w:val="0"/>
                <w:szCs w:val="21"/>
                <w:highlight w:val="none"/>
              </w:rPr>
              <w:t>分因</w:t>
            </w:r>
            <w:r>
              <w:rPr>
                <w:rFonts w:hint="eastAsia" w:cs="Adobe ｷﾂﾋﾎ Std R" w:asciiTheme="minorEastAsia" w:hAnsiTheme="minorEastAsia"/>
                <w:b/>
                <w:color w:val="auto"/>
                <w:kern w:val="0"/>
                <w:szCs w:val="21"/>
                <w:highlight w:val="none"/>
              </w:rPr>
              <w:t>素与</w:t>
            </w:r>
            <w:r>
              <w:rPr>
                <w:rFonts w:hint="eastAsia" w:cs="宋体" w:asciiTheme="minorEastAsia" w:hAnsiTheme="minorEastAsia"/>
                <w:b/>
                <w:color w:val="auto"/>
                <w:spacing w:val="1"/>
                <w:kern w:val="0"/>
                <w:szCs w:val="21"/>
                <w:highlight w:val="none"/>
              </w:rPr>
              <w:t>权</w:t>
            </w:r>
            <w:r>
              <w:rPr>
                <w:rFonts w:hint="eastAsia" w:cs="Adobe ｷﾂﾋﾎ Std R" w:asciiTheme="minorEastAsia" w:hAnsiTheme="minorEastAsia"/>
                <w:b/>
                <w:color w:val="auto"/>
                <w:spacing w:val="1"/>
                <w:kern w:val="0"/>
                <w:szCs w:val="21"/>
                <w:highlight w:val="none"/>
              </w:rPr>
              <w:t>重分</w:t>
            </w:r>
            <w:r>
              <w:rPr>
                <w:rFonts w:hint="eastAsia" w:cs="宋体" w:asciiTheme="minorEastAsia" w:hAnsiTheme="minorEastAsia"/>
                <w:b/>
                <w:color w:val="auto"/>
                <w:kern w:val="0"/>
                <w:szCs w:val="21"/>
                <w:highlight w:val="none"/>
              </w:rPr>
              <w:t>值</w:t>
            </w:r>
          </w:p>
        </w:tc>
        <w:tc>
          <w:tcPr>
            <w:tcW w:w="639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kern w:val="0"/>
                <w:szCs w:val="21"/>
                <w:highlight w:val="none"/>
              </w:rPr>
            </w:pPr>
            <w:r>
              <w:rPr>
                <w:rFonts w:hint="eastAsia" w:cs="宋体" w:asciiTheme="minorEastAsia" w:hAnsiTheme="minorEastAsia"/>
                <w:b/>
                <w:color w:val="auto"/>
                <w:spacing w:val="1"/>
                <w:kern w:val="0"/>
                <w:szCs w:val="21"/>
                <w:highlight w:val="none"/>
              </w:rPr>
              <w:t>评</w:t>
            </w:r>
            <w:r>
              <w:rPr>
                <w:rFonts w:hint="eastAsia" w:cs="Adobe ｷﾂﾋﾎ Std R" w:asciiTheme="minorEastAsia" w:hAnsiTheme="minorEastAsia"/>
                <w:b/>
                <w:color w:val="auto"/>
                <w:spacing w:val="1"/>
                <w:kern w:val="0"/>
                <w:szCs w:val="21"/>
                <w:highlight w:val="none"/>
              </w:rPr>
              <w:t>分</w:t>
            </w:r>
            <w:r>
              <w:rPr>
                <w:rFonts w:hint="eastAsia" w:cs="宋体" w:asciiTheme="minorEastAsia" w:hAnsiTheme="minorEastAsia"/>
                <w:b/>
                <w:color w:val="auto"/>
                <w:spacing w:val="1"/>
                <w:kern w:val="0"/>
                <w:szCs w:val="21"/>
                <w:highlight w:val="none"/>
              </w:rPr>
              <w:t>标</w:t>
            </w:r>
            <w:r>
              <w:rPr>
                <w:rFonts w:hint="eastAsia" w:cs="Adobe ｷﾂﾋﾎ Std R" w:asciiTheme="minorEastAsia" w:hAnsiTheme="minorEastAsia"/>
                <w:b/>
                <w:color w:val="auto"/>
                <w:spacing w:val="1"/>
                <w:kern w:val="0"/>
                <w:szCs w:val="21"/>
                <w:highlight w:val="none"/>
              </w:rPr>
              <w:t>准</w:t>
            </w:r>
          </w:p>
        </w:tc>
      </w:tr>
      <w:tr>
        <w:tblPrEx>
          <w:tblCellMar>
            <w:top w:w="0" w:type="dxa"/>
            <w:left w:w="0" w:type="dxa"/>
            <w:bottom w:w="0" w:type="dxa"/>
            <w:right w:w="0" w:type="dxa"/>
          </w:tblCellMar>
        </w:tblPrEx>
        <w:trPr>
          <w:trHeight w:val="126" w:hRule="atLeast"/>
          <w:tblHeader/>
        </w:trPr>
        <w:tc>
          <w:tcPr>
            <w:tcW w:w="10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Times New Roman" w:asciiTheme="minorEastAsia" w:hAnsiTheme="minorEastAsia"/>
                <w:b/>
                <w:color w:val="auto"/>
                <w:kern w:val="0"/>
                <w:szCs w:val="21"/>
                <w:highlight w:val="none"/>
              </w:rPr>
            </w:pPr>
            <w:r>
              <w:rPr>
                <w:rFonts w:hint="eastAsia" w:cs="Adobe ｷﾂﾋﾎ Std R" w:asciiTheme="minorEastAsia" w:hAnsiTheme="minorEastAsia"/>
                <w:b/>
                <w:color w:val="auto"/>
                <w:spacing w:val="1"/>
                <w:kern w:val="0"/>
                <w:szCs w:val="21"/>
                <w:highlight w:val="none"/>
              </w:rPr>
              <w:t>条款号</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Times New Roman" w:asciiTheme="minorEastAsia" w:hAnsiTheme="minorEastAsia"/>
                <w:b/>
                <w:color w:val="auto"/>
                <w:kern w:val="0"/>
                <w:szCs w:val="21"/>
                <w:highlight w:val="none"/>
              </w:rPr>
            </w:pPr>
            <w:r>
              <w:rPr>
                <w:rFonts w:hint="eastAsia" w:cs="Adobe ｷﾂﾋﾎ Std R" w:asciiTheme="minorEastAsia" w:hAnsiTheme="minorEastAsia"/>
                <w:b/>
                <w:color w:val="auto"/>
                <w:spacing w:val="1"/>
                <w:kern w:val="0"/>
                <w:szCs w:val="21"/>
                <w:highlight w:val="none"/>
              </w:rPr>
              <w:t>各</w:t>
            </w:r>
            <w:r>
              <w:rPr>
                <w:rFonts w:hint="eastAsia" w:cs="宋体" w:asciiTheme="minorEastAsia" w:hAnsiTheme="minorEastAsia"/>
                <w:b/>
                <w:color w:val="auto"/>
                <w:spacing w:val="1"/>
                <w:kern w:val="0"/>
                <w:szCs w:val="21"/>
                <w:highlight w:val="none"/>
              </w:rPr>
              <w:t>评</w:t>
            </w:r>
            <w:r>
              <w:rPr>
                <w:rFonts w:hint="eastAsia" w:cs="Adobe ｷﾂﾋﾎ Std R" w:asciiTheme="minorEastAsia" w:hAnsiTheme="minorEastAsia"/>
                <w:b/>
                <w:color w:val="auto"/>
                <w:spacing w:val="1"/>
                <w:kern w:val="0"/>
                <w:szCs w:val="21"/>
                <w:highlight w:val="none"/>
              </w:rPr>
              <w:t>分</w:t>
            </w:r>
            <w:r>
              <w:rPr>
                <w:rFonts w:hint="eastAsia" w:cs="Adobe ｷﾂﾋﾎ Std R" w:asciiTheme="minorEastAsia" w:hAnsiTheme="minorEastAsia"/>
                <w:b/>
                <w:color w:val="auto"/>
                <w:kern w:val="0"/>
                <w:szCs w:val="21"/>
                <w:highlight w:val="none"/>
              </w:rPr>
              <w:t>因素</w:t>
            </w:r>
            <w:r>
              <w:rPr>
                <w:rFonts w:hint="eastAsia" w:cs="宋体" w:asciiTheme="minorEastAsia" w:hAnsiTheme="minorEastAsia"/>
                <w:b/>
                <w:color w:val="auto"/>
                <w:spacing w:val="1"/>
                <w:kern w:val="0"/>
                <w:szCs w:val="21"/>
                <w:highlight w:val="none"/>
              </w:rPr>
              <w:t>细</w:t>
            </w:r>
            <w:r>
              <w:rPr>
                <w:rFonts w:hint="eastAsia" w:cs="Adobe ｷﾂﾋﾎ Std R" w:asciiTheme="minorEastAsia" w:hAnsiTheme="minorEastAsia"/>
                <w:b/>
                <w:color w:val="auto"/>
                <w:spacing w:val="1"/>
                <w:kern w:val="0"/>
                <w:szCs w:val="21"/>
                <w:highlight w:val="none"/>
              </w:rPr>
              <w:t>分</w:t>
            </w:r>
            <w:r>
              <w:rPr>
                <w:rFonts w:hint="eastAsia" w:cs="宋体" w:asciiTheme="minorEastAsia" w:hAnsiTheme="minorEastAsia"/>
                <w:b/>
                <w:color w:val="auto"/>
                <w:spacing w:val="1"/>
                <w:kern w:val="0"/>
                <w:szCs w:val="21"/>
                <w:highlight w:val="none"/>
              </w:rPr>
              <w:t>项</w:t>
            </w:r>
          </w:p>
        </w:tc>
        <w:tc>
          <w:tcPr>
            <w:tcW w:w="12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Times New Roman" w:asciiTheme="minorEastAsia" w:hAnsiTheme="minorEastAsia"/>
                <w:b/>
                <w:color w:val="auto"/>
                <w:kern w:val="0"/>
                <w:szCs w:val="21"/>
                <w:highlight w:val="none"/>
              </w:rPr>
            </w:pPr>
            <w:r>
              <w:rPr>
                <w:rFonts w:hint="eastAsia" w:cs="Adobe ｷﾂﾋﾎ Std R" w:asciiTheme="minorEastAsia" w:hAnsiTheme="minorEastAsia"/>
                <w:b/>
                <w:color w:val="auto"/>
                <w:spacing w:val="1"/>
                <w:kern w:val="0"/>
                <w:szCs w:val="21"/>
                <w:highlight w:val="none"/>
              </w:rPr>
              <w:t>分</w:t>
            </w:r>
            <w:r>
              <w:rPr>
                <w:rFonts w:hint="eastAsia" w:cs="宋体" w:asciiTheme="minorEastAsia" w:hAnsiTheme="minorEastAsia"/>
                <w:b/>
                <w:color w:val="auto"/>
                <w:spacing w:val="1"/>
                <w:kern w:val="0"/>
                <w:szCs w:val="21"/>
                <w:highlight w:val="none"/>
              </w:rPr>
              <w:t>值</w:t>
            </w:r>
          </w:p>
        </w:tc>
        <w:tc>
          <w:tcPr>
            <w:tcW w:w="639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00" w:lineRule="exact"/>
              <w:ind w:left="105" w:leftChars="50" w:right="105" w:rightChars="50"/>
              <w:jc w:val="left"/>
              <w:rPr>
                <w:rFonts w:cs="Times New Roman" w:asciiTheme="minorEastAsia" w:hAnsiTheme="minorEastAsia"/>
                <w:color w:val="auto"/>
                <w:kern w:val="0"/>
                <w:szCs w:val="21"/>
                <w:highlight w:val="none"/>
              </w:rPr>
            </w:pPr>
          </w:p>
        </w:tc>
      </w:tr>
      <w:tr>
        <w:tblPrEx>
          <w:tblCellMar>
            <w:top w:w="0" w:type="dxa"/>
            <w:left w:w="0" w:type="dxa"/>
            <w:bottom w:w="0" w:type="dxa"/>
            <w:right w:w="0" w:type="dxa"/>
          </w:tblCellMar>
        </w:tblPrEx>
        <w:trPr>
          <w:trHeight w:val="1583" w:hRule="atLeast"/>
        </w:trPr>
        <w:tc>
          <w:tcPr>
            <w:tcW w:w="1004"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cs="Adobe ｷﾂﾋﾎ Std R" w:asciiTheme="minorEastAsia" w:hAnsiTheme="minorEastAsia"/>
                <w:b/>
                <w:color w:val="auto"/>
                <w:spacing w:val="1"/>
                <w:kern w:val="0"/>
                <w:szCs w:val="21"/>
                <w:highlight w:val="none"/>
              </w:rPr>
              <w:t>2.2.4</w:t>
            </w:r>
          </w:p>
          <w:p>
            <w:pPr>
              <w:tabs>
                <w:tab w:val="left" w:pos="660"/>
              </w:tabs>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cs="Adobe ｷﾂﾋﾎ Std R" w:asciiTheme="minorEastAsia" w:hAnsiTheme="minorEastAsia"/>
                <w:b/>
                <w:color w:val="auto"/>
                <w:spacing w:val="1"/>
                <w:kern w:val="0"/>
                <w:szCs w:val="21"/>
                <w:highlight w:val="none"/>
              </w:rPr>
              <w:t>(1)</w:t>
            </w:r>
          </w:p>
        </w:tc>
        <w:tc>
          <w:tcPr>
            <w:tcW w:w="1138" w:type="dxa"/>
            <w:gridSpan w:val="2"/>
            <w:vMerge w:val="restart"/>
            <w:tcBorders>
              <w:top w:val="single" w:color="000000" w:sz="4" w:space="0"/>
              <w:left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Times New Roman"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监</w:t>
            </w:r>
            <w:r>
              <w:rPr>
                <w:rFonts w:hint="eastAsia" w:cs="Adobe ｷﾂﾋﾎ Std R" w:asciiTheme="minorEastAsia" w:hAnsiTheme="minorEastAsia"/>
                <w:color w:val="auto"/>
                <w:kern w:val="0"/>
                <w:szCs w:val="21"/>
                <w:highlight w:val="none"/>
              </w:rPr>
              <w:t>理大</w:t>
            </w:r>
            <w:r>
              <w:rPr>
                <w:rFonts w:hint="eastAsia" w:cs="宋体" w:asciiTheme="minorEastAsia" w:hAnsiTheme="minorEastAsia"/>
                <w:color w:val="auto"/>
                <w:kern w:val="0"/>
                <w:szCs w:val="21"/>
                <w:highlight w:val="none"/>
              </w:rPr>
              <w:t>纲</w:t>
            </w:r>
            <w:r>
              <w:rPr>
                <w:rFonts w:hint="eastAsia" w:cs="Adobe ｷﾂﾋﾎ Std R" w:asciiTheme="minorEastAsia" w:hAnsiTheme="minorEastAsia"/>
                <w:color w:val="auto"/>
                <w:kern w:val="0"/>
                <w:szCs w:val="21"/>
                <w:highlight w:val="none"/>
              </w:rPr>
              <w:t>（或</w:t>
            </w:r>
            <w:r>
              <w:rPr>
                <w:rFonts w:hint="eastAsia" w:cs="宋体" w:asciiTheme="minorEastAsia" w:hAnsiTheme="minorEastAsia"/>
                <w:color w:val="auto"/>
                <w:kern w:val="0"/>
                <w:szCs w:val="21"/>
                <w:highlight w:val="none"/>
              </w:rPr>
              <w:t>监</w:t>
            </w:r>
            <w:r>
              <w:rPr>
                <w:rFonts w:hint="eastAsia" w:cs="Adobe ｷﾂﾋﾎ Std R" w:asciiTheme="minorEastAsia" w:hAnsiTheme="minorEastAsia"/>
                <w:color w:val="auto"/>
                <w:kern w:val="0"/>
                <w:szCs w:val="21"/>
                <w:highlight w:val="none"/>
              </w:rPr>
              <w:t>理方案）和措施</w:t>
            </w:r>
          </w:p>
        </w:tc>
        <w:tc>
          <w:tcPr>
            <w:tcW w:w="1280" w:type="dxa"/>
            <w:tcBorders>
              <w:top w:val="single" w:color="000000" w:sz="4" w:space="0"/>
              <w:left w:val="single" w:color="000000" w:sz="4" w:space="0"/>
              <w:right w:val="single" w:color="000000" w:sz="4" w:space="0"/>
            </w:tcBorders>
            <w:vAlign w:val="center"/>
          </w:tcPr>
          <w:p>
            <w:pPr>
              <w:tabs>
                <w:tab w:val="left" w:pos="520"/>
              </w:tabs>
              <w:autoSpaceDE w:val="0"/>
              <w:autoSpaceDN w:val="0"/>
              <w:adjustRightInd w:val="0"/>
              <w:spacing w:line="300" w:lineRule="exact"/>
              <w:ind w:left="105" w:leftChars="50" w:right="105" w:rightChars="50"/>
              <w:jc w:val="center"/>
              <w:rPr>
                <w:rFonts w:cs="Times New Roman" w:asciiTheme="minorEastAsia" w:hAnsiTheme="minorEastAsia"/>
                <w:color w:val="auto"/>
                <w:kern w:val="0"/>
                <w:szCs w:val="21"/>
                <w:highlight w:val="none"/>
              </w:rPr>
            </w:pPr>
            <w:r>
              <w:rPr>
                <w:rFonts w:ascii="宋体"/>
                <w:color w:val="auto"/>
                <w:szCs w:val="21"/>
                <w:highlight w:val="none"/>
              </w:rPr>
              <w:t>对本招标项目监理工作范围和任务理解</w:t>
            </w:r>
            <w:r>
              <w:rPr>
                <w:rFonts w:hint="eastAsia" w:ascii="宋体"/>
                <w:color w:val="auto"/>
                <w:szCs w:val="21"/>
                <w:highlight w:val="none"/>
              </w:rPr>
              <w:br w:type="textWrapping"/>
            </w:r>
            <w:r>
              <w:rPr>
                <w:rFonts w:hint="eastAsia" w:ascii="宋体"/>
                <w:color w:val="auto"/>
                <w:szCs w:val="21"/>
                <w:highlight w:val="none"/>
              </w:rPr>
              <w:t>（</w:t>
            </w:r>
            <w:r>
              <w:rPr>
                <w:rFonts w:hint="eastAsia" w:cs="Adobe ｷﾂﾋﾎ Std R" w:asciiTheme="minorEastAsia" w:hAnsiTheme="minorEastAsia"/>
                <w:color w:val="auto"/>
                <w:kern w:val="0"/>
                <w:szCs w:val="21"/>
                <w:highlight w:val="none"/>
              </w:rPr>
              <w:t>3分）</w:t>
            </w:r>
          </w:p>
        </w:tc>
        <w:tc>
          <w:tcPr>
            <w:tcW w:w="63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hint="eastAsia" w:cs="Times New Roman" w:asciiTheme="minorEastAsia" w:hAnsiTheme="minorEastAsia"/>
                <w:color w:val="auto"/>
                <w:kern w:val="0"/>
                <w:szCs w:val="21"/>
                <w:highlight w:val="none"/>
              </w:rPr>
              <w:t>本项基本分为1.8分，满分3分，缺项不得分。</w:t>
            </w:r>
          </w:p>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hint="eastAsia" w:cs="Times New Roman" w:asciiTheme="minorEastAsia" w:hAnsiTheme="minorEastAsia"/>
                <w:color w:val="auto"/>
                <w:kern w:val="0"/>
                <w:szCs w:val="21"/>
                <w:highlight w:val="none"/>
              </w:rPr>
              <w:t>依据监理合同中规定的监理服务的要求和范围，对拟投监理标段的监理工作安排、主要监理人员的岗位职责进行必要的阐述，理解准确，思路清晰，全面、合理，符合项目要求，酌情加分，最高3分。</w:t>
            </w:r>
          </w:p>
        </w:tc>
      </w:tr>
      <w:tr>
        <w:tblPrEx>
          <w:tblCellMar>
            <w:top w:w="0" w:type="dxa"/>
            <w:left w:w="0" w:type="dxa"/>
            <w:bottom w:w="0" w:type="dxa"/>
            <w:right w:w="0" w:type="dxa"/>
          </w:tblCellMar>
        </w:tblPrEx>
        <w:trPr>
          <w:trHeight w:val="1774" w:hRule="atLeast"/>
        </w:trPr>
        <w:tc>
          <w:tcPr>
            <w:tcW w:w="1004" w:type="dxa"/>
            <w:vMerge w:val="continue"/>
            <w:tcBorders>
              <w:left w:val="single" w:color="000000" w:sz="4" w:space="0"/>
              <w:right w:val="single" w:color="000000" w:sz="4" w:space="0"/>
            </w:tcBorders>
            <w:vAlign w:val="center"/>
          </w:tcPr>
          <w:p>
            <w:pPr>
              <w:tabs>
                <w:tab w:val="left" w:pos="660"/>
              </w:tabs>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p>
        </w:tc>
        <w:tc>
          <w:tcPr>
            <w:tcW w:w="1138" w:type="dxa"/>
            <w:gridSpan w:val="2"/>
            <w:vMerge w:val="continue"/>
            <w:tcBorders>
              <w:left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宋体" w:asciiTheme="minorEastAsia" w:hAnsiTheme="minorEastAsia"/>
                <w:color w:val="auto"/>
                <w:kern w:val="0"/>
                <w:szCs w:val="21"/>
                <w:highlight w:val="none"/>
              </w:rPr>
            </w:pPr>
          </w:p>
        </w:tc>
        <w:tc>
          <w:tcPr>
            <w:tcW w:w="1280" w:type="dxa"/>
            <w:tcBorders>
              <w:top w:val="single" w:color="000000" w:sz="4" w:space="0"/>
              <w:left w:val="single" w:color="000000" w:sz="4" w:space="0"/>
              <w:right w:val="single" w:color="000000" w:sz="4" w:space="0"/>
            </w:tcBorders>
            <w:vAlign w:val="center"/>
          </w:tcPr>
          <w:p>
            <w:pPr>
              <w:jc w:val="center"/>
              <w:rPr>
                <w:color w:val="auto"/>
                <w:highlight w:val="none"/>
              </w:rPr>
            </w:pPr>
            <w:r>
              <w:rPr>
                <w:rFonts w:ascii="宋体"/>
                <w:color w:val="auto"/>
                <w:szCs w:val="21"/>
                <w:highlight w:val="none"/>
              </w:rPr>
              <w:t>监理工作</w:t>
            </w:r>
          </w:p>
          <w:p>
            <w:pPr>
              <w:jc w:val="center"/>
              <w:rPr>
                <w:color w:val="auto"/>
                <w:highlight w:val="none"/>
              </w:rPr>
            </w:pPr>
            <w:r>
              <w:rPr>
                <w:rFonts w:ascii="宋体"/>
                <w:color w:val="auto"/>
                <w:szCs w:val="21"/>
                <w:highlight w:val="none"/>
              </w:rPr>
              <w:t>程序</w:t>
            </w:r>
          </w:p>
          <w:p>
            <w:pPr>
              <w:jc w:val="center"/>
              <w:rPr>
                <w:color w:val="auto"/>
                <w:highlight w:val="none"/>
              </w:rPr>
            </w:pPr>
            <w:r>
              <w:rPr>
                <w:rFonts w:ascii="宋体"/>
                <w:color w:val="auto"/>
                <w:szCs w:val="21"/>
                <w:highlight w:val="none"/>
              </w:rPr>
              <w:t>(</w:t>
            </w:r>
            <w:r>
              <w:rPr>
                <w:rFonts w:hint="eastAsia" w:ascii="宋体"/>
                <w:color w:val="auto"/>
                <w:szCs w:val="21"/>
                <w:highlight w:val="none"/>
              </w:rPr>
              <w:t>2</w:t>
            </w:r>
            <w:r>
              <w:rPr>
                <w:rFonts w:ascii="宋体"/>
                <w:color w:val="auto"/>
                <w:szCs w:val="21"/>
                <w:highlight w:val="none"/>
              </w:rPr>
              <w:t>分)</w:t>
            </w:r>
          </w:p>
        </w:tc>
        <w:tc>
          <w:tcPr>
            <w:tcW w:w="63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cs="Times New Roman" w:asciiTheme="minorEastAsia" w:hAnsiTheme="minorEastAsia"/>
                <w:color w:val="auto"/>
                <w:kern w:val="0"/>
                <w:szCs w:val="21"/>
                <w:highlight w:val="none"/>
              </w:rPr>
              <w:t>本项基本分为</w:t>
            </w:r>
            <w:r>
              <w:rPr>
                <w:rFonts w:hint="eastAsia" w:cs="Times New Roman" w:asciiTheme="minorEastAsia" w:hAnsiTheme="minorEastAsia"/>
                <w:color w:val="auto"/>
                <w:kern w:val="0"/>
                <w:szCs w:val="21"/>
                <w:highlight w:val="none"/>
              </w:rPr>
              <w:t>1.2</w:t>
            </w:r>
            <w:r>
              <w:rPr>
                <w:rFonts w:cs="Times New Roman" w:asciiTheme="minorEastAsia" w:hAnsiTheme="minorEastAsia"/>
                <w:color w:val="auto"/>
                <w:kern w:val="0"/>
                <w:szCs w:val="21"/>
                <w:highlight w:val="none"/>
              </w:rPr>
              <w:t>分，满分</w:t>
            </w:r>
            <w:r>
              <w:rPr>
                <w:rFonts w:hint="eastAsia" w:cs="Times New Roman" w:asciiTheme="minorEastAsia" w:hAnsiTheme="minorEastAsia"/>
                <w:color w:val="auto"/>
                <w:kern w:val="0"/>
                <w:szCs w:val="21"/>
                <w:highlight w:val="none"/>
              </w:rPr>
              <w:t>2</w:t>
            </w:r>
            <w:r>
              <w:rPr>
                <w:rFonts w:cs="Times New Roman" w:asciiTheme="minorEastAsia" w:hAnsiTheme="minorEastAsia"/>
                <w:color w:val="auto"/>
                <w:kern w:val="0"/>
                <w:szCs w:val="21"/>
                <w:highlight w:val="none"/>
              </w:rPr>
              <w:t>分</w:t>
            </w:r>
            <w:r>
              <w:rPr>
                <w:rFonts w:hint="eastAsia" w:cs="Times New Roman" w:asciiTheme="minorEastAsia" w:hAnsiTheme="minorEastAsia"/>
                <w:color w:val="auto"/>
                <w:kern w:val="0"/>
                <w:szCs w:val="21"/>
                <w:highlight w:val="none"/>
              </w:rPr>
              <w:t>，缺项不得分</w:t>
            </w:r>
            <w:r>
              <w:rPr>
                <w:rFonts w:cs="Times New Roman" w:asciiTheme="minorEastAsia" w:hAnsiTheme="minorEastAsia"/>
                <w:color w:val="auto"/>
                <w:kern w:val="0"/>
                <w:szCs w:val="21"/>
                <w:highlight w:val="none"/>
              </w:rPr>
              <w:t>。</w:t>
            </w:r>
          </w:p>
          <w:p>
            <w:pPr>
              <w:autoSpaceDE w:val="0"/>
              <w:autoSpaceDN w:val="0"/>
              <w:adjustRightInd w:val="0"/>
              <w:spacing w:line="300" w:lineRule="exact"/>
              <w:ind w:left="105" w:leftChars="50" w:right="105" w:rightChars="50"/>
              <w:rPr>
                <w:color w:val="auto"/>
                <w:highlight w:val="none"/>
              </w:rPr>
            </w:pPr>
            <w:r>
              <w:rPr>
                <w:rFonts w:cs="Times New Roman" w:asciiTheme="minorEastAsia" w:hAnsiTheme="minorEastAsia"/>
                <w:color w:val="auto"/>
                <w:kern w:val="0"/>
                <w:szCs w:val="21"/>
                <w:highlight w:val="none"/>
              </w:rPr>
              <w:t>结合监理工作的阶段划分，对工程质量控制、进度控制、施工安全控制、施工环境保护、费用控制、合同及其他事项管理、文件资料管理等方面，进行监理工作的方法与流程的简要阐述内容。内容齐全，阶段划分合理、正确，可实施性强，酌情加分，最高</w:t>
            </w:r>
            <w:r>
              <w:rPr>
                <w:rFonts w:hint="eastAsia" w:cs="Times New Roman" w:asciiTheme="minorEastAsia" w:hAnsiTheme="minorEastAsia"/>
                <w:color w:val="auto"/>
                <w:kern w:val="0"/>
                <w:szCs w:val="21"/>
                <w:highlight w:val="none"/>
              </w:rPr>
              <w:t>2</w:t>
            </w:r>
            <w:r>
              <w:rPr>
                <w:rFonts w:cs="Times New Roman" w:asciiTheme="minorEastAsia" w:hAnsiTheme="minorEastAsia"/>
                <w:color w:val="auto"/>
                <w:kern w:val="0"/>
                <w:szCs w:val="21"/>
                <w:highlight w:val="none"/>
              </w:rPr>
              <w:t>分。</w:t>
            </w:r>
          </w:p>
        </w:tc>
      </w:tr>
      <w:tr>
        <w:tblPrEx>
          <w:tblCellMar>
            <w:top w:w="0" w:type="dxa"/>
            <w:left w:w="0" w:type="dxa"/>
            <w:bottom w:w="0" w:type="dxa"/>
            <w:right w:w="0" w:type="dxa"/>
          </w:tblCellMar>
        </w:tblPrEx>
        <w:trPr>
          <w:trHeight w:val="1403" w:hRule="atLeast"/>
        </w:trPr>
        <w:tc>
          <w:tcPr>
            <w:tcW w:w="1004" w:type="dxa"/>
            <w:vMerge w:val="continue"/>
            <w:tcBorders>
              <w:left w:val="single" w:color="000000" w:sz="4" w:space="0"/>
              <w:right w:val="single" w:color="000000" w:sz="4" w:space="0"/>
            </w:tcBorders>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Times New Roman" w:asciiTheme="minorEastAsia" w:hAnsiTheme="minorEastAsia"/>
                <w:color w:val="auto"/>
                <w:kern w:val="0"/>
                <w:szCs w:val="21"/>
                <w:highlight w:val="none"/>
              </w:rPr>
            </w:pPr>
            <w:r>
              <w:rPr>
                <w:rFonts w:hint="eastAsia" w:cs="Adobe ｷﾂﾋﾎ Std R" w:asciiTheme="minorEastAsia" w:hAnsiTheme="minorEastAsia"/>
                <w:color w:val="auto"/>
                <w:kern w:val="0"/>
                <w:szCs w:val="21"/>
                <w:highlight w:val="none"/>
              </w:rPr>
              <w:t>本工程</w:t>
            </w:r>
            <w:r>
              <w:rPr>
                <w:rFonts w:hint="eastAsia" w:cs="宋体" w:asciiTheme="minorEastAsia" w:hAnsiTheme="minorEastAsia"/>
                <w:color w:val="auto"/>
                <w:kern w:val="0"/>
                <w:szCs w:val="21"/>
                <w:highlight w:val="none"/>
              </w:rPr>
              <w:t>监</w:t>
            </w:r>
            <w:r>
              <w:rPr>
                <w:rFonts w:hint="eastAsia" w:cs="Adobe ｷﾂﾋﾎ Std R" w:asciiTheme="minorEastAsia" w:hAnsiTheme="minorEastAsia"/>
                <w:color w:val="auto"/>
                <w:kern w:val="0"/>
                <w:szCs w:val="21"/>
                <w:highlight w:val="none"/>
              </w:rPr>
              <w:t>理工作的重点与</w:t>
            </w:r>
            <w:r>
              <w:rPr>
                <w:rFonts w:hint="eastAsia" w:cs="宋体" w:asciiTheme="minorEastAsia" w:hAnsiTheme="minorEastAsia"/>
                <w:color w:val="auto"/>
                <w:kern w:val="0"/>
                <w:szCs w:val="21"/>
                <w:highlight w:val="none"/>
              </w:rPr>
              <w:t>难</w:t>
            </w:r>
            <w:r>
              <w:rPr>
                <w:rFonts w:hint="eastAsia" w:cs="Adobe ｷﾂﾋﾎ Std R" w:asciiTheme="minorEastAsia" w:hAnsiTheme="minorEastAsia"/>
                <w:color w:val="auto"/>
                <w:kern w:val="0"/>
                <w:szCs w:val="21"/>
                <w:highlight w:val="none"/>
              </w:rPr>
              <w:t>点分析</w:t>
            </w:r>
          </w:p>
        </w:tc>
        <w:tc>
          <w:tcPr>
            <w:tcW w:w="1280"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pacing w:line="300" w:lineRule="exact"/>
              <w:ind w:left="105" w:leftChars="50" w:right="105" w:rightChars="50"/>
              <w:jc w:val="center"/>
              <w:rPr>
                <w:rFonts w:cs="Times New Roman" w:asciiTheme="minorEastAsia" w:hAnsiTheme="minorEastAsia"/>
                <w:color w:val="auto"/>
                <w:kern w:val="0"/>
                <w:szCs w:val="21"/>
                <w:highlight w:val="none"/>
              </w:rPr>
            </w:pPr>
            <w:r>
              <w:rPr>
                <w:rFonts w:hint="eastAsia" w:cs="Adobe ｷﾂﾋﾎ Std R" w:asciiTheme="minorEastAsia" w:hAnsiTheme="minorEastAsia"/>
                <w:color w:val="auto"/>
                <w:kern w:val="0"/>
                <w:szCs w:val="21"/>
                <w:highlight w:val="none"/>
              </w:rPr>
              <w:t>3分</w:t>
            </w:r>
          </w:p>
        </w:tc>
        <w:tc>
          <w:tcPr>
            <w:tcW w:w="63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cs="Times New Roman" w:asciiTheme="minorEastAsia" w:hAnsiTheme="minorEastAsia"/>
                <w:color w:val="auto"/>
                <w:kern w:val="0"/>
                <w:szCs w:val="21"/>
                <w:highlight w:val="none"/>
              </w:rPr>
              <w:t>本项基本分为1.8分，满分</w:t>
            </w:r>
            <w:r>
              <w:rPr>
                <w:rFonts w:hint="eastAsia" w:cs="Times New Roman" w:asciiTheme="minorEastAsia" w:hAnsiTheme="minorEastAsia"/>
                <w:color w:val="auto"/>
                <w:kern w:val="0"/>
                <w:szCs w:val="21"/>
                <w:highlight w:val="none"/>
              </w:rPr>
              <w:t>3</w:t>
            </w:r>
            <w:r>
              <w:rPr>
                <w:rFonts w:cs="Times New Roman" w:asciiTheme="minorEastAsia" w:hAnsiTheme="minorEastAsia"/>
                <w:color w:val="auto"/>
                <w:kern w:val="0"/>
                <w:szCs w:val="21"/>
                <w:highlight w:val="none"/>
              </w:rPr>
              <w:t>分</w:t>
            </w:r>
            <w:r>
              <w:rPr>
                <w:rFonts w:hint="eastAsia" w:cs="Times New Roman" w:asciiTheme="minorEastAsia" w:hAnsiTheme="minorEastAsia"/>
                <w:color w:val="auto"/>
                <w:kern w:val="0"/>
                <w:szCs w:val="21"/>
                <w:highlight w:val="none"/>
              </w:rPr>
              <w:t>，缺项不得分</w:t>
            </w:r>
            <w:r>
              <w:rPr>
                <w:rFonts w:cs="Times New Roman" w:asciiTheme="minorEastAsia" w:hAnsiTheme="minorEastAsia"/>
                <w:color w:val="auto"/>
                <w:kern w:val="0"/>
                <w:szCs w:val="21"/>
                <w:highlight w:val="none"/>
              </w:rPr>
              <w:t>。</w:t>
            </w:r>
          </w:p>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cs="Times New Roman" w:asciiTheme="minorEastAsia" w:hAnsiTheme="minorEastAsia"/>
                <w:color w:val="auto"/>
                <w:kern w:val="0"/>
                <w:szCs w:val="21"/>
                <w:highlight w:val="none"/>
              </w:rPr>
              <w:t>对本工程监理工作需要特别给予重视的问题逐一论述并给出解决方法。分析透彻，对难点、重点把握准确；处理措施科学合理，酌情加分，最高3分。</w:t>
            </w:r>
          </w:p>
        </w:tc>
      </w:tr>
      <w:tr>
        <w:tblPrEx>
          <w:tblCellMar>
            <w:top w:w="0" w:type="dxa"/>
            <w:left w:w="0" w:type="dxa"/>
            <w:bottom w:w="0" w:type="dxa"/>
            <w:right w:w="0" w:type="dxa"/>
          </w:tblCellMar>
        </w:tblPrEx>
        <w:trPr>
          <w:trHeight w:val="1409" w:hRule="atLeast"/>
        </w:trPr>
        <w:tc>
          <w:tcPr>
            <w:tcW w:w="1004" w:type="dxa"/>
            <w:vMerge w:val="continue"/>
            <w:tcBorders>
              <w:left w:val="single" w:color="000000" w:sz="4" w:space="0"/>
              <w:bottom w:val="single" w:color="000000" w:sz="4" w:space="0"/>
              <w:right w:val="single" w:color="000000" w:sz="4" w:space="0"/>
            </w:tcBorders>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Times New Roman"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对</w:t>
            </w:r>
            <w:r>
              <w:rPr>
                <w:rFonts w:hint="eastAsia" w:cs="Adobe ｷﾂﾋﾎ Std R" w:asciiTheme="minorEastAsia" w:hAnsiTheme="minorEastAsia"/>
                <w:color w:val="auto"/>
                <w:kern w:val="0"/>
                <w:szCs w:val="21"/>
                <w:highlight w:val="none"/>
              </w:rPr>
              <w:t>本工程的建</w:t>
            </w:r>
            <w:r>
              <w:rPr>
                <w:rFonts w:hint="eastAsia" w:cs="宋体" w:asciiTheme="minorEastAsia" w:hAnsiTheme="minorEastAsia"/>
                <w:color w:val="auto"/>
                <w:kern w:val="0"/>
                <w:szCs w:val="21"/>
                <w:highlight w:val="none"/>
              </w:rPr>
              <w:t>议</w:t>
            </w:r>
          </w:p>
        </w:tc>
        <w:tc>
          <w:tcPr>
            <w:tcW w:w="1280"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pacing w:line="300" w:lineRule="exact"/>
              <w:ind w:left="105" w:leftChars="50" w:right="105" w:rightChars="50"/>
              <w:jc w:val="center"/>
              <w:rPr>
                <w:rFonts w:cs="Times New Roman" w:asciiTheme="minorEastAsia" w:hAnsiTheme="minorEastAsia"/>
                <w:color w:val="auto"/>
                <w:kern w:val="0"/>
                <w:szCs w:val="21"/>
                <w:highlight w:val="none"/>
              </w:rPr>
            </w:pPr>
            <w:r>
              <w:rPr>
                <w:rFonts w:hint="eastAsia" w:cs="Adobe ｷﾂﾋﾎ Std R" w:asciiTheme="minorEastAsia" w:hAnsiTheme="minorEastAsia"/>
                <w:color w:val="auto"/>
                <w:kern w:val="0"/>
                <w:szCs w:val="21"/>
                <w:highlight w:val="none"/>
              </w:rPr>
              <w:t>2分</w:t>
            </w:r>
          </w:p>
        </w:tc>
        <w:tc>
          <w:tcPr>
            <w:tcW w:w="63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cs="Times New Roman" w:asciiTheme="minorEastAsia" w:hAnsiTheme="minorEastAsia"/>
                <w:color w:val="auto"/>
                <w:kern w:val="0"/>
                <w:szCs w:val="21"/>
                <w:highlight w:val="none"/>
              </w:rPr>
              <w:t>本项基本分为1.2分，满分</w:t>
            </w:r>
            <w:r>
              <w:rPr>
                <w:rFonts w:hint="eastAsia" w:cs="Times New Roman" w:asciiTheme="minorEastAsia" w:hAnsiTheme="minorEastAsia"/>
                <w:color w:val="auto"/>
                <w:kern w:val="0"/>
                <w:szCs w:val="21"/>
                <w:highlight w:val="none"/>
              </w:rPr>
              <w:t>2</w:t>
            </w:r>
            <w:r>
              <w:rPr>
                <w:rFonts w:cs="Times New Roman" w:asciiTheme="minorEastAsia" w:hAnsiTheme="minorEastAsia"/>
                <w:color w:val="auto"/>
                <w:kern w:val="0"/>
                <w:szCs w:val="21"/>
                <w:highlight w:val="none"/>
              </w:rPr>
              <w:t>分</w:t>
            </w:r>
            <w:r>
              <w:rPr>
                <w:rFonts w:hint="eastAsia" w:cs="Times New Roman" w:asciiTheme="minorEastAsia" w:hAnsiTheme="minorEastAsia"/>
                <w:color w:val="auto"/>
                <w:kern w:val="0"/>
                <w:szCs w:val="21"/>
                <w:highlight w:val="none"/>
              </w:rPr>
              <w:t>，缺项不得分</w:t>
            </w:r>
            <w:r>
              <w:rPr>
                <w:rFonts w:cs="Times New Roman" w:asciiTheme="minorEastAsia" w:hAnsiTheme="minorEastAsia"/>
                <w:color w:val="auto"/>
                <w:kern w:val="0"/>
                <w:szCs w:val="21"/>
                <w:highlight w:val="none"/>
              </w:rPr>
              <w:t>。</w:t>
            </w:r>
          </w:p>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cs="Times New Roman" w:asciiTheme="minorEastAsia" w:hAnsiTheme="minorEastAsia"/>
                <w:color w:val="auto"/>
                <w:kern w:val="0"/>
                <w:szCs w:val="21"/>
                <w:highlight w:val="none"/>
              </w:rPr>
              <w:t>为更好地完成本项目的监理工作，监理单位可根据本单位以往的监理经验和自身实力，对本工程监理工作拟采用新的现代管理技术和方法(先进、合理，实施性强)，酌情打分，最高2分。</w:t>
            </w:r>
          </w:p>
        </w:tc>
      </w:tr>
      <w:tr>
        <w:tblPrEx>
          <w:tblCellMar>
            <w:top w:w="0" w:type="dxa"/>
            <w:left w:w="0" w:type="dxa"/>
            <w:bottom w:w="0" w:type="dxa"/>
            <w:right w:w="0" w:type="dxa"/>
          </w:tblCellMar>
        </w:tblPrEx>
        <w:trPr>
          <w:trHeight w:val="539" w:hRule="atLeast"/>
        </w:trPr>
        <w:tc>
          <w:tcPr>
            <w:tcW w:w="1004"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cs="Adobe ｷﾂﾋﾎ Std R" w:asciiTheme="minorEastAsia" w:hAnsiTheme="minorEastAsia"/>
                <w:b/>
                <w:color w:val="auto"/>
                <w:spacing w:val="1"/>
                <w:kern w:val="0"/>
                <w:szCs w:val="21"/>
                <w:highlight w:val="none"/>
              </w:rPr>
              <w:t>2.2.4</w:t>
            </w:r>
          </w:p>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cs="Adobe ｷﾂﾋﾎ Std R" w:asciiTheme="minorEastAsia" w:hAnsiTheme="minorEastAsia"/>
                <w:b/>
                <w:color w:val="auto"/>
                <w:spacing w:val="1"/>
                <w:kern w:val="0"/>
                <w:szCs w:val="21"/>
                <w:highlight w:val="none"/>
              </w:rPr>
              <w:t>(2)</w:t>
            </w:r>
          </w:p>
        </w:tc>
        <w:tc>
          <w:tcPr>
            <w:tcW w:w="1138" w:type="dxa"/>
            <w:gridSpan w:val="2"/>
            <w:vMerge w:val="restart"/>
            <w:tcBorders>
              <w:top w:val="single" w:color="000000" w:sz="4" w:space="0"/>
              <w:left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color w:val="auto"/>
                <w:spacing w:val="1"/>
                <w:kern w:val="0"/>
                <w:szCs w:val="21"/>
                <w:highlight w:val="none"/>
              </w:rPr>
            </w:pPr>
            <w:r>
              <w:rPr>
                <w:rFonts w:hint="eastAsia" w:cs="Adobe ｷﾂﾋﾎ Std R" w:asciiTheme="minorEastAsia" w:hAnsiTheme="minorEastAsia"/>
                <w:color w:val="auto"/>
                <w:spacing w:val="1"/>
                <w:kern w:val="0"/>
                <w:szCs w:val="21"/>
                <w:highlight w:val="none"/>
              </w:rPr>
              <w:t>监理人员</w:t>
            </w:r>
          </w:p>
          <w:p>
            <w:pPr>
              <w:autoSpaceDE w:val="0"/>
              <w:autoSpaceDN w:val="0"/>
              <w:adjustRightInd w:val="0"/>
              <w:spacing w:line="300" w:lineRule="exact"/>
              <w:ind w:left="105" w:leftChars="50" w:right="105" w:rightChars="50"/>
              <w:jc w:val="center"/>
              <w:rPr>
                <w:rFonts w:cs="Adobe ｷﾂﾋﾎ Std R" w:asciiTheme="minorEastAsia" w:hAnsiTheme="minorEastAsia"/>
                <w:color w:val="auto"/>
                <w:spacing w:val="1"/>
                <w:kern w:val="0"/>
                <w:szCs w:val="21"/>
                <w:highlight w:val="none"/>
              </w:rPr>
            </w:pPr>
            <w:r>
              <w:rPr>
                <w:rFonts w:hint="eastAsia" w:cs="Adobe ｷﾂﾋﾎ Std R" w:asciiTheme="minorEastAsia" w:hAnsiTheme="minorEastAsia"/>
                <w:color w:val="auto"/>
                <w:spacing w:val="1"/>
                <w:kern w:val="0"/>
                <w:szCs w:val="21"/>
                <w:highlight w:val="none"/>
              </w:rPr>
              <w:t>及机构设置</w:t>
            </w:r>
          </w:p>
        </w:tc>
        <w:tc>
          <w:tcPr>
            <w:tcW w:w="1280" w:type="dxa"/>
            <w:vMerge w:val="restart"/>
            <w:tcBorders>
              <w:top w:val="single" w:color="000000" w:sz="4" w:space="0"/>
              <w:left w:val="single" w:color="000000" w:sz="4" w:space="0"/>
              <w:right w:val="single" w:color="000000" w:sz="4" w:space="0"/>
            </w:tcBorders>
            <w:vAlign w:val="center"/>
          </w:tcPr>
          <w:p>
            <w:pPr>
              <w:tabs>
                <w:tab w:val="left" w:pos="660"/>
              </w:tabs>
              <w:autoSpaceDE w:val="0"/>
              <w:autoSpaceDN w:val="0"/>
              <w:adjustRightInd w:val="0"/>
              <w:spacing w:line="300" w:lineRule="exact"/>
              <w:ind w:left="105" w:leftChars="50" w:right="105" w:rightChars="50"/>
              <w:jc w:val="center"/>
              <w:rPr>
                <w:rFonts w:cs="Adobe ｷﾂﾋﾎ Std R" w:asciiTheme="minorEastAsia" w:hAnsiTheme="minorEastAsia"/>
                <w:color w:val="auto"/>
                <w:spacing w:val="1"/>
                <w:kern w:val="0"/>
                <w:szCs w:val="21"/>
                <w:highlight w:val="none"/>
              </w:rPr>
            </w:pPr>
            <w:r>
              <w:rPr>
                <w:rFonts w:hint="eastAsia" w:cs="Adobe ｷﾂﾋﾎ Std R" w:asciiTheme="minorEastAsia" w:hAnsiTheme="minorEastAsia"/>
                <w:color w:val="auto"/>
                <w:spacing w:val="1"/>
                <w:kern w:val="0"/>
                <w:szCs w:val="21"/>
                <w:highlight w:val="none"/>
              </w:rPr>
              <w:t>35分</w:t>
            </w:r>
          </w:p>
        </w:tc>
        <w:tc>
          <w:tcPr>
            <w:tcW w:w="63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hint="eastAsia" w:cs="Times New Roman" w:asciiTheme="minorEastAsia" w:hAnsiTheme="minorEastAsia"/>
                <w:color w:val="auto"/>
                <w:kern w:val="0"/>
                <w:szCs w:val="21"/>
                <w:highlight w:val="none"/>
              </w:rPr>
              <w:t>总监理工程师满足强制性履约标准要求得23分；</w:t>
            </w:r>
          </w:p>
        </w:tc>
      </w:tr>
      <w:tr>
        <w:tblPrEx>
          <w:tblCellMar>
            <w:top w:w="0" w:type="dxa"/>
            <w:left w:w="0" w:type="dxa"/>
            <w:bottom w:w="0" w:type="dxa"/>
            <w:right w:w="0" w:type="dxa"/>
          </w:tblCellMar>
        </w:tblPrEx>
        <w:trPr>
          <w:trHeight w:val="776" w:hRule="atLeast"/>
        </w:trPr>
        <w:tc>
          <w:tcPr>
            <w:tcW w:w="1004" w:type="dxa"/>
            <w:vMerge w:val="continue"/>
            <w:tcBorders>
              <w:left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p>
        </w:tc>
        <w:tc>
          <w:tcPr>
            <w:tcW w:w="1138" w:type="dxa"/>
            <w:gridSpan w:val="2"/>
            <w:vMerge w:val="continue"/>
            <w:tcBorders>
              <w:left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宋体" w:asciiTheme="minorEastAsia" w:hAnsiTheme="minorEastAsia"/>
                <w:color w:val="auto"/>
                <w:kern w:val="0"/>
                <w:szCs w:val="21"/>
                <w:highlight w:val="none"/>
              </w:rPr>
            </w:pPr>
          </w:p>
        </w:tc>
        <w:tc>
          <w:tcPr>
            <w:tcW w:w="1280" w:type="dxa"/>
            <w:vMerge w:val="continue"/>
            <w:tcBorders>
              <w:left w:val="single" w:color="000000" w:sz="4" w:space="0"/>
              <w:right w:val="single" w:color="000000" w:sz="4" w:space="0"/>
            </w:tcBorders>
            <w:vAlign w:val="center"/>
          </w:tcPr>
          <w:p>
            <w:pPr>
              <w:tabs>
                <w:tab w:val="left" w:pos="520"/>
              </w:tabs>
              <w:autoSpaceDE w:val="0"/>
              <w:autoSpaceDN w:val="0"/>
              <w:adjustRightInd w:val="0"/>
              <w:spacing w:line="300" w:lineRule="exact"/>
              <w:ind w:left="105" w:leftChars="50" w:right="105" w:rightChars="50"/>
              <w:jc w:val="center"/>
              <w:rPr>
                <w:rFonts w:cs="Adobe ｷﾂﾋﾎ Std R" w:asciiTheme="minorEastAsia" w:hAnsiTheme="minorEastAsia"/>
                <w:color w:val="auto"/>
                <w:kern w:val="0"/>
                <w:szCs w:val="21"/>
                <w:highlight w:val="none"/>
              </w:rPr>
            </w:pPr>
          </w:p>
        </w:tc>
        <w:tc>
          <w:tcPr>
            <w:tcW w:w="63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hint="eastAsia" w:ascii="宋体"/>
                <w:b/>
                <w:color w:val="auto"/>
                <w:szCs w:val="21"/>
                <w:highlight w:val="none"/>
              </w:rPr>
              <w:t>I类别（即：JL1</w:t>
            </w:r>
            <w:r>
              <w:rPr>
                <w:rFonts w:hint="eastAsia" w:ascii="宋体"/>
                <w:b/>
                <w:color w:val="auto"/>
                <w:szCs w:val="21"/>
                <w:highlight w:val="none"/>
                <w:lang w:eastAsia="zh-CN"/>
              </w:rPr>
              <w:t>、</w:t>
            </w:r>
            <w:r>
              <w:rPr>
                <w:rFonts w:hint="eastAsia" w:ascii="宋体"/>
                <w:b/>
                <w:color w:val="auto"/>
                <w:szCs w:val="21"/>
                <w:highlight w:val="none"/>
              </w:rPr>
              <w:t>JL</w:t>
            </w:r>
            <w:r>
              <w:rPr>
                <w:rFonts w:hint="eastAsia" w:ascii="宋体"/>
                <w:b/>
                <w:color w:val="auto"/>
                <w:szCs w:val="21"/>
                <w:highlight w:val="none"/>
                <w:lang w:val="en-US" w:eastAsia="zh-CN"/>
              </w:rPr>
              <w:t>2</w:t>
            </w:r>
            <w:r>
              <w:rPr>
                <w:rFonts w:hint="eastAsia" w:ascii="宋体"/>
                <w:b/>
                <w:color w:val="auto"/>
                <w:szCs w:val="21"/>
                <w:highlight w:val="none"/>
              </w:rPr>
              <w:t>标段）：</w:t>
            </w:r>
            <w:r>
              <w:rPr>
                <w:rFonts w:hint="eastAsia" w:cs="Times New Roman" w:asciiTheme="minorEastAsia" w:hAnsiTheme="minorEastAsia"/>
                <w:color w:val="auto"/>
                <w:kern w:val="0"/>
                <w:szCs w:val="21"/>
                <w:highlight w:val="none"/>
              </w:rPr>
              <w:t>在资格审查条件的基础上，总监理工程师每增加1项一级及以上新（改）建公路路面工程监理的总监或驻地监理工程师业绩加6分，本项最高加12分。</w:t>
            </w:r>
          </w:p>
          <w:p>
            <w:pPr>
              <w:autoSpaceDE w:val="0"/>
              <w:autoSpaceDN w:val="0"/>
              <w:adjustRightInd w:val="0"/>
              <w:spacing w:line="300" w:lineRule="exact"/>
              <w:ind w:left="105" w:leftChars="50" w:right="105" w:rightChars="50"/>
              <w:rPr>
                <w:rFonts w:ascii="宋体"/>
                <w:b/>
                <w:color w:val="auto"/>
                <w:szCs w:val="21"/>
                <w:highlight w:val="none"/>
              </w:rPr>
            </w:pPr>
          </w:p>
          <w:p>
            <w:pPr>
              <w:autoSpaceDE w:val="0"/>
              <w:autoSpaceDN w:val="0"/>
              <w:adjustRightInd w:val="0"/>
              <w:spacing w:line="300" w:lineRule="exact"/>
              <w:ind w:left="105" w:leftChars="50" w:right="105" w:rightChars="50"/>
              <w:rPr>
                <w:rFonts w:ascii="宋体"/>
                <w:b/>
                <w:color w:val="auto"/>
                <w:szCs w:val="21"/>
                <w:highlight w:val="none"/>
              </w:rPr>
            </w:pPr>
            <w:r>
              <w:rPr>
                <w:rFonts w:hint="eastAsia" w:ascii="宋体"/>
                <w:b/>
                <w:color w:val="auto"/>
                <w:szCs w:val="21"/>
                <w:highlight w:val="none"/>
              </w:rPr>
              <w:t>Ⅱ类别（即：JL</w:t>
            </w:r>
            <w:r>
              <w:rPr>
                <w:rFonts w:hint="eastAsia" w:ascii="宋体"/>
                <w:b/>
                <w:color w:val="auto"/>
                <w:szCs w:val="21"/>
                <w:highlight w:val="none"/>
                <w:lang w:val="en-US" w:eastAsia="zh-CN"/>
              </w:rPr>
              <w:t>3</w:t>
            </w:r>
            <w:r>
              <w:rPr>
                <w:rFonts w:hint="eastAsia" w:ascii="宋体"/>
                <w:b/>
                <w:color w:val="auto"/>
                <w:szCs w:val="21"/>
                <w:highlight w:val="none"/>
              </w:rPr>
              <w:t>～JL</w:t>
            </w:r>
            <w:r>
              <w:rPr>
                <w:rFonts w:hint="eastAsia" w:ascii="宋体"/>
                <w:b/>
                <w:color w:val="auto"/>
                <w:szCs w:val="21"/>
                <w:highlight w:val="none"/>
                <w:lang w:val="en-US" w:eastAsia="zh-CN"/>
              </w:rPr>
              <w:t>6</w:t>
            </w:r>
            <w:r>
              <w:rPr>
                <w:rFonts w:hint="eastAsia" w:ascii="宋体"/>
                <w:b/>
                <w:color w:val="auto"/>
                <w:szCs w:val="21"/>
                <w:highlight w:val="none"/>
              </w:rPr>
              <w:t>标段）：</w:t>
            </w:r>
            <w:r>
              <w:rPr>
                <w:rFonts w:hint="eastAsia" w:cs="Times New Roman" w:asciiTheme="minorEastAsia" w:hAnsiTheme="minorEastAsia"/>
                <w:color w:val="auto"/>
                <w:kern w:val="0"/>
                <w:szCs w:val="21"/>
                <w:highlight w:val="none"/>
              </w:rPr>
              <w:t>资格审查条件的基础上，总监理工程师每增加1项一级及以上新（改）建公路工程监理的总监或驻地监理工程师业</w:t>
            </w:r>
            <w:r>
              <w:rPr>
                <w:rFonts w:cs="Times New Roman" w:asciiTheme="minorEastAsia" w:hAnsiTheme="minorEastAsia"/>
                <w:color w:val="auto"/>
                <w:kern w:val="0"/>
                <w:szCs w:val="21"/>
                <w:highlight w:val="none"/>
              </w:rPr>
              <w:t>绩加</w:t>
            </w:r>
            <w:r>
              <w:rPr>
                <w:rFonts w:hint="eastAsia" w:cs="Times New Roman" w:asciiTheme="minorEastAsia" w:hAnsiTheme="minorEastAsia"/>
                <w:color w:val="auto"/>
                <w:kern w:val="0"/>
                <w:szCs w:val="21"/>
                <w:highlight w:val="none"/>
              </w:rPr>
              <w:t>6分，本项最高加12分；</w:t>
            </w:r>
          </w:p>
          <w:p>
            <w:pPr>
              <w:autoSpaceDE w:val="0"/>
              <w:autoSpaceDN w:val="0"/>
              <w:adjustRightInd w:val="0"/>
              <w:spacing w:line="300" w:lineRule="exact"/>
              <w:ind w:left="105" w:leftChars="50" w:right="105" w:rightChars="50"/>
              <w:rPr>
                <w:rFonts w:ascii="宋体"/>
                <w:b/>
                <w:color w:val="auto"/>
                <w:szCs w:val="21"/>
                <w:highlight w:val="none"/>
              </w:rPr>
            </w:pPr>
          </w:p>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hint="eastAsia" w:ascii="宋体"/>
                <w:b/>
                <w:color w:val="auto"/>
                <w:szCs w:val="21"/>
                <w:highlight w:val="none"/>
              </w:rPr>
              <w:t>Ⅲ类别（即JL</w:t>
            </w:r>
            <w:r>
              <w:rPr>
                <w:rFonts w:hint="eastAsia" w:ascii="宋体"/>
                <w:b/>
                <w:color w:val="auto"/>
                <w:szCs w:val="21"/>
                <w:highlight w:val="none"/>
                <w:lang w:val="en-US" w:eastAsia="zh-CN"/>
              </w:rPr>
              <w:t>7</w:t>
            </w:r>
            <w:r>
              <w:rPr>
                <w:rFonts w:hint="eastAsia" w:ascii="宋体"/>
                <w:b/>
                <w:color w:val="auto"/>
                <w:szCs w:val="21"/>
                <w:highlight w:val="none"/>
              </w:rPr>
              <w:t>标段）：</w:t>
            </w:r>
            <w:r>
              <w:rPr>
                <w:rFonts w:hint="eastAsia" w:cs="Times New Roman" w:asciiTheme="minorEastAsia" w:hAnsiTheme="minorEastAsia"/>
                <w:color w:val="auto"/>
                <w:kern w:val="0"/>
                <w:szCs w:val="21"/>
                <w:highlight w:val="none"/>
              </w:rPr>
              <w:t>在资格审查条件的基础上，总监理工程师</w:t>
            </w:r>
            <w:r>
              <w:rPr>
                <w:rFonts w:cs="Times New Roman" w:asciiTheme="minorEastAsia" w:hAnsiTheme="minorEastAsia"/>
                <w:color w:val="auto"/>
                <w:kern w:val="0"/>
                <w:szCs w:val="21"/>
                <w:highlight w:val="none"/>
              </w:rPr>
              <w:t>每增加</w:t>
            </w:r>
            <w:r>
              <w:rPr>
                <w:rFonts w:hint="eastAsia" w:cs="Times New Roman" w:asciiTheme="minorEastAsia" w:hAnsiTheme="minorEastAsia"/>
                <w:color w:val="auto"/>
                <w:kern w:val="0"/>
                <w:szCs w:val="21"/>
                <w:highlight w:val="none"/>
              </w:rPr>
              <w:t>1项新建房屋建筑工程施工监理业绩</w:t>
            </w:r>
            <w:r>
              <w:rPr>
                <w:rFonts w:cs="Times New Roman" w:asciiTheme="minorEastAsia" w:hAnsiTheme="minorEastAsia"/>
                <w:color w:val="auto"/>
                <w:kern w:val="0"/>
                <w:szCs w:val="21"/>
                <w:highlight w:val="none"/>
              </w:rPr>
              <w:t>加</w:t>
            </w:r>
            <w:r>
              <w:rPr>
                <w:rFonts w:hint="eastAsia" w:cs="Times New Roman" w:asciiTheme="minorEastAsia" w:hAnsiTheme="minorEastAsia"/>
                <w:color w:val="auto"/>
                <w:kern w:val="0"/>
                <w:szCs w:val="21"/>
                <w:highlight w:val="none"/>
              </w:rPr>
              <w:t>6分，本项最高加12分。</w:t>
            </w:r>
          </w:p>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p>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hint="eastAsia" w:ascii="宋体"/>
                <w:b/>
                <w:color w:val="auto"/>
                <w:szCs w:val="21"/>
                <w:highlight w:val="none"/>
              </w:rPr>
              <w:t>Ⅳ类别（即JL</w:t>
            </w:r>
            <w:r>
              <w:rPr>
                <w:rFonts w:hint="eastAsia" w:ascii="宋体"/>
                <w:b/>
                <w:color w:val="auto"/>
                <w:szCs w:val="21"/>
                <w:highlight w:val="none"/>
                <w:lang w:val="en-US" w:eastAsia="zh-CN"/>
              </w:rPr>
              <w:t>8</w:t>
            </w:r>
            <w:r>
              <w:rPr>
                <w:rFonts w:hint="eastAsia" w:ascii="宋体"/>
                <w:b/>
                <w:color w:val="auto"/>
                <w:szCs w:val="21"/>
                <w:highlight w:val="none"/>
              </w:rPr>
              <w:t>标段）：</w:t>
            </w:r>
            <w:r>
              <w:rPr>
                <w:rFonts w:hint="eastAsia" w:cs="Times New Roman" w:asciiTheme="minorEastAsia" w:hAnsiTheme="minorEastAsia"/>
                <w:color w:val="auto"/>
                <w:kern w:val="0"/>
                <w:szCs w:val="21"/>
                <w:highlight w:val="none"/>
              </w:rPr>
              <w:t>在资格审查条件的基础上，总监理工程师</w:t>
            </w:r>
            <w:r>
              <w:rPr>
                <w:rFonts w:cs="Times New Roman" w:asciiTheme="minorEastAsia" w:hAnsiTheme="minorEastAsia"/>
                <w:color w:val="auto"/>
                <w:kern w:val="0"/>
                <w:szCs w:val="21"/>
                <w:highlight w:val="none"/>
              </w:rPr>
              <w:t>每</w:t>
            </w:r>
            <w:r>
              <w:rPr>
                <w:rFonts w:hint="eastAsia" w:cs="Times New Roman" w:asciiTheme="minorEastAsia" w:hAnsiTheme="minorEastAsia"/>
                <w:color w:val="auto"/>
                <w:kern w:val="0"/>
                <w:szCs w:val="21"/>
                <w:highlight w:val="none"/>
              </w:rPr>
              <w:t>增加1</w:t>
            </w:r>
            <w:r>
              <w:rPr>
                <w:rFonts w:cs="Times New Roman" w:asciiTheme="minorEastAsia" w:hAnsiTheme="minorEastAsia"/>
                <w:color w:val="auto"/>
                <w:kern w:val="0"/>
                <w:szCs w:val="21"/>
                <w:highlight w:val="none"/>
              </w:rPr>
              <w:t>项一级及以上新</w:t>
            </w:r>
            <w:r>
              <w:rPr>
                <w:rFonts w:hint="eastAsia" w:cs="Times New Roman" w:asciiTheme="minorEastAsia" w:hAnsiTheme="minorEastAsia"/>
                <w:color w:val="auto"/>
                <w:kern w:val="0"/>
                <w:szCs w:val="21"/>
                <w:highlight w:val="none"/>
              </w:rPr>
              <w:t>（</w:t>
            </w:r>
            <w:r>
              <w:rPr>
                <w:rFonts w:cs="Times New Roman" w:asciiTheme="minorEastAsia" w:hAnsiTheme="minorEastAsia"/>
                <w:color w:val="auto"/>
                <w:kern w:val="0"/>
                <w:szCs w:val="21"/>
                <w:highlight w:val="none"/>
              </w:rPr>
              <w:t>改</w:t>
            </w:r>
            <w:r>
              <w:rPr>
                <w:rFonts w:hint="eastAsia" w:cs="Times New Roman" w:asciiTheme="minorEastAsia" w:hAnsiTheme="minorEastAsia"/>
                <w:color w:val="auto"/>
                <w:kern w:val="0"/>
                <w:szCs w:val="21"/>
                <w:highlight w:val="none"/>
              </w:rPr>
              <w:t>）</w:t>
            </w:r>
            <w:r>
              <w:rPr>
                <w:rFonts w:cs="Times New Roman" w:asciiTheme="minorEastAsia" w:hAnsiTheme="minorEastAsia"/>
                <w:color w:val="auto"/>
                <w:kern w:val="0"/>
                <w:szCs w:val="21"/>
                <w:highlight w:val="none"/>
              </w:rPr>
              <w:t>建</w:t>
            </w:r>
            <w:r>
              <w:rPr>
                <w:rFonts w:hint="eastAsia" w:cs="Times New Roman" w:asciiTheme="minorEastAsia" w:hAnsiTheme="minorEastAsia"/>
                <w:color w:val="auto"/>
                <w:kern w:val="0"/>
                <w:szCs w:val="21"/>
                <w:highlight w:val="none"/>
              </w:rPr>
              <w:t>公路机电工程施工监理业绩</w:t>
            </w:r>
            <w:r>
              <w:rPr>
                <w:rFonts w:cs="Times New Roman" w:asciiTheme="minorEastAsia" w:hAnsiTheme="minorEastAsia"/>
                <w:color w:val="auto"/>
                <w:kern w:val="0"/>
                <w:szCs w:val="21"/>
                <w:highlight w:val="none"/>
              </w:rPr>
              <w:t>加</w:t>
            </w:r>
            <w:r>
              <w:rPr>
                <w:rFonts w:hint="eastAsia" w:cs="Times New Roman" w:asciiTheme="minorEastAsia" w:hAnsiTheme="minorEastAsia"/>
                <w:color w:val="auto"/>
                <w:kern w:val="0"/>
                <w:szCs w:val="21"/>
                <w:highlight w:val="none"/>
              </w:rPr>
              <w:t>6分，本项最高加12分。</w:t>
            </w:r>
          </w:p>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p>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hint="eastAsia" w:ascii="宋体"/>
                <w:b/>
                <w:color w:val="auto"/>
                <w:szCs w:val="21"/>
                <w:highlight w:val="none"/>
              </w:rPr>
              <w:t>Ⅴ类别（即JL</w:t>
            </w:r>
            <w:r>
              <w:rPr>
                <w:rFonts w:hint="eastAsia" w:ascii="宋体"/>
                <w:b/>
                <w:color w:val="auto"/>
                <w:szCs w:val="21"/>
                <w:highlight w:val="none"/>
                <w:lang w:val="en-US" w:eastAsia="zh-CN"/>
              </w:rPr>
              <w:t>9</w:t>
            </w:r>
            <w:r>
              <w:rPr>
                <w:rFonts w:hint="eastAsia" w:ascii="宋体"/>
                <w:b/>
                <w:color w:val="auto"/>
                <w:szCs w:val="21"/>
                <w:highlight w:val="none"/>
              </w:rPr>
              <w:t>标段）：</w:t>
            </w:r>
            <w:r>
              <w:rPr>
                <w:rFonts w:hint="eastAsia" w:cs="Times New Roman" w:asciiTheme="minorEastAsia" w:hAnsiTheme="minorEastAsia"/>
                <w:color w:val="auto"/>
                <w:kern w:val="0"/>
                <w:szCs w:val="21"/>
                <w:highlight w:val="none"/>
              </w:rPr>
              <w:t>在资格审查条件的基础上，总监理工程师</w:t>
            </w:r>
            <w:r>
              <w:rPr>
                <w:rFonts w:cs="Times New Roman" w:asciiTheme="minorEastAsia" w:hAnsiTheme="minorEastAsia"/>
                <w:color w:val="auto"/>
                <w:kern w:val="0"/>
                <w:szCs w:val="21"/>
                <w:highlight w:val="none"/>
              </w:rPr>
              <w:t>每</w:t>
            </w:r>
            <w:r>
              <w:rPr>
                <w:rFonts w:hint="eastAsia" w:cs="Times New Roman" w:asciiTheme="minorEastAsia" w:hAnsiTheme="minorEastAsia"/>
                <w:color w:val="auto"/>
                <w:kern w:val="0"/>
                <w:szCs w:val="21"/>
                <w:highlight w:val="none"/>
              </w:rPr>
              <w:t>增加1</w:t>
            </w:r>
            <w:r>
              <w:rPr>
                <w:rFonts w:cs="Times New Roman" w:asciiTheme="minorEastAsia" w:hAnsiTheme="minorEastAsia"/>
                <w:color w:val="auto"/>
                <w:kern w:val="0"/>
                <w:szCs w:val="21"/>
                <w:highlight w:val="none"/>
              </w:rPr>
              <w:t>项</w:t>
            </w:r>
            <w:r>
              <w:rPr>
                <w:rFonts w:hint="eastAsia" w:cs="Times New Roman" w:asciiTheme="minorEastAsia" w:hAnsiTheme="minorEastAsia"/>
                <w:color w:val="auto"/>
                <w:kern w:val="0"/>
                <w:szCs w:val="21"/>
                <w:highlight w:val="none"/>
              </w:rPr>
              <w:t>公路上跨或下穿铁路施工监理业绩</w:t>
            </w:r>
            <w:r>
              <w:rPr>
                <w:rFonts w:cs="Times New Roman" w:asciiTheme="minorEastAsia" w:hAnsiTheme="minorEastAsia"/>
                <w:color w:val="auto"/>
                <w:kern w:val="0"/>
                <w:szCs w:val="21"/>
                <w:highlight w:val="none"/>
              </w:rPr>
              <w:t>加</w:t>
            </w:r>
            <w:r>
              <w:rPr>
                <w:rFonts w:hint="eastAsia" w:cs="Times New Roman" w:asciiTheme="minorEastAsia" w:hAnsiTheme="minorEastAsia"/>
                <w:color w:val="auto"/>
                <w:kern w:val="0"/>
                <w:szCs w:val="21"/>
                <w:highlight w:val="none"/>
              </w:rPr>
              <w:t>6分，本项最高加12分。</w:t>
            </w:r>
          </w:p>
        </w:tc>
      </w:tr>
      <w:tr>
        <w:tblPrEx>
          <w:tblCellMar>
            <w:top w:w="0" w:type="dxa"/>
            <w:left w:w="0" w:type="dxa"/>
            <w:bottom w:w="0" w:type="dxa"/>
            <w:right w:w="0" w:type="dxa"/>
          </w:tblCellMar>
        </w:tblPrEx>
        <w:trPr>
          <w:trHeight w:val="3252" w:hRule="atLeast"/>
        </w:trPr>
        <w:tc>
          <w:tcPr>
            <w:tcW w:w="1004" w:type="dxa"/>
            <w:tcBorders>
              <w:top w:val="single" w:color="auto" w:sz="4" w:space="0"/>
              <w:left w:val="single" w:color="auto"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cs="Adobe ｷﾂﾋﾎ Std R" w:asciiTheme="minorEastAsia" w:hAnsiTheme="minorEastAsia"/>
                <w:b/>
                <w:color w:val="auto"/>
                <w:spacing w:val="1"/>
                <w:kern w:val="0"/>
                <w:szCs w:val="21"/>
                <w:highlight w:val="none"/>
              </w:rPr>
              <w:t>2.2.4</w:t>
            </w:r>
          </w:p>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cs="Adobe ｷﾂﾋﾎ Std R" w:asciiTheme="minorEastAsia" w:hAnsiTheme="minorEastAsia"/>
                <w:b/>
                <w:color w:val="auto"/>
                <w:spacing w:val="1"/>
                <w:kern w:val="0"/>
                <w:szCs w:val="21"/>
                <w:highlight w:val="none"/>
              </w:rPr>
              <w:t>(3)</w:t>
            </w:r>
          </w:p>
        </w:tc>
        <w:tc>
          <w:tcPr>
            <w:tcW w:w="1138" w:type="dxa"/>
            <w:gridSpan w:val="2"/>
            <w:tcBorders>
              <w:top w:val="single" w:color="auto" w:sz="4" w:space="0"/>
              <w:left w:val="single" w:color="000000" w:sz="4" w:space="0"/>
              <w:bottom w:val="single" w:color="000000" w:sz="4" w:space="0"/>
              <w:right w:val="single" w:color="auto"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hint="eastAsia" w:cs="Adobe ｷﾂﾋﾎ Std R" w:asciiTheme="minorEastAsia" w:hAnsiTheme="minorEastAsia"/>
                <w:b/>
                <w:color w:val="auto"/>
                <w:spacing w:val="1"/>
                <w:kern w:val="0"/>
                <w:szCs w:val="21"/>
                <w:highlight w:val="none"/>
              </w:rPr>
              <w:t>评标价</w:t>
            </w:r>
          </w:p>
        </w:tc>
        <w:tc>
          <w:tcPr>
            <w:tcW w:w="1280" w:type="dxa"/>
            <w:tcBorders>
              <w:top w:val="single" w:color="000000" w:sz="4" w:space="0"/>
              <w:left w:val="single" w:color="auto" w:sz="4" w:space="0"/>
              <w:bottom w:val="single" w:color="000000" w:sz="4" w:space="0"/>
              <w:right w:val="single" w:color="000000" w:sz="4" w:space="0"/>
            </w:tcBorders>
            <w:vAlign w:val="center"/>
          </w:tcPr>
          <w:p>
            <w:pPr>
              <w:tabs>
                <w:tab w:val="left" w:pos="660"/>
              </w:tabs>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hint="eastAsia" w:cs="Adobe ｷﾂﾋﾎ Std R" w:asciiTheme="minorEastAsia" w:hAnsiTheme="minorEastAsia"/>
                <w:b/>
                <w:color w:val="auto"/>
                <w:spacing w:val="1"/>
                <w:kern w:val="0"/>
                <w:szCs w:val="21"/>
                <w:highlight w:val="none"/>
              </w:rPr>
              <w:t>10分</w:t>
            </w:r>
          </w:p>
        </w:tc>
        <w:tc>
          <w:tcPr>
            <w:tcW w:w="6392" w:type="dxa"/>
            <w:tcBorders>
              <w:top w:val="single" w:color="000000" w:sz="4" w:space="0"/>
              <w:left w:val="single" w:color="000000" w:sz="4" w:space="0"/>
              <w:bottom w:val="single" w:color="000000" w:sz="4" w:space="0"/>
              <w:right w:val="single" w:color="000000" w:sz="4" w:space="0"/>
            </w:tcBorders>
            <w:vAlign w:val="center"/>
          </w:tcPr>
          <w:p>
            <w:pPr>
              <w:spacing w:line="300" w:lineRule="exact"/>
              <w:ind w:left="113" w:right="113"/>
              <w:rPr>
                <w:color w:val="auto"/>
                <w:highlight w:val="none"/>
              </w:rPr>
            </w:pPr>
            <w:r>
              <w:rPr>
                <w:rFonts w:hint="eastAsia"/>
                <w:color w:val="auto"/>
                <w:highlight w:val="none"/>
              </w:rPr>
              <w:t>评标价得分计算公式示例：</w:t>
            </w:r>
          </w:p>
          <w:p>
            <w:pPr>
              <w:spacing w:line="300" w:lineRule="exact"/>
              <w:ind w:left="113" w:right="113"/>
              <w:rPr>
                <w:color w:val="auto"/>
                <w:highlight w:val="none"/>
              </w:rPr>
            </w:pPr>
            <w:r>
              <w:rPr>
                <w:rFonts w:hint="eastAsia"/>
                <w:color w:val="auto"/>
                <w:highlight w:val="none"/>
              </w:rPr>
              <w:t>（1）如果投标人的评标价＞评标基准价，则评标价得分=10-偏差率×100×E1；</w:t>
            </w:r>
          </w:p>
          <w:p>
            <w:pPr>
              <w:spacing w:line="300" w:lineRule="exact"/>
              <w:ind w:left="113" w:right="113"/>
              <w:rPr>
                <w:color w:val="auto"/>
                <w:highlight w:val="none"/>
              </w:rPr>
            </w:pPr>
            <w:r>
              <w:rPr>
                <w:rFonts w:hint="eastAsia"/>
                <w:color w:val="auto"/>
                <w:highlight w:val="none"/>
              </w:rPr>
              <w:t>（2）如果投标人的评标价≤评标基准价，则评标价得分=10-偏差率×100×E2；</w:t>
            </w:r>
          </w:p>
          <w:p>
            <w:pPr>
              <w:autoSpaceDE w:val="0"/>
              <w:autoSpaceDN w:val="0"/>
              <w:adjustRightInd w:val="0"/>
              <w:spacing w:line="300" w:lineRule="exact"/>
              <w:ind w:left="105" w:leftChars="50" w:right="105" w:rightChars="50"/>
              <w:rPr>
                <w:rFonts w:hint="default" w:eastAsiaTheme="minorEastAsia"/>
                <w:color w:val="auto"/>
                <w:highlight w:val="none"/>
                <w:lang w:val="en-US" w:eastAsia="zh-CN"/>
              </w:rPr>
            </w:pPr>
            <w:r>
              <w:rPr>
                <w:rFonts w:hint="eastAsia"/>
                <w:color w:val="auto"/>
                <w:highlight w:val="none"/>
              </w:rPr>
              <w:t>其中：E1</w:t>
            </w:r>
            <w:r>
              <w:rPr>
                <w:rFonts w:hint="eastAsia"/>
                <w:color w:val="auto"/>
                <w:highlight w:val="none"/>
                <w:lang w:val="en-US" w:eastAsia="zh-CN"/>
              </w:rPr>
              <w:t>=1；</w:t>
            </w:r>
            <w:r>
              <w:rPr>
                <w:rFonts w:hint="eastAsia"/>
                <w:color w:val="auto"/>
                <w:highlight w:val="none"/>
              </w:rPr>
              <w:t>E2</w:t>
            </w:r>
            <w:r>
              <w:rPr>
                <w:rFonts w:hint="eastAsia"/>
                <w:color w:val="auto"/>
                <w:highlight w:val="none"/>
                <w:lang w:val="en-US" w:eastAsia="zh-CN"/>
              </w:rPr>
              <w:t>=0.5</w:t>
            </w:r>
          </w:p>
          <w:p>
            <w:pPr>
              <w:autoSpaceDE w:val="0"/>
              <w:autoSpaceDN w:val="0"/>
              <w:adjustRightInd w:val="0"/>
              <w:spacing w:line="300" w:lineRule="exact"/>
              <w:ind w:left="105" w:leftChars="50" w:right="105" w:rightChars="50"/>
              <w:rPr>
                <w:rFonts w:hint="eastAsia"/>
                <w:color w:val="auto"/>
                <w:highlight w:val="none"/>
              </w:rPr>
            </w:pPr>
            <w:r>
              <w:rPr>
                <w:rFonts w:hint="eastAsia"/>
                <w:color w:val="auto"/>
                <w:highlight w:val="none"/>
              </w:rPr>
              <w:t>E1是评标价每高于评标基准价一个百分点的扣分值；E2是评标价每低于评标基准价一个百分点的扣分值。不足一个百分点按比例内插计算，计算结果四舍五入保留三位小数。</w:t>
            </w:r>
          </w:p>
          <w:p>
            <w:pPr>
              <w:autoSpaceDE w:val="0"/>
              <w:autoSpaceDN w:val="0"/>
              <w:adjustRightInd w:val="0"/>
              <w:spacing w:line="300" w:lineRule="exact"/>
              <w:ind w:left="105" w:leftChars="50" w:right="105" w:rightChars="50"/>
              <w:rPr>
                <w:color w:val="auto"/>
                <w:highlight w:val="none"/>
              </w:rPr>
            </w:pPr>
            <w:r>
              <w:rPr>
                <w:rFonts w:hint="eastAsia"/>
                <w:color w:val="auto"/>
                <w:highlight w:val="none"/>
              </w:rPr>
              <w:t>评标价最高得分为 10 分，最低得分为 0 分。</w:t>
            </w:r>
          </w:p>
        </w:tc>
      </w:tr>
      <w:tr>
        <w:tblPrEx>
          <w:tblCellMar>
            <w:top w:w="0" w:type="dxa"/>
            <w:left w:w="0" w:type="dxa"/>
            <w:bottom w:w="0" w:type="dxa"/>
            <w:right w:w="0" w:type="dxa"/>
          </w:tblCellMar>
        </w:tblPrEx>
        <w:trPr>
          <w:trHeight w:val="475" w:hRule="atLeast"/>
        </w:trPr>
        <w:tc>
          <w:tcPr>
            <w:tcW w:w="1004" w:type="dxa"/>
            <w:vMerge w:val="restart"/>
            <w:tcBorders>
              <w:top w:val="single" w:color="000000" w:sz="4" w:space="0"/>
              <w:left w:val="single" w:color="auto" w:sz="4" w:space="0"/>
              <w:bottom w:val="single" w:color="auto"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hint="eastAsia" w:cs="Adobe ｷﾂﾋﾎ Std R" w:asciiTheme="minorEastAsia" w:hAnsiTheme="minorEastAsia"/>
                <w:b/>
                <w:color w:val="auto"/>
                <w:spacing w:val="1"/>
                <w:kern w:val="0"/>
                <w:szCs w:val="21"/>
                <w:highlight w:val="none"/>
              </w:rPr>
              <w:t>2.2.4</w:t>
            </w:r>
          </w:p>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hint="eastAsia" w:cs="Adobe ｷﾂﾋﾎ Std R" w:asciiTheme="minorEastAsia" w:hAnsiTheme="minorEastAsia"/>
                <w:b/>
                <w:color w:val="auto"/>
                <w:spacing w:val="1"/>
                <w:kern w:val="0"/>
                <w:szCs w:val="21"/>
                <w:highlight w:val="none"/>
              </w:rPr>
              <w:t>(4)</w:t>
            </w:r>
          </w:p>
        </w:tc>
        <w:tc>
          <w:tcPr>
            <w:tcW w:w="1138" w:type="dxa"/>
            <w:gridSpan w:val="2"/>
            <w:vMerge w:val="restart"/>
            <w:tcBorders>
              <w:top w:val="single" w:color="000000" w:sz="4" w:space="0"/>
              <w:left w:val="single" w:color="000000" w:sz="4" w:space="0"/>
              <w:bottom w:val="single" w:color="auto" w:sz="4" w:space="0"/>
              <w:right w:val="single" w:color="auto"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hint="eastAsia" w:cs="Adobe ｷﾂﾋﾎ Std R" w:asciiTheme="minorEastAsia" w:hAnsiTheme="minorEastAsia"/>
                <w:b/>
                <w:color w:val="auto"/>
                <w:spacing w:val="1"/>
                <w:kern w:val="0"/>
                <w:szCs w:val="21"/>
                <w:highlight w:val="none"/>
              </w:rPr>
              <w:t>业绩</w:t>
            </w:r>
          </w:p>
        </w:tc>
        <w:tc>
          <w:tcPr>
            <w:tcW w:w="1280" w:type="dxa"/>
            <w:vMerge w:val="restart"/>
            <w:tcBorders>
              <w:top w:val="single" w:color="000000" w:sz="4" w:space="0"/>
              <w:left w:val="single" w:color="auto"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hint="eastAsia" w:cs="Adobe ｷﾂﾋﾎ Std R" w:asciiTheme="minorEastAsia" w:hAnsiTheme="minorEastAsia"/>
                <w:b/>
                <w:color w:val="auto"/>
                <w:spacing w:val="1"/>
                <w:kern w:val="0"/>
                <w:szCs w:val="21"/>
                <w:highlight w:val="none"/>
              </w:rPr>
              <w:t>35分</w:t>
            </w:r>
          </w:p>
        </w:tc>
        <w:tc>
          <w:tcPr>
            <w:tcW w:w="63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ascii="宋体"/>
                <w:color w:val="auto"/>
                <w:szCs w:val="21"/>
                <w:highlight w:val="none"/>
              </w:rPr>
              <w:t>业绩满足强制性履约标准要求得</w:t>
            </w:r>
            <w:r>
              <w:rPr>
                <w:rFonts w:hint="eastAsia" w:ascii="宋体"/>
                <w:color w:val="auto"/>
                <w:szCs w:val="21"/>
                <w:highlight w:val="none"/>
              </w:rPr>
              <w:t>23</w:t>
            </w:r>
            <w:r>
              <w:rPr>
                <w:rFonts w:ascii="宋体"/>
                <w:color w:val="auto"/>
                <w:szCs w:val="21"/>
                <w:highlight w:val="none"/>
              </w:rPr>
              <w:t>分</w:t>
            </w:r>
            <w:r>
              <w:rPr>
                <w:rFonts w:hint="eastAsia" w:ascii="宋体"/>
                <w:color w:val="auto"/>
                <w:szCs w:val="21"/>
                <w:highlight w:val="none"/>
              </w:rPr>
              <w:t>；</w:t>
            </w:r>
          </w:p>
        </w:tc>
      </w:tr>
      <w:tr>
        <w:tblPrEx>
          <w:tblCellMar>
            <w:top w:w="0" w:type="dxa"/>
            <w:left w:w="0" w:type="dxa"/>
            <w:bottom w:w="0" w:type="dxa"/>
            <w:right w:w="0" w:type="dxa"/>
          </w:tblCellMar>
        </w:tblPrEx>
        <w:trPr>
          <w:trHeight w:val="3480" w:hRule="atLeast"/>
        </w:trPr>
        <w:tc>
          <w:tcPr>
            <w:tcW w:w="1004" w:type="dxa"/>
            <w:vMerge w:val="continue"/>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p>
        </w:tc>
        <w:tc>
          <w:tcPr>
            <w:tcW w:w="1138" w:type="dxa"/>
            <w:gridSpan w:val="2"/>
            <w:vMerge w:val="continue"/>
            <w:tcBorders>
              <w:top w:val="single" w:color="auto" w:sz="4" w:space="0"/>
              <w:left w:val="single" w:color="000000" w:sz="4" w:space="0"/>
              <w:bottom w:val="single" w:color="auto" w:sz="4" w:space="0"/>
              <w:right w:val="single" w:color="auto"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p>
        </w:tc>
        <w:tc>
          <w:tcPr>
            <w:tcW w:w="1280" w:type="dxa"/>
            <w:vMerge w:val="continue"/>
            <w:tcBorders>
              <w:left w:val="single" w:color="auto"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p>
        </w:tc>
        <w:tc>
          <w:tcPr>
            <w:tcW w:w="63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rPr>
                <w:rFonts w:asciiTheme="minorEastAsia" w:hAnsiTheme="minorEastAsia"/>
                <w:color w:val="auto"/>
                <w:szCs w:val="21"/>
                <w:highlight w:val="none"/>
              </w:rPr>
            </w:pPr>
            <w:r>
              <w:rPr>
                <w:rFonts w:hint="eastAsia" w:asciiTheme="minorEastAsia" w:hAnsiTheme="minorEastAsia"/>
                <w:b/>
                <w:bCs/>
                <w:color w:val="auto"/>
                <w:szCs w:val="21"/>
                <w:highlight w:val="none"/>
              </w:rPr>
              <w:t>I类别（即：JL1</w:t>
            </w:r>
            <w:r>
              <w:rPr>
                <w:rFonts w:hint="eastAsia" w:asciiTheme="minorEastAsia" w:hAnsiTheme="minorEastAsia"/>
                <w:b/>
                <w:bCs/>
                <w:color w:val="auto"/>
                <w:szCs w:val="21"/>
                <w:highlight w:val="none"/>
                <w:lang w:eastAsia="zh-CN"/>
              </w:rPr>
              <w:t>、JL</w:t>
            </w:r>
            <w:r>
              <w:rPr>
                <w:rFonts w:hint="eastAsia" w:asciiTheme="minorEastAsia" w:hAnsiTheme="minorEastAsia"/>
                <w:b/>
                <w:bCs/>
                <w:color w:val="auto"/>
                <w:szCs w:val="21"/>
                <w:highlight w:val="none"/>
                <w:lang w:val="en-US" w:eastAsia="zh-CN"/>
              </w:rPr>
              <w:t>2</w:t>
            </w:r>
            <w:r>
              <w:rPr>
                <w:rFonts w:hint="eastAsia" w:asciiTheme="minorEastAsia" w:hAnsiTheme="minorEastAsia"/>
                <w:b/>
                <w:bCs/>
                <w:color w:val="auto"/>
                <w:szCs w:val="21"/>
                <w:highlight w:val="none"/>
              </w:rPr>
              <w:t>标段）</w:t>
            </w:r>
            <w:r>
              <w:rPr>
                <w:rFonts w:hint="eastAsia" w:asciiTheme="minorEastAsia" w:hAnsiTheme="minorEastAsia"/>
                <w:color w:val="auto"/>
                <w:szCs w:val="21"/>
                <w:highlight w:val="none"/>
              </w:rPr>
              <w:t>：在资格审查条件的基础上，近五年内（2017年6月1日至投标文件递交截止日，以交&lt;竣&gt;工时间为准）每增加一项1项长度不小于15公里的一级及以上新（改）建公路路面施工监理的任务业绩加4分，本项最高加12分。</w:t>
            </w:r>
          </w:p>
          <w:p>
            <w:pPr>
              <w:autoSpaceDE w:val="0"/>
              <w:autoSpaceDN w:val="0"/>
              <w:adjustRightInd w:val="0"/>
              <w:spacing w:line="300" w:lineRule="exact"/>
              <w:ind w:left="105" w:leftChars="50" w:right="105" w:rightChars="50"/>
              <w:rPr>
                <w:rFonts w:asciiTheme="minorEastAsia" w:hAnsiTheme="minorEastAsia"/>
                <w:color w:val="auto"/>
                <w:szCs w:val="21"/>
                <w:highlight w:val="none"/>
              </w:rPr>
            </w:pPr>
          </w:p>
          <w:p>
            <w:pPr>
              <w:autoSpaceDE w:val="0"/>
              <w:autoSpaceDN w:val="0"/>
              <w:adjustRightInd w:val="0"/>
              <w:spacing w:line="300" w:lineRule="exact"/>
              <w:ind w:left="105" w:leftChars="50" w:right="105" w:rightChars="50"/>
              <w:rPr>
                <w:rFonts w:asciiTheme="minorEastAsia" w:hAnsiTheme="minorEastAsia"/>
                <w:color w:val="auto"/>
                <w:szCs w:val="21"/>
                <w:highlight w:val="none"/>
              </w:rPr>
            </w:pPr>
            <w:r>
              <w:rPr>
                <w:rFonts w:hint="eastAsia" w:ascii="宋体"/>
                <w:b/>
                <w:color w:val="auto"/>
                <w:szCs w:val="21"/>
                <w:highlight w:val="none"/>
              </w:rPr>
              <w:t>Ⅱ类别（即：JL</w:t>
            </w:r>
            <w:r>
              <w:rPr>
                <w:rFonts w:hint="eastAsia" w:ascii="宋体"/>
                <w:b/>
                <w:color w:val="auto"/>
                <w:szCs w:val="21"/>
                <w:highlight w:val="none"/>
                <w:lang w:val="en-US" w:eastAsia="zh-CN"/>
              </w:rPr>
              <w:t>3</w:t>
            </w:r>
            <w:r>
              <w:rPr>
                <w:rFonts w:hint="eastAsia" w:ascii="宋体"/>
                <w:b/>
                <w:color w:val="auto"/>
                <w:szCs w:val="21"/>
                <w:highlight w:val="none"/>
              </w:rPr>
              <w:t>～JL</w:t>
            </w:r>
            <w:r>
              <w:rPr>
                <w:rFonts w:hint="eastAsia" w:ascii="宋体"/>
                <w:b/>
                <w:color w:val="auto"/>
                <w:szCs w:val="21"/>
                <w:highlight w:val="none"/>
                <w:lang w:val="en-US" w:eastAsia="zh-CN"/>
              </w:rPr>
              <w:t>6</w:t>
            </w:r>
            <w:r>
              <w:rPr>
                <w:rFonts w:hint="eastAsia" w:ascii="宋体"/>
                <w:b/>
                <w:color w:val="auto"/>
                <w:szCs w:val="21"/>
                <w:highlight w:val="none"/>
              </w:rPr>
              <w:t>标段）：</w:t>
            </w:r>
            <w:r>
              <w:rPr>
                <w:rFonts w:hint="eastAsia" w:asciiTheme="minorEastAsia" w:hAnsiTheme="minorEastAsia"/>
                <w:color w:val="auto"/>
                <w:szCs w:val="21"/>
                <w:highlight w:val="none"/>
              </w:rPr>
              <w:t>在资格审查条件的基础上，近五年内（2017年6月1日至投标文件递交截止日，以交&lt;竣&gt;工时间为准）</w:t>
            </w:r>
            <w:r>
              <w:rPr>
                <w:rFonts w:hint="eastAsia" w:asciiTheme="minorEastAsia" w:hAnsiTheme="minorEastAsia"/>
                <w:color w:val="auto"/>
                <w:szCs w:val="21"/>
                <w:highlight w:val="none"/>
                <w:lang w:eastAsia="zh-CN"/>
              </w:rPr>
              <w:t>每增加</w:t>
            </w:r>
            <w:r>
              <w:rPr>
                <w:rFonts w:hint="eastAsia" w:asciiTheme="minorEastAsia" w:hAnsiTheme="minorEastAsia"/>
                <w:color w:val="auto"/>
                <w:szCs w:val="21"/>
                <w:highlight w:val="none"/>
              </w:rPr>
              <w:t>一项新（改）建一级及以上公路工程（每项须同时涵盖公路路基、桥涵、绿化、交安）的施工监理业绩加4分，本项最高加12分。</w:t>
            </w:r>
          </w:p>
          <w:p>
            <w:pPr>
              <w:autoSpaceDE w:val="0"/>
              <w:autoSpaceDN w:val="0"/>
              <w:adjustRightInd w:val="0"/>
              <w:spacing w:line="300" w:lineRule="exact"/>
              <w:ind w:left="105" w:leftChars="50" w:right="105" w:rightChars="50"/>
              <w:rPr>
                <w:rFonts w:asciiTheme="minorEastAsia" w:hAnsiTheme="minorEastAsia"/>
                <w:color w:val="auto"/>
                <w:szCs w:val="21"/>
                <w:highlight w:val="none"/>
              </w:rPr>
            </w:pPr>
          </w:p>
          <w:p>
            <w:pPr>
              <w:autoSpaceDE w:val="0"/>
              <w:autoSpaceDN w:val="0"/>
              <w:adjustRightInd w:val="0"/>
              <w:spacing w:line="300" w:lineRule="exact"/>
              <w:ind w:left="105" w:leftChars="50" w:right="105" w:rightChars="50"/>
              <w:rPr>
                <w:rFonts w:asciiTheme="minorEastAsia" w:hAnsiTheme="minorEastAsia"/>
                <w:color w:val="auto"/>
                <w:szCs w:val="21"/>
                <w:highlight w:val="none"/>
              </w:rPr>
            </w:pPr>
            <w:r>
              <w:rPr>
                <w:rFonts w:hint="eastAsia" w:ascii="宋体"/>
                <w:b/>
                <w:color w:val="auto"/>
                <w:szCs w:val="21"/>
                <w:highlight w:val="none"/>
              </w:rPr>
              <w:t>Ⅲ类别（即JL</w:t>
            </w:r>
            <w:r>
              <w:rPr>
                <w:rFonts w:hint="eastAsia" w:ascii="宋体"/>
                <w:b/>
                <w:color w:val="auto"/>
                <w:szCs w:val="21"/>
                <w:highlight w:val="none"/>
                <w:lang w:val="en-US" w:eastAsia="zh-CN"/>
              </w:rPr>
              <w:t>7</w:t>
            </w:r>
            <w:r>
              <w:rPr>
                <w:rFonts w:hint="eastAsia" w:ascii="宋体"/>
                <w:b/>
                <w:color w:val="auto"/>
                <w:szCs w:val="21"/>
                <w:highlight w:val="none"/>
              </w:rPr>
              <w:t>标段）</w:t>
            </w:r>
            <w:r>
              <w:rPr>
                <w:rFonts w:hint="eastAsia" w:asciiTheme="minorEastAsia" w:hAnsiTheme="minorEastAsia"/>
                <w:color w:val="auto"/>
                <w:szCs w:val="21"/>
                <w:highlight w:val="none"/>
              </w:rPr>
              <w:t>：在资格审查条件的基础上，近五年内（2017年6月1日至投标文件递交截止日，以交&lt;竣&gt;工时间为准）每增加1项房屋建筑工程施工监理的任务业绩且获省级质量优良奖或省级建筑安全标准化工地的加3分，获市级质量优良奖或市级建筑安全标准化工地的加2.5分，本项最高加12分。</w:t>
            </w:r>
          </w:p>
          <w:p>
            <w:pPr>
              <w:autoSpaceDE w:val="0"/>
              <w:autoSpaceDN w:val="0"/>
              <w:adjustRightInd w:val="0"/>
              <w:spacing w:line="300" w:lineRule="exact"/>
              <w:ind w:left="105" w:leftChars="50" w:right="105" w:rightChars="50"/>
              <w:rPr>
                <w:rFonts w:asciiTheme="minorEastAsia" w:hAnsiTheme="minorEastAsia"/>
                <w:color w:val="auto"/>
                <w:szCs w:val="21"/>
                <w:highlight w:val="none"/>
              </w:rPr>
            </w:pPr>
          </w:p>
          <w:p>
            <w:pPr>
              <w:autoSpaceDE w:val="0"/>
              <w:autoSpaceDN w:val="0"/>
              <w:adjustRightInd w:val="0"/>
              <w:spacing w:line="300" w:lineRule="exact"/>
              <w:ind w:left="105" w:leftChars="50" w:right="105" w:rightChars="50"/>
              <w:rPr>
                <w:rFonts w:asciiTheme="minorEastAsia" w:hAnsiTheme="minorEastAsia"/>
                <w:color w:val="auto"/>
                <w:szCs w:val="21"/>
                <w:highlight w:val="none"/>
              </w:rPr>
            </w:pPr>
            <w:r>
              <w:rPr>
                <w:rFonts w:hint="eastAsia" w:asciiTheme="minorEastAsia" w:hAnsiTheme="minorEastAsia"/>
                <w:b/>
                <w:bCs/>
                <w:color w:val="auto"/>
                <w:szCs w:val="21"/>
                <w:highlight w:val="none"/>
              </w:rPr>
              <w:t>Ⅳ类别（即JL</w:t>
            </w:r>
            <w:r>
              <w:rPr>
                <w:rFonts w:hint="eastAsia" w:asciiTheme="minorEastAsia" w:hAnsiTheme="minorEastAsia"/>
                <w:b/>
                <w:bCs/>
                <w:color w:val="auto"/>
                <w:szCs w:val="21"/>
                <w:highlight w:val="none"/>
                <w:lang w:val="en-US" w:eastAsia="zh-CN"/>
              </w:rPr>
              <w:t>8</w:t>
            </w:r>
            <w:r>
              <w:rPr>
                <w:rFonts w:hint="eastAsia" w:asciiTheme="minorEastAsia" w:hAnsiTheme="minorEastAsia"/>
                <w:b/>
                <w:bCs/>
                <w:color w:val="auto"/>
                <w:szCs w:val="21"/>
                <w:highlight w:val="none"/>
              </w:rPr>
              <w:t>标段）：</w:t>
            </w:r>
            <w:r>
              <w:rPr>
                <w:rFonts w:asciiTheme="minorEastAsia" w:hAnsiTheme="minorEastAsia"/>
                <w:color w:val="auto"/>
                <w:szCs w:val="21"/>
                <w:highlight w:val="none"/>
              </w:rPr>
              <w:t>在资格审查条件的基础上，近五年内（2017年</w:t>
            </w:r>
            <w:r>
              <w:rPr>
                <w:rFonts w:hint="eastAsia" w:asciiTheme="minorEastAsia" w:hAnsiTheme="minorEastAsia"/>
                <w:color w:val="auto"/>
                <w:szCs w:val="21"/>
                <w:highlight w:val="none"/>
              </w:rPr>
              <w:t>6月1日</w:t>
            </w:r>
            <w:r>
              <w:rPr>
                <w:rFonts w:asciiTheme="minorEastAsia" w:hAnsiTheme="minorEastAsia"/>
                <w:color w:val="auto"/>
                <w:szCs w:val="21"/>
                <w:highlight w:val="none"/>
              </w:rPr>
              <w:t>至投标文件递交截止日，以交&lt;竣&gt;工时间为准）每增加</w:t>
            </w:r>
            <w:r>
              <w:rPr>
                <w:rFonts w:hint="eastAsia" w:asciiTheme="minorEastAsia" w:hAnsiTheme="minorEastAsia"/>
                <w:color w:val="auto"/>
                <w:szCs w:val="21"/>
                <w:highlight w:val="none"/>
              </w:rPr>
              <w:t>1项公路机电工程施工监理业绩</w:t>
            </w:r>
            <w:r>
              <w:rPr>
                <w:rFonts w:asciiTheme="minorEastAsia" w:hAnsiTheme="minorEastAsia"/>
                <w:color w:val="auto"/>
                <w:szCs w:val="21"/>
                <w:highlight w:val="none"/>
              </w:rPr>
              <w:t>加</w:t>
            </w:r>
            <w:r>
              <w:rPr>
                <w:rFonts w:hint="eastAsia" w:asciiTheme="minorEastAsia" w:hAnsiTheme="minorEastAsia"/>
                <w:color w:val="auto"/>
                <w:szCs w:val="21"/>
                <w:highlight w:val="none"/>
              </w:rPr>
              <w:t>4</w:t>
            </w:r>
            <w:r>
              <w:rPr>
                <w:rFonts w:asciiTheme="minorEastAsia" w:hAnsiTheme="minorEastAsia"/>
                <w:color w:val="auto"/>
                <w:szCs w:val="21"/>
                <w:highlight w:val="none"/>
              </w:rPr>
              <w:t>分，本项最高加12分。</w:t>
            </w:r>
          </w:p>
          <w:p>
            <w:pPr>
              <w:autoSpaceDE w:val="0"/>
              <w:autoSpaceDN w:val="0"/>
              <w:adjustRightInd w:val="0"/>
              <w:spacing w:line="300" w:lineRule="exact"/>
              <w:ind w:left="105" w:leftChars="50" w:right="105" w:rightChars="50"/>
              <w:rPr>
                <w:rFonts w:asciiTheme="minorEastAsia" w:hAnsiTheme="minorEastAsia"/>
                <w:color w:val="auto"/>
                <w:szCs w:val="21"/>
                <w:highlight w:val="none"/>
              </w:rPr>
            </w:pPr>
          </w:p>
          <w:p>
            <w:pPr>
              <w:autoSpaceDE w:val="0"/>
              <w:autoSpaceDN w:val="0"/>
              <w:adjustRightInd w:val="0"/>
              <w:spacing w:line="300" w:lineRule="exact"/>
              <w:ind w:left="105" w:leftChars="50" w:right="105" w:rightChars="50"/>
              <w:rPr>
                <w:rFonts w:ascii="宋体"/>
                <w:color w:val="auto"/>
                <w:szCs w:val="21"/>
                <w:highlight w:val="none"/>
              </w:rPr>
            </w:pPr>
            <w:r>
              <w:rPr>
                <w:rFonts w:hint="eastAsia" w:ascii="宋体"/>
                <w:b/>
                <w:color w:val="auto"/>
                <w:szCs w:val="21"/>
                <w:highlight w:val="none"/>
              </w:rPr>
              <w:t>Ⅴ类别（即JL</w:t>
            </w:r>
            <w:r>
              <w:rPr>
                <w:rFonts w:hint="eastAsia" w:ascii="宋体"/>
                <w:b/>
                <w:color w:val="auto"/>
                <w:szCs w:val="21"/>
                <w:highlight w:val="none"/>
                <w:lang w:val="en-US" w:eastAsia="zh-CN"/>
              </w:rPr>
              <w:t>9</w:t>
            </w:r>
            <w:r>
              <w:rPr>
                <w:rFonts w:hint="eastAsia" w:ascii="宋体"/>
                <w:b/>
                <w:color w:val="auto"/>
                <w:szCs w:val="21"/>
                <w:highlight w:val="none"/>
              </w:rPr>
              <w:t>标段）</w:t>
            </w:r>
            <w:r>
              <w:rPr>
                <w:rFonts w:hint="eastAsia" w:asciiTheme="minorEastAsia" w:hAnsiTheme="minorEastAsia"/>
                <w:b/>
                <w:bCs/>
                <w:color w:val="auto"/>
                <w:szCs w:val="21"/>
                <w:highlight w:val="none"/>
              </w:rPr>
              <w:t>：</w:t>
            </w:r>
            <w:r>
              <w:rPr>
                <w:rFonts w:asciiTheme="minorEastAsia" w:hAnsiTheme="minorEastAsia"/>
                <w:color w:val="auto"/>
                <w:szCs w:val="21"/>
                <w:highlight w:val="none"/>
              </w:rPr>
              <w:t>在资格审查条件的基础上，近五年内（2017年</w:t>
            </w:r>
            <w:r>
              <w:rPr>
                <w:rFonts w:hint="eastAsia" w:asciiTheme="minorEastAsia" w:hAnsiTheme="minorEastAsia"/>
                <w:color w:val="auto"/>
                <w:szCs w:val="21"/>
                <w:highlight w:val="none"/>
              </w:rPr>
              <w:t>6月1日</w:t>
            </w:r>
            <w:r>
              <w:rPr>
                <w:rFonts w:asciiTheme="minorEastAsia" w:hAnsiTheme="minorEastAsia"/>
                <w:color w:val="auto"/>
                <w:szCs w:val="21"/>
                <w:highlight w:val="none"/>
              </w:rPr>
              <w:t>至投标文件递交截止日，以交&lt;竣&gt;工时间为准）每增加1项</w:t>
            </w:r>
            <w:r>
              <w:rPr>
                <w:rFonts w:hint="eastAsia" w:asciiTheme="minorEastAsia" w:hAnsiTheme="minorEastAsia"/>
                <w:color w:val="auto"/>
                <w:szCs w:val="21"/>
                <w:highlight w:val="none"/>
              </w:rPr>
              <w:t>公路上跨或下穿铁路</w:t>
            </w:r>
            <w:r>
              <w:rPr>
                <w:rFonts w:asciiTheme="minorEastAsia" w:hAnsiTheme="minorEastAsia"/>
                <w:color w:val="auto"/>
                <w:szCs w:val="21"/>
                <w:highlight w:val="none"/>
              </w:rPr>
              <w:t>施工监理业绩</w:t>
            </w:r>
            <w:r>
              <w:rPr>
                <w:rFonts w:hint="eastAsia" w:asciiTheme="minorEastAsia" w:hAnsiTheme="minorEastAsia"/>
                <w:color w:val="auto"/>
                <w:szCs w:val="21"/>
                <w:highlight w:val="none"/>
              </w:rPr>
              <w:t>加4分，</w:t>
            </w:r>
            <w:r>
              <w:rPr>
                <w:rFonts w:asciiTheme="minorEastAsia" w:hAnsiTheme="minorEastAsia"/>
                <w:color w:val="auto"/>
                <w:szCs w:val="21"/>
                <w:highlight w:val="none"/>
              </w:rPr>
              <w:t>本项最高加12分。</w:t>
            </w:r>
          </w:p>
        </w:tc>
      </w:tr>
      <w:tr>
        <w:tblPrEx>
          <w:tblCellMar>
            <w:top w:w="0" w:type="dxa"/>
            <w:left w:w="0" w:type="dxa"/>
            <w:bottom w:w="0" w:type="dxa"/>
            <w:right w:w="0" w:type="dxa"/>
          </w:tblCellMar>
        </w:tblPrEx>
        <w:trPr>
          <w:trHeight w:val="408" w:hRule="atLeast"/>
        </w:trPr>
        <w:tc>
          <w:tcPr>
            <w:tcW w:w="1004" w:type="dxa"/>
            <w:vMerge w:val="continue"/>
            <w:tcBorders>
              <w:top w:val="single" w:color="auto" w:sz="4" w:space="0"/>
              <w:left w:val="single" w:color="auto"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p>
        </w:tc>
        <w:tc>
          <w:tcPr>
            <w:tcW w:w="1138" w:type="dxa"/>
            <w:gridSpan w:val="2"/>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hint="eastAsia" w:cs="Adobe ｷﾂﾋﾎ Std R" w:asciiTheme="minorEastAsia" w:hAnsiTheme="minorEastAsia"/>
                <w:b/>
                <w:color w:val="auto"/>
                <w:spacing w:val="1"/>
                <w:kern w:val="0"/>
                <w:szCs w:val="21"/>
                <w:highlight w:val="none"/>
              </w:rPr>
              <w:t>履约</w:t>
            </w:r>
          </w:p>
          <w:p>
            <w:pPr>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hint="eastAsia" w:cs="Adobe ｷﾂﾋﾎ Std R" w:asciiTheme="minorEastAsia" w:hAnsiTheme="minorEastAsia"/>
                <w:b/>
                <w:color w:val="auto"/>
                <w:spacing w:val="1"/>
                <w:kern w:val="0"/>
                <w:szCs w:val="21"/>
                <w:highlight w:val="none"/>
              </w:rPr>
              <w:t>信誉</w:t>
            </w:r>
          </w:p>
        </w:tc>
        <w:tc>
          <w:tcPr>
            <w:tcW w:w="1280" w:type="dxa"/>
            <w:tcBorders>
              <w:top w:val="single" w:color="000000" w:sz="4" w:space="0"/>
              <w:left w:val="single" w:color="000000" w:sz="4" w:space="0"/>
              <w:bottom w:val="single" w:color="000000" w:sz="4" w:space="0"/>
              <w:right w:val="single" w:color="000000" w:sz="4" w:space="0"/>
            </w:tcBorders>
            <w:vAlign w:val="center"/>
          </w:tcPr>
          <w:p>
            <w:pPr>
              <w:tabs>
                <w:tab w:val="left" w:pos="660"/>
              </w:tabs>
              <w:autoSpaceDE w:val="0"/>
              <w:autoSpaceDN w:val="0"/>
              <w:adjustRightInd w:val="0"/>
              <w:spacing w:line="300" w:lineRule="exact"/>
              <w:ind w:left="105" w:leftChars="50" w:right="105" w:rightChars="50"/>
              <w:jc w:val="center"/>
              <w:rPr>
                <w:rFonts w:cs="Adobe ｷﾂﾋﾎ Std R" w:asciiTheme="minorEastAsia" w:hAnsiTheme="minorEastAsia"/>
                <w:b/>
                <w:color w:val="auto"/>
                <w:spacing w:val="1"/>
                <w:kern w:val="0"/>
                <w:szCs w:val="21"/>
                <w:highlight w:val="none"/>
              </w:rPr>
            </w:pPr>
            <w:r>
              <w:rPr>
                <w:rFonts w:hint="eastAsia" w:cs="Adobe ｷﾂﾋﾎ Std R" w:asciiTheme="minorEastAsia" w:hAnsiTheme="minorEastAsia"/>
                <w:b/>
                <w:color w:val="auto"/>
                <w:spacing w:val="1"/>
                <w:kern w:val="0"/>
                <w:szCs w:val="21"/>
                <w:highlight w:val="none"/>
              </w:rPr>
              <w:t>10分</w:t>
            </w:r>
          </w:p>
        </w:tc>
        <w:tc>
          <w:tcPr>
            <w:tcW w:w="63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5" w:leftChars="50" w:right="105" w:rightChars="50"/>
              <w:rPr>
                <w:rFonts w:ascii="宋体"/>
                <w:color w:val="auto"/>
                <w:szCs w:val="21"/>
                <w:highlight w:val="none"/>
              </w:rPr>
            </w:pPr>
            <w:r>
              <w:rPr>
                <w:rFonts w:ascii="宋体" w:hAnsi="宋体"/>
                <w:color w:val="auto"/>
                <w:szCs w:val="21"/>
                <w:highlight w:val="none"/>
              </w:rPr>
              <w:t>本</w:t>
            </w:r>
            <w:r>
              <w:rPr>
                <w:rFonts w:hint="eastAsia" w:ascii="宋体"/>
                <w:color w:val="auto"/>
                <w:szCs w:val="21"/>
                <w:highlight w:val="none"/>
              </w:rPr>
              <w:t>项基本分为8分，满分10分。</w:t>
            </w:r>
          </w:p>
          <w:p>
            <w:pPr>
              <w:autoSpaceDE w:val="0"/>
              <w:autoSpaceDN w:val="0"/>
              <w:adjustRightInd w:val="0"/>
              <w:spacing w:line="300" w:lineRule="exact"/>
              <w:ind w:left="105" w:leftChars="50" w:right="105" w:rightChars="50"/>
              <w:rPr>
                <w:rFonts w:hint="eastAsia" w:asciiTheme="minorEastAsia" w:hAnsiTheme="minorEastAsia"/>
                <w:color w:val="auto"/>
                <w:szCs w:val="21"/>
                <w:highlight w:val="none"/>
              </w:rPr>
            </w:pPr>
            <w:r>
              <w:rPr>
                <w:rFonts w:hint="eastAsia" w:asciiTheme="minorEastAsia" w:hAnsiTheme="minorEastAsia"/>
                <w:color w:val="auto"/>
                <w:szCs w:val="21"/>
                <w:highlight w:val="none"/>
              </w:rPr>
              <w:t>信用评价以最新的 “山西省交通运输厅最新信用评价结果”为准，山西没有的以“全国公路建设市场信用信息管理系统评价结果”为准，全国公路建设市场也没有的按B级对待。</w:t>
            </w:r>
          </w:p>
          <w:p>
            <w:pPr>
              <w:autoSpaceDE w:val="0"/>
              <w:autoSpaceDN w:val="0"/>
              <w:adjustRightInd w:val="0"/>
              <w:spacing w:line="300" w:lineRule="exact"/>
              <w:ind w:left="105" w:leftChars="50" w:right="105" w:rightChars="50"/>
              <w:rPr>
                <w:rFonts w:cs="Times New Roman" w:asciiTheme="minorEastAsia" w:hAnsiTheme="minorEastAsia"/>
                <w:color w:val="auto"/>
                <w:kern w:val="0"/>
                <w:szCs w:val="21"/>
                <w:highlight w:val="none"/>
              </w:rPr>
            </w:pPr>
            <w:r>
              <w:rPr>
                <w:rFonts w:hint="eastAsia" w:ascii="宋体"/>
                <w:color w:val="auto"/>
                <w:szCs w:val="21"/>
                <w:highlight w:val="none"/>
              </w:rPr>
              <w:t>信用评价等级</w:t>
            </w:r>
            <w:r>
              <w:rPr>
                <w:rFonts w:hint="eastAsia" w:ascii="宋体"/>
                <w:color w:val="auto"/>
                <w:szCs w:val="21"/>
                <w:highlight w:val="none"/>
                <w:lang w:val="en-US" w:eastAsia="zh-CN"/>
              </w:rPr>
              <w:t>A</w:t>
            </w:r>
            <w:r>
              <w:rPr>
                <w:rFonts w:hint="eastAsia" w:ascii="宋体"/>
                <w:color w:val="auto"/>
                <w:szCs w:val="21"/>
                <w:highlight w:val="none"/>
              </w:rPr>
              <w:t>A级：2分；</w:t>
            </w:r>
            <w:r>
              <w:rPr>
                <w:rFonts w:hint="eastAsia" w:ascii="宋体"/>
                <w:color w:val="auto"/>
                <w:szCs w:val="21"/>
                <w:highlight w:val="none"/>
                <w:lang w:val="en-US" w:eastAsia="zh-CN"/>
              </w:rPr>
              <w:t>A级：1.8分；</w:t>
            </w:r>
            <w:r>
              <w:rPr>
                <w:rFonts w:hint="eastAsia" w:ascii="宋体"/>
                <w:color w:val="auto"/>
                <w:szCs w:val="21"/>
                <w:highlight w:val="none"/>
              </w:rPr>
              <w:t>B级：0分；C级：扣1分。</w:t>
            </w:r>
          </w:p>
        </w:tc>
      </w:tr>
      <w:tr>
        <w:tblPrEx>
          <w:tblCellMar>
            <w:top w:w="0" w:type="dxa"/>
            <w:left w:w="0" w:type="dxa"/>
            <w:bottom w:w="0" w:type="dxa"/>
            <w:right w:w="0" w:type="dxa"/>
          </w:tblCellMar>
        </w:tblPrEx>
        <w:trPr>
          <w:trHeight w:val="698" w:hRule="atLeast"/>
        </w:trPr>
        <w:tc>
          <w:tcPr>
            <w:tcW w:w="199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Theme="minorEastAsia" w:hAnsiTheme="minorEastAsia"/>
                <w:color w:val="auto"/>
                <w:szCs w:val="21"/>
                <w:highlight w:val="none"/>
              </w:rPr>
            </w:pPr>
            <w:r>
              <w:rPr>
                <w:rFonts w:hint="eastAsia" w:cs="Times New Roman" w:asciiTheme="minorEastAsia" w:hAnsiTheme="minorEastAsia"/>
                <w:color w:val="auto"/>
                <w:szCs w:val="21"/>
                <w:highlight w:val="none"/>
              </w:rPr>
              <w:t>3.1.1</w:t>
            </w:r>
          </w:p>
        </w:tc>
        <w:tc>
          <w:tcPr>
            <w:tcW w:w="143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cs="Times New Roman" w:asciiTheme="minorEastAsia" w:hAnsiTheme="minorEastAsia"/>
                <w:color w:val="auto"/>
                <w:szCs w:val="21"/>
                <w:highlight w:val="none"/>
              </w:rPr>
            </w:pPr>
            <w:r>
              <w:rPr>
                <w:rFonts w:hint="eastAsia" w:cs="Times New Roman" w:asciiTheme="minorEastAsia" w:hAnsiTheme="minorEastAsia"/>
                <w:color w:val="auto"/>
                <w:szCs w:val="21"/>
                <w:highlight w:val="none"/>
              </w:rPr>
              <w:t>初步评审</w:t>
            </w:r>
          </w:p>
          <w:p>
            <w:pPr>
              <w:spacing w:line="240" w:lineRule="atLeast"/>
              <w:jc w:val="center"/>
              <w:rPr>
                <w:rFonts w:cs="宋体" w:asciiTheme="minorEastAsia" w:hAnsiTheme="minorEastAsia"/>
                <w:color w:val="auto"/>
                <w:szCs w:val="21"/>
                <w:highlight w:val="none"/>
              </w:rPr>
            </w:pPr>
            <w:r>
              <w:rPr>
                <w:rFonts w:hint="eastAsia" w:cs="Times New Roman" w:asciiTheme="minorEastAsia" w:hAnsiTheme="minorEastAsia"/>
                <w:color w:val="auto"/>
                <w:szCs w:val="21"/>
                <w:highlight w:val="none"/>
              </w:rPr>
              <w:t>原件备查</w:t>
            </w:r>
          </w:p>
        </w:tc>
        <w:tc>
          <w:tcPr>
            <w:tcW w:w="6392"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left="50" w:right="105" w:rightChars="50"/>
              <w:jc w:val="center"/>
              <w:rPr>
                <w:rFonts w:cs="宋体" w:asciiTheme="minorEastAsia" w:hAnsiTheme="minorEastAsia"/>
                <w:color w:val="auto"/>
                <w:szCs w:val="21"/>
                <w:highlight w:val="none"/>
              </w:rPr>
            </w:pPr>
            <w:r>
              <w:rPr>
                <w:rFonts w:hint="eastAsia" w:asciiTheme="minorEastAsia" w:hAnsiTheme="minorEastAsia"/>
                <w:color w:val="auto"/>
                <w:szCs w:val="21"/>
                <w:highlight w:val="none"/>
              </w:rPr>
              <w:t>不适用</w:t>
            </w:r>
          </w:p>
        </w:tc>
      </w:tr>
      <w:tr>
        <w:tblPrEx>
          <w:tblCellMar>
            <w:top w:w="0" w:type="dxa"/>
            <w:left w:w="0" w:type="dxa"/>
            <w:bottom w:w="0" w:type="dxa"/>
            <w:right w:w="0" w:type="dxa"/>
          </w:tblCellMar>
        </w:tblPrEx>
        <w:trPr>
          <w:trHeight w:val="694" w:hRule="atLeast"/>
        </w:trPr>
        <w:tc>
          <w:tcPr>
            <w:tcW w:w="199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Theme="minorEastAsia" w:hAnsiTheme="minorEastAsia"/>
                <w:color w:val="auto"/>
                <w:szCs w:val="21"/>
                <w:highlight w:val="none"/>
              </w:rPr>
            </w:pPr>
            <w:r>
              <w:rPr>
                <w:rFonts w:hint="eastAsia" w:cs="Times New Roman" w:asciiTheme="minorEastAsia" w:hAnsiTheme="minorEastAsia"/>
                <w:color w:val="auto"/>
                <w:szCs w:val="21"/>
                <w:highlight w:val="none"/>
              </w:rPr>
              <w:t>3.4.2（2）～（4）</w:t>
            </w:r>
          </w:p>
        </w:tc>
        <w:tc>
          <w:tcPr>
            <w:tcW w:w="143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cs="宋体" w:asciiTheme="minorEastAsia" w:hAnsiTheme="minorEastAsia"/>
                <w:color w:val="auto"/>
                <w:szCs w:val="21"/>
                <w:highlight w:val="none"/>
              </w:rPr>
            </w:pPr>
            <w:r>
              <w:rPr>
                <w:rFonts w:hint="eastAsia" w:cs="Times New Roman" w:asciiTheme="minorEastAsia" w:hAnsiTheme="minorEastAsia"/>
                <w:color w:val="auto"/>
                <w:szCs w:val="21"/>
                <w:highlight w:val="none"/>
              </w:rPr>
              <w:t>报价修正</w:t>
            </w:r>
          </w:p>
        </w:tc>
        <w:tc>
          <w:tcPr>
            <w:tcW w:w="6392"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left="50" w:right="105" w:rightChars="50"/>
              <w:jc w:val="center"/>
              <w:rPr>
                <w:rFonts w:cs="宋体" w:asciiTheme="minorEastAsia" w:hAnsiTheme="minorEastAsia"/>
                <w:color w:val="auto"/>
                <w:szCs w:val="21"/>
                <w:highlight w:val="none"/>
              </w:rPr>
            </w:pPr>
            <w:r>
              <w:rPr>
                <w:rFonts w:hint="eastAsia" w:asciiTheme="minorEastAsia" w:hAnsiTheme="minorEastAsia"/>
                <w:color w:val="auto"/>
                <w:szCs w:val="21"/>
                <w:highlight w:val="none"/>
              </w:rPr>
              <w:t>不适用</w:t>
            </w:r>
          </w:p>
        </w:tc>
      </w:tr>
      <w:tr>
        <w:tblPrEx>
          <w:tblCellMar>
            <w:top w:w="0" w:type="dxa"/>
            <w:left w:w="0" w:type="dxa"/>
            <w:bottom w:w="0" w:type="dxa"/>
            <w:right w:w="0" w:type="dxa"/>
          </w:tblCellMar>
        </w:tblPrEx>
        <w:trPr>
          <w:trHeight w:val="694" w:hRule="atLeast"/>
        </w:trPr>
        <w:tc>
          <w:tcPr>
            <w:tcW w:w="199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cs="Times New Roman" w:asciiTheme="minorEastAsia" w:hAnsiTheme="minorEastAsia"/>
                <w:color w:val="auto"/>
                <w:szCs w:val="21"/>
                <w:highlight w:val="none"/>
              </w:rPr>
            </w:pPr>
            <w:r>
              <w:rPr>
                <w:rFonts w:hint="eastAsia" w:asciiTheme="minorEastAsia" w:hAnsiTheme="minorEastAsia"/>
                <w:color w:val="auto"/>
                <w:szCs w:val="21"/>
                <w:highlight w:val="none"/>
              </w:rPr>
              <w:t>3.9.1</w:t>
            </w:r>
          </w:p>
        </w:tc>
        <w:tc>
          <w:tcPr>
            <w:tcW w:w="1432" w:type="dxa"/>
            <w:gridSpan w:val="2"/>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240" w:lineRule="atLeast"/>
              <w:jc w:val="center"/>
              <w:rPr>
                <w:rFonts w:cs="Times New Roman" w:asciiTheme="minorEastAsia" w:hAnsiTheme="minorEastAsia"/>
                <w:color w:val="auto"/>
                <w:szCs w:val="21"/>
                <w:highlight w:val="none"/>
              </w:rPr>
            </w:pPr>
            <w:r>
              <w:rPr>
                <w:rFonts w:hint="eastAsia" w:asciiTheme="minorEastAsia" w:hAnsiTheme="minorEastAsia"/>
                <w:color w:val="auto"/>
                <w:szCs w:val="21"/>
                <w:highlight w:val="none"/>
              </w:rPr>
              <w:t>评标结果</w:t>
            </w:r>
          </w:p>
        </w:tc>
        <w:tc>
          <w:tcPr>
            <w:tcW w:w="6392"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left="105" w:leftChars="50" w:right="105" w:rightChars="50"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评标完成后，评标委员会应当向招标人提交书面报告，并按综合得分由高到低的顺序，向招标人推荐1名为中标候选人。</w:t>
            </w:r>
          </w:p>
        </w:tc>
      </w:tr>
      <w:tr>
        <w:tblPrEx>
          <w:tblCellMar>
            <w:top w:w="0" w:type="dxa"/>
            <w:left w:w="0" w:type="dxa"/>
            <w:bottom w:w="0" w:type="dxa"/>
            <w:right w:w="0" w:type="dxa"/>
          </w:tblCellMar>
        </w:tblPrEx>
        <w:trPr>
          <w:trHeight w:val="559" w:hRule="atLeast"/>
        </w:trPr>
        <w:tc>
          <w:tcPr>
            <w:tcW w:w="9814" w:type="dxa"/>
            <w:gridSpan w:val="5"/>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pacing w:line="380" w:lineRule="exact"/>
              <w:ind w:left="288" w:leftChars="137" w:right="269" w:rightChars="128"/>
              <w:jc w:val="center"/>
              <w:rPr>
                <w:rFonts w:asciiTheme="minorEastAsia" w:hAnsiTheme="minorEastAsia" w:cstheme="minorEastAsia"/>
                <w:b/>
                <w:color w:val="auto"/>
                <w:kern w:val="0"/>
                <w:szCs w:val="21"/>
                <w:highlight w:val="none"/>
              </w:rPr>
            </w:pPr>
            <w:r>
              <w:rPr>
                <w:rFonts w:hint="eastAsia" w:asciiTheme="minorEastAsia" w:hAnsiTheme="minorEastAsia"/>
                <w:b/>
                <w:color w:val="auto"/>
                <w:szCs w:val="21"/>
                <w:highlight w:val="none"/>
              </w:rPr>
              <w:t>需要补充的其他内容</w:t>
            </w:r>
          </w:p>
        </w:tc>
      </w:tr>
      <w:tr>
        <w:tblPrEx>
          <w:tblCellMar>
            <w:top w:w="0" w:type="dxa"/>
            <w:left w:w="0" w:type="dxa"/>
            <w:bottom w:w="0" w:type="dxa"/>
            <w:right w:w="0" w:type="dxa"/>
          </w:tblCellMar>
        </w:tblPrEx>
        <w:trPr>
          <w:trHeight w:val="740" w:hRule="atLeast"/>
        </w:trPr>
        <w:tc>
          <w:tcPr>
            <w:tcW w:w="9814" w:type="dxa"/>
            <w:gridSpan w:val="5"/>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autoSpaceDE w:val="0"/>
              <w:autoSpaceDN w:val="0"/>
              <w:adjustRightInd w:val="0"/>
              <w:ind w:left="288" w:leftChars="137" w:right="269" w:rightChars="128"/>
              <w:rPr>
                <w:color w:val="auto"/>
                <w:highlight w:val="none"/>
              </w:rPr>
            </w:pPr>
            <w:r>
              <w:rPr>
                <w:rFonts w:hint="eastAsia"/>
                <w:color w:val="auto"/>
                <w:highlight w:val="none"/>
              </w:rPr>
              <w:t>评标办法中3.4所涉“投标报价”为“评标价”。</w:t>
            </w:r>
          </w:p>
          <w:p>
            <w:pPr>
              <w:widowControl/>
              <w:numPr>
                <w:ilvl w:val="0"/>
                <w:numId w:val="1"/>
              </w:numPr>
              <w:autoSpaceDE w:val="0"/>
              <w:autoSpaceDN w:val="0"/>
              <w:adjustRightInd w:val="0"/>
              <w:ind w:left="288" w:leftChars="137" w:right="269" w:rightChars="128"/>
              <w:rPr>
                <w:color w:val="auto"/>
                <w:highlight w:val="none"/>
              </w:rPr>
            </w:pPr>
            <w:r>
              <w:rPr>
                <w:rFonts w:hint="eastAsia"/>
                <w:color w:val="auto"/>
                <w:highlight w:val="none"/>
              </w:rPr>
              <w:t>当通过第一信封评审的投标人数少于3家时，不再进行第二信封(报价文件)的开标。</w:t>
            </w:r>
          </w:p>
        </w:tc>
      </w:tr>
    </w:tbl>
    <w:p>
      <w:pPr>
        <w:widowControl/>
        <w:jc w:val="left"/>
        <w:rPr>
          <w:rFonts w:asciiTheme="minorEastAsia" w:hAnsiTheme="minorEastAsia"/>
          <w:color w:val="auto"/>
          <w:sz w:val="24"/>
          <w:szCs w:val="24"/>
          <w:highlight w:val="none"/>
        </w:rPr>
      </w:pPr>
    </w:p>
    <w:p>
      <w:pPr>
        <w:spacing w:line="440" w:lineRule="exact"/>
        <w:ind w:firstLine="482" w:firstLineChars="200"/>
        <w:jc w:val="left"/>
        <w:rPr>
          <w:rFonts w:asciiTheme="minorEastAsia" w:hAnsiTheme="minorEastAsia"/>
          <w:b/>
          <w:bCs/>
          <w:color w:val="auto"/>
          <w:sz w:val="24"/>
          <w:szCs w:val="24"/>
          <w:highlight w:val="none"/>
        </w:rPr>
      </w:pPr>
      <w:r>
        <w:rPr>
          <w:rFonts w:hint="eastAsia" w:asciiTheme="minorEastAsia" w:hAnsiTheme="minorEastAsia"/>
          <w:b/>
          <w:bCs/>
          <w:color w:val="auto"/>
          <w:sz w:val="24"/>
          <w:szCs w:val="24"/>
          <w:highlight w:val="none"/>
        </w:rPr>
        <w:t>1.</w:t>
      </w:r>
      <w:r>
        <w:rPr>
          <w:rFonts w:asciiTheme="minorEastAsia" w:hAnsiTheme="minorEastAsia"/>
          <w:b/>
          <w:bCs/>
          <w:color w:val="auto"/>
          <w:sz w:val="24"/>
          <w:szCs w:val="24"/>
          <w:highlight w:val="none"/>
        </w:rPr>
        <w:t>评标办法</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stheme="minorEastAsia"/>
          <w:color w:val="auto"/>
          <w:kern w:val="0"/>
          <w:sz w:val="24"/>
          <w:szCs w:val="24"/>
          <w:highlight w:val="none"/>
        </w:rPr>
        <w:t>本次评标采用综合评分法。评标委员会对满足招标文件实质性要求的投标文件，按照本章第 2.2 款规定的评分标准进行打分，并按得分由高到低顺序推荐1名中标候选人，或根据招标人授权直接确定中标人，但投标报价低于其成本的除外。综合评分相等时，</w:t>
      </w:r>
      <w:r>
        <w:rPr>
          <w:rFonts w:hint="eastAsia" w:ascii="宋体" w:hAnsi="宋体" w:eastAsia="宋体" w:cs="宋体"/>
          <w:color w:val="auto"/>
          <w:sz w:val="24"/>
          <w:szCs w:val="24"/>
          <w:highlight w:val="none"/>
        </w:rPr>
        <w:t>评标委员会应按照评标办法前附表规定的优先次序推荐中标候选人或确定中标人</w:t>
      </w:r>
      <w:r>
        <w:rPr>
          <w:rFonts w:asciiTheme="minorEastAsia" w:hAnsiTheme="minorEastAsia"/>
          <w:color w:val="auto"/>
          <w:sz w:val="24"/>
          <w:szCs w:val="24"/>
          <w:highlight w:val="none"/>
        </w:rPr>
        <w:t>。</w:t>
      </w:r>
    </w:p>
    <w:p>
      <w:pPr>
        <w:spacing w:line="440" w:lineRule="exact"/>
        <w:ind w:firstLine="482" w:firstLineChars="200"/>
        <w:jc w:val="left"/>
        <w:rPr>
          <w:rFonts w:asciiTheme="minorEastAsia" w:hAnsiTheme="minorEastAsia"/>
          <w:b/>
          <w:bCs/>
          <w:color w:val="auto"/>
          <w:sz w:val="24"/>
          <w:szCs w:val="24"/>
          <w:highlight w:val="none"/>
        </w:rPr>
      </w:pPr>
      <w:r>
        <w:rPr>
          <w:rFonts w:asciiTheme="minorEastAsia" w:hAnsiTheme="minorEastAsia"/>
          <w:b/>
          <w:bCs/>
          <w:color w:val="auto"/>
          <w:sz w:val="24"/>
          <w:szCs w:val="24"/>
          <w:highlight w:val="none"/>
        </w:rPr>
        <w:t>2. 评审标准</w:t>
      </w:r>
    </w:p>
    <w:p>
      <w:pPr>
        <w:spacing w:line="440" w:lineRule="exact"/>
        <w:ind w:firstLine="482" w:firstLineChars="200"/>
        <w:jc w:val="left"/>
        <w:rPr>
          <w:rFonts w:asciiTheme="minorEastAsia" w:hAnsiTheme="minorEastAsia"/>
          <w:b/>
          <w:color w:val="auto"/>
          <w:sz w:val="24"/>
          <w:szCs w:val="24"/>
          <w:highlight w:val="none"/>
        </w:rPr>
      </w:pPr>
      <w:r>
        <w:rPr>
          <w:rFonts w:asciiTheme="minorEastAsia" w:hAnsiTheme="minorEastAsia"/>
          <w:b/>
          <w:color w:val="auto"/>
          <w:sz w:val="24"/>
          <w:szCs w:val="24"/>
          <w:highlight w:val="none"/>
        </w:rPr>
        <w:t>2.1 初步评审标准</w:t>
      </w:r>
      <w:bookmarkStart w:id="14" w:name="_GoBack"/>
      <w:bookmarkEnd w:id="14"/>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2.1.1 形式评审标准：见评标办法前附表。</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2.1.2 资格评审标准：见评标办法前附表。</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2.1.3 响应性评审标准：见评标办法前附表。</w:t>
      </w:r>
    </w:p>
    <w:p>
      <w:pPr>
        <w:spacing w:line="440" w:lineRule="exact"/>
        <w:ind w:firstLine="482" w:firstLineChars="200"/>
        <w:jc w:val="left"/>
        <w:rPr>
          <w:rFonts w:asciiTheme="minorEastAsia" w:hAnsiTheme="minorEastAsia"/>
          <w:b/>
          <w:color w:val="auto"/>
          <w:sz w:val="24"/>
          <w:szCs w:val="24"/>
          <w:highlight w:val="none"/>
        </w:rPr>
      </w:pPr>
      <w:r>
        <w:rPr>
          <w:rFonts w:asciiTheme="minorEastAsia" w:hAnsiTheme="minorEastAsia"/>
          <w:b/>
          <w:color w:val="auto"/>
          <w:sz w:val="24"/>
          <w:szCs w:val="24"/>
          <w:highlight w:val="none"/>
        </w:rPr>
        <w:t>2.2  分值构成与评分标准</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2.2.1 分值构成</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 xml:space="preserve">(1)技术建议书：见评标办法前附表； </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 xml:space="preserve">(2)主要人员：见评标办法前附表； </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 xml:space="preserve">(3)评标价：见评标办法前附表； </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(4)其他评分因素：见评标办法前附表。</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2.2.2评标基准价计算</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评标基准价计算方法：见评标办法前附表。</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2.2.3投标报价的偏差率计算</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投标报价的偏差率计算公式：见评标办法前附表。</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2.2.4评分标准</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 xml:space="preserve">(1)技术建议书评分标准：见评标办法前附表； </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 xml:space="preserve">(2)主要人员评分标准：见评标办法前附表； </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 xml:space="preserve">(3)评标价评分标准：见评标办法前附表； </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(4)其他因素评分标准：见评标办法前附表。</w:t>
      </w:r>
    </w:p>
    <w:p>
      <w:pPr>
        <w:spacing w:line="440" w:lineRule="exact"/>
        <w:ind w:firstLine="482" w:firstLineChars="200"/>
        <w:jc w:val="left"/>
        <w:rPr>
          <w:rFonts w:asciiTheme="minorEastAsia" w:hAnsiTheme="minorEastAsia"/>
          <w:b/>
          <w:bCs/>
          <w:color w:val="auto"/>
          <w:sz w:val="24"/>
          <w:szCs w:val="24"/>
          <w:highlight w:val="none"/>
        </w:rPr>
      </w:pPr>
      <w:r>
        <w:rPr>
          <w:rFonts w:asciiTheme="minorEastAsia" w:hAnsiTheme="minorEastAsia"/>
          <w:b/>
          <w:bCs/>
          <w:color w:val="auto"/>
          <w:sz w:val="24"/>
          <w:szCs w:val="24"/>
          <w:highlight w:val="none"/>
        </w:rPr>
        <w:t>3. 评标程序</w:t>
      </w:r>
    </w:p>
    <w:p>
      <w:pPr>
        <w:spacing w:line="440" w:lineRule="exact"/>
        <w:ind w:firstLine="482" w:firstLineChars="200"/>
        <w:jc w:val="left"/>
        <w:rPr>
          <w:rFonts w:asciiTheme="minorEastAsia" w:hAnsiTheme="minorEastAsia"/>
          <w:b/>
          <w:color w:val="auto"/>
          <w:sz w:val="24"/>
          <w:szCs w:val="24"/>
          <w:highlight w:val="none"/>
        </w:rPr>
      </w:pPr>
      <w:bookmarkStart w:id="5" w:name="_Toc152045594"/>
      <w:bookmarkStart w:id="6" w:name="_Toc179632612"/>
      <w:bookmarkStart w:id="7" w:name="_Toc152042371"/>
      <w:bookmarkStart w:id="8" w:name="_Toc144974561"/>
      <w:r>
        <w:rPr>
          <w:rFonts w:asciiTheme="minorEastAsia" w:hAnsiTheme="minorEastAsia"/>
          <w:b/>
          <w:color w:val="auto"/>
          <w:sz w:val="24"/>
          <w:szCs w:val="24"/>
          <w:highlight w:val="none"/>
        </w:rPr>
        <w:t xml:space="preserve">3.1 </w:t>
      </w:r>
      <w:r>
        <w:rPr>
          <w:rFonts w:hint="eastAsia" w:asciiTheme="minorEastAsia" w:hAnsiTheme="minorEastAsia"/>
          <w:b/>
          <w:color w:val="auto"/>
          <w:sz w:val="24"/>
          <w:szCs w:val="24"/>
          <w:highlight w:val="none"/>
        </w:rPr>
        <w:t>第一信封</w:t>
      </w:r>
      <w:r>
        <w:rPr>
          <w:rFonts w:asciiTheme="minorEastAsia" w:hAnsiTheme="minorEastAsia"/>
          <w:b/>
          <w:color w:val="auto"/>
          <w:sz w:val="24"/>
          <w:szCs w:val="24"/>
          <w:highlight w:val="none"/>
        </w:rPr>
        <w:t>初步评审</w:t>
      </w:r>
      <w:bookmarkEnd w:id="5"/>
      <w:bookmarkEnd w:id="6"/>
      <w:bookmarkEnd w:id="7"/>
      <w:bookmarkEnd w:id="8"/>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3.1.1评标委员会可以要求投标人提交第二章“投标人须知”第3.5.1项至第3.5.</w:t>
      </w:r>
      <w:r>
        <w:rPr>
          <w:rFonts w:hint="eastAsia" w:asciiTheme="minorEastAsia" w:hAnsiTheme="minorEastAsia"/>
          <w:color w:val="auto"/>
          <w:sz w:val="24"/>
          <w:szCs w:val="24"/>
          <w:highlight w:val="none"/>
        </w:rPr>
        <w:t>6</w:t>
      </w:r>
      <w:r>
        <w:rPr>
          <w:rFonts w:asciiTheme="minorEastAsia" w:hAnsiTheme="minorEastAsia"/>
          <w:color w:val="auto"/>
          <w:sz w:val="24"/>
          <w:szCs w:val="24"/>
          <w:highlight w:val="none"/>
        </w:rPr>
        <w:t>项规定的有关证明和证件的原件，以便核验。评标委员会依据本章第2.1款规定的标准对投标文件</w:t>
      </w:r>
      <w:r>
        <w:rPr>
          <w:rFonts w:hint="eastAsia" w:asciiTheme="minorEastAsia" w:hAnsiTheme="minorEastAsia"/>
          <w:color w:val="auto"/>
          <w:sz w:val="24"/>
          <w:szCs w:val="24"/>
          <w:highlight w:val="none"/>
        </w:rPr>
        <w:t>第一信封（商务及技术文件）</w:t>
      </w:r>
      <w:r>
        <w:rPr>
          <w:rFonts w:asciiTheme="minorEastAsia" w:hAnsiTheme="minorEastAsia"/>
          <w:color w:val="auto"/>
          <w:sz w:val="24"/>
          <w:szCs w:val="24"/>
          <w:highlight w:val="none"/>
        </w:rPr>
        <w:t>进行初步评审。有一项不符合评审标准的，作废标处理。</w:t>
      </w:r>
    </w:p>
    <w:p>
      <w:pPr>
        <w:spacing w:line="440" w:lineRule="exact"/>
        <w:ind w:firstLine="482" w:firstLineChars="200"/>
        <w:jc w:val="left"/>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3.2 第一个信封详细评审</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3.2.1  评标委员会按本章第 2.2 款规定的量化因素和分值进行打分，并计算出各投标人的商务和技术得分。</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 xml:space="preserve">(1)按本章第 2.2.4(1)目规定的评审因素和分值对技术建议书计算出得分； </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 xml:space="preserve">(2)按本章第 2.2.4(2)目规定的评审因素和分值对主要人员计算出得分； </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(3)按本章第 2.2.4(4)目规定的评审因素和分值对其他部分计算出得分。</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3.2.2  投标人的商务和技术得分分值计算保留小数点后两位，小数点后第三位“四舍五入”。</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3.2.3  投标人的商务和技术得分=A+B+D。</w:t>
      </w:r>
    </w:p>
    <w:p>
      <w:pPr>
        <w:spacing w:line="440" w:lineRule="exact"/>
        <w:ind w:firstLine="482" w:firstLineChars="200"/>
        <w:jc w:val="left"/>
        <w:rPr>
          <w:rFonts w:asciiTheme="minorEastAsia" w:hAnsiTheme="minorEastAsia"/>
          <w:b/>
          <w:color w:val="auto"/>
          <w:sz w:val="24"/>
          <w:szCs w:val="24"/>
          <w:highlight w:val="none"/>
        </w:rPr>
      </w:pPr>
      <w:r>
        <w:rPr>
          <w:rFonts w:asciiTheme="minorEastAsia" w:hAnsiTheme="minorEastAsia"/>
          <w:b/>
          <w:color w:val="auto"/>
          <w:sz w:val="24"/>
          <w:szCs w:val="24"/>
          <w:highlight w:val="none"/>
        </w:rPr>
        <w:t>3.3</w:t>
      </w:r>
      <w:r>
        <w:rPr>
          <w:rFonts w:hint="eastAsia" w:asciiTheme="minorEastAsia" w:hAnsiTheme="minorEastAsia"/>
          <w:b/>
          <w:color w:val="auto"/>
          <w:sz w:val="24"/>
          <w:szCs w:val="24"/>
          <w:highlight w:val="none"/>
        </w:rPr>
        <w:t>第二个信封开封</w:t>
      </w:r>
    </w:p>
    <w:p>
      <w:pPr>
        <w:pStyle w:val="2"/>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第一个信封（商务及技术文件）评审结束后，招标人将按照第二章“投标人须知”第5.1款规定的时间和地点对通过投标文件第一个信封（商务及技术文件）评审的投标文件第二个信封（报价文件）进行开标。</w:t>
      </w:r>
    </w:p>
    <w:p>
      <w:pPr>
        <w:spacing w:line="440" w:lineRule="exact"/>
        <w:ind w:firstLine="482" w:firstLineChars="200"/>
        <w:jc w:val="left"/>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3.4第二个信封初步评审</w:t>
      </w:r>
    </w:p>
    <w:p>
      <w:pPr>
        <w:pStyle w:val="2"/>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3.4.1评标委员会依据本章第2.1.1项、第2.1.3项规定的评审标准对投标文件第二个信封（报价文件）进行初步评审。有一项不符合评审标准的，评标委员会应否决其投标。</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4.2</w:t>
      </w:r>
      <w:r>
        <w:rPr>
          <w:rFonts w:asciiTheme="minorEastAsia" w:hAnsiTheme="minorEastAsia"/>
          <w:color w:val="auto"/>
          <w:sz w:val="24"/>
          <w:szCs w:val="24"/>
          <w:highlight w:val="none"/>
        </w:rPr>
        <w:t>投标报价有算术错误的，评标委员会按以下原则对投标报价进行修正，修正的价格经投标人书面确认后具有约束力。投标人不接受修正价格的，其投标作废标处理，并没收其投标担保。</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（1）投标文件中的大写金额与小写金额不一致的，以大写金额为准；</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（2）总价金额与依据单价计算出的结果不一致的，以单价金额为准修正总价，但单价金额小数点有明显错误的除外；</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（3）当单价与数量相乘不等于合价时，以单价计算为准，如果单价有明显的小数点位置差错，应以标出的合价为准，同时对单价予以修正；</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（4）当各子目的合价累计不等于总价时，应以各子目合价累计数为准，修正总价。</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4.3</w:t>
      </w:r>
      <w:r>
        <w:rPr>
          <w:rFonts w:asciiTheme="minorEastAsia" w:hAnsiTheme="minorEastAsia"/>
          <w:color w:val="auto"/>
          <w:sz w:val="24"/>
          <w:szCs w:val="24"/>
          <w:highlight w:val="none"/>
        </w:rPr>
        <w:t>修正后的最终投标报价若超过投标控制价上限（如有），投标人的投标文件作废标处理。</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4.4</w:t>
      </w:r>
      <w:r>
        <w:rPr>
          <w:rFonts w:asciiTheme="minorEastAsia" w:hAnsiTheme="minorEastAsia"/>
          <w:color w:val="auto"/>
          <w:sz w:val="24"/>
          <w:szCs w:val="24"/>
          <w:highlight w:val="none"/>
        </w:rPr>
        <w:t xml:space="preserve"> 修正后的最终投标报价仅作为签订合同的一个依据，不参与评标价得分的计算。</w:t>
      </w:r>
    </w:p>
    <w:p>
      <w:pPr>
        <w:spacing w:line="440" w:lineRule="exact"/>
        <w:ind w:firstLine="482" w:firstLineChars="200"/>
        <w:jc w:val="left"/>
        <w:rPr>
          <w:rFonts w:asciiTheme="minorEastAsia" w:hAnsiTheme="minorEastAsia"/>
          <w:b/>
          <w:color w:val="auto"/>
          <w:sz w:val="24"/>
          <w:szCs w:val="24"/>
          <w:highlight w:val="none"/>
        </w:rPr>
      </w:pPr>
      <w:bookmarkStart w:id="9" w:name="_Toc234382659"/>
      <w:r>
        <w:rPr>
          <w:rFonts w:asciiTheme="minorEastAsia" w:hAnsiTheme="minorEastAsia"/>
          <w:b/>
          <w:color w:val="auto"/>
          <w:sz w:val="24"/>
          <w:szCs w:val="24"/>
          <w:highlight w:val="none"/>
        </w:rPr>
        <w:t>3.</w:t>
      </w:r>
      <w:r>
        <w:rPr>
          <w:rFonts w:hint="eastAsia" w:asciiTheme="minorEastAsia" w:hAnsiTheme="minorEastAsia"/>
          <w:b/>
          <w:color w:val="auto"/>
          <w:sz w:val="24"/>
          <w:szCs w:val="24"/>
          <w:highlight w:val="none"/>
        </w:rPr>
        <w:t>5</w:t>
      </w:r>
      <w:r>
        <w:rPr>
          <w:rFonts w:hint="eastAsia" w:asciiTheme="minorEastAsia" w:hAnsiTheme="minorEastAsia" w:cstheme="minorEastAsia"/>
          <w:b/>
          <w:bCs/>
          <w:color w:val="auto"/>
          <w:sz w:val="24"/>
          <w:szCs w:val="24"/>
          <w:highlight w:val="none"/>
        </w:rPr>
        <w:t>第二个信封</w:t>
      </w:r>
      <w:r>
        <w:rPr>
          <w:rFonts w:asciiTheme="minorEastAsia" w:hAnsiTheme="minorEastAsia"/>
          <w:b/>
          <w:color w:val="auto"/>
          <w:sz w:val="24"/>
          <w:szCs w:val="24"/>
          <w:highlight w:val="none"/>
        </w:rPr>
        <w:t>详细评审</w:t>
      </w:r>
      <w:bookmarkEnd w:id="9"/>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3.5.1 评标委员会按本章第 2.2.4(3)目规定的评审因素和分值对投标报价计算出得分C。投标报价得分分值计算保留小数点后两位，小数点后第三位“四舍五入”。</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3.5.2  投标人综合得分=投标人的商务和技术得分+C</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3.5.3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将被否决。</w:t>
      </w:r>
    </w:p>
    <w:p>
      <w:pPr>
        <w:spacing w:line="440" w:lineRule="exact"/>
        <w:ind w:firstLine="482" w:firstLineChars="200"/>
        <w:jc w:val="left"/>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3.6投标文件相关信息的核查</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3.6.1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3.6.2评标委员会应对在评标过程中发现的投标人与投标人之间、投标人与招标人之间存在的串通投标的情形进行评审和认定。投标人存在串通投标、弄虚作假、行贿等违法行为的，评标委员会应否决其投标。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(1)有下列情形之一的，属于投标人相互串通投标：</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a.投标人之间协商投标报价等投标文件的实质性内容；</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b.投标人之间约定中标人；</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c.投标人之间约定部分投标人放弃投标或中标；</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d.属于同一集团、协会、商会等组织成员的投标人按照该组织要求协同投标；</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e.投标人之间为谋取中标或排斥特定投标人而采取的其他联合行动。</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(2)有下列情形之一的，视为投标人相互串通投标：</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a.不同投标人的投标文件由同一单位或个人编制；</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b.不同投标人委托同一单位或个人办理投标事宜；</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c.不同投标人的投标文件载明的项目管理成员为同一人；</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d.不同投标人的投标文件异常一致或投标报价呈规律性差异；</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e.不同投标人的投标文件相互混装；</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f.不同投标人的投标保证金从同一单位或个人的账户转出。</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(3)有下列情形之一的，属于招标人与投标人串通投标：</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a.招标人在开标前开启投标文件并将有关信息泄露给其他投标人；b.招标人直接或间接向投标人泄露标底、评标委员会成员等信息；</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c.招标人明示或暗示投标人压低或抬高投标报价；</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d.招标人授意投标人撤换、修改投标文件；</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e.招标人明示或暗示投标人为特定投标人中标提供方便；</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f.招标人与投标人为谋求特定投标人中标而采取的其他串通行为。</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(4)投标人有下列情形之一的，属于弄虚作假的行为：</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a.使用通过受让或租借等方式获取的资格、资质证书投标；</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b.使用伪造、变造的许可证件；</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c.提供虚假的财务状况或业绩；</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d.提供虚假的项目负责人或主要技术人员简历、劳动关系证明；e.提供虚假的信用状况；</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f.其他弄虚作假的行为。</w:t>
      </w:r>
    </w:p>
    <w:p>
      <w:pPr>
        <w:spacing w:line="440" w:lineRule="exact"/>
        <w:ind w:firstLine="482" w:firstLineChars="200"/>
        <w:jc w:val="left"/>
        <w:rPr>
          <w:rFonts w:asciiTheme="minorEastAsia" w:hAnsiTheme="minorEastAsia"/>
          <w:b/>
          <w:color w:val="auto"/>
          <w:sz w:val="24"/>
          <w:szCs w:val="24"/>
          <w:highlight w:val="none"/>
        </w:rPr>
      </w:pPr>
      <w:bookmarkStart w:id="10" w:name="_Toc144974563"/>
      <w:bookmarkStart w:id="11" w:name="_Toc152042373"/>
      <w:bookmarkStart w:id="12" w:name="_Toc179632614"/>
      <w:bookmarkStart w:id="13" w:name="_Toc152045596"/>
      <w:r>
        <w:rPr>
          <w:rFonts w:asciiTheme="minorEastAsia" w:hAnsiTheme="minorEastAsia"/>
          <w:b/>
          <w:color w:val="auto"/>
          <w:sz w:val="24"/>
          <w:szCs w:val="24"/>
          <w:highlight w:val="none"/>
        </w:rPr>
        <w:t>3.</w:t>
      </w:r>
      <w:r>
        <w:rPr>
          <w:rFonts w:hint="eastAsia" w:asciiTheme="minorEastAsia" w:hAnsiTheme="minorEastAsia"/>
          <w:b/>
          <w:color w:val="auto"/>
          <w:sz w:val="24"/>
          <w:szCs w:val="24"/>
          <w:highlight w:val="none"/>
        </w:rPr>
        <w:t>7</w:t>
      </w:r>
      <w:r>
        <w:rPr>
          <w:rFonts w:asciiTheme="minorEastAsia" w:hAnsiTheme="minorEastAsia"/>
          <w:b/>
          <w:color w:val="auto"/>
          <w:sz w:val="24"/>
          <w:szCs w:val="24"/>
          <w:highlight w:val="none"/>
        </w:rPr>
        <w:t>投标文件的澄清</w:t>
      </w:r>
      <w:bookmarkEnd w:id="10"/>
      <w:r>
        <w:rPr>
          <w:rFonts w:asciiTheme="minorEastAsia" w:hAnsiTheme="minorEastAsia"/>
          <w:b/>
          <w:color w:val="auto"/>
          <w:sz w:val="24"/>
          <w:szCs w:val="24"/>
          <w:highlight w:val="none"/>
        </w:rPr>
        <w:t>和</w:t>
      </w:r>
      <w:bookmarkEnd w:id="11"/>
      <w:bookmarkEnd w:id="12"/>
      <w:bookmarkEnd w:id="13"/>
      <w:r>
        <w:rPr>
          <w:rFonts w:hint="eastAsia" w:asciiTheme="minorEastAsia" w:hAnsiTheme="minorEastAsia"/>
          <w:b/>
          <w:color w:val="auto"/>
          <w:sz w:val="24"/>
          <w:szCs w:val="24"/>
          <w:highlight w:val="none"/>
        </w:rPr>
        <w:t>说明</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7</w:t>
      </w:r>
      <w:r>
        <w:rPr>
          <w:rFonts w:asciiTheme="minorEastAsia" w:hAnsiTheme="minorEastAsia"/>
          <w:color w:val="auto"/>
          <w:sz w:val="24"/>
          <w:szCs w:val="24"/>
          <w:highlight w:val="none"/>
        </w:rPr>
        <w:t>.1在评标过程中，评标委员会可以书面形式要求投标人对所提交的投标文件中不明确的内容</w:t>
      </w:r>
      <w:r>
        <w:rPr>
          <w:rFonts w:hint="eastAsia" w:asciiTheme="minorEastAsia" w:hAnsiTheme="minorEastAsia"/>
          <w:color w:val="auto"/>
          <w:sz w:val="24"/>
          <w:szCs w:val="24"/>
          <w:highlight w:val="none"/>
        </w:rPr>
        <w:t>、明显文字或计算错误</w:t>
      </w:r>
      <w:r>
        <w:rPr>
          <w:rFonts w:asciiTheme="minorEastAsia" w:hAnsiTheme="minorEastAsia"/>
          <w:color w:val="auto"/>
          <w:sz w:val="24"/>
          <w:szCs w:val="24"/>
          <w:highlight w:val="none"/>
        </w:rPr>
        <w:t>进行书面澄清或说明。评标委员会不接受投标人主动提出的澄清、说明。</w:t>
      </w:r>
      <w:r>
        <w:rPr>
          <w:rFonts w:hint="eastAsia" w:asciiTheme="minorEastAsia" w:hAnsiTheme="minorEastAsia"/>
          <w:color w:val="auto"/>
          <w:sz w:val="24"/>
          <w:szCs w:val="24"/>
          <w:highlight w:val="none"/>
        </w:rPr>
        <w:t>投标人不按评标委员会要求</w:t>
      </w:r>
      <w:r>
        <w:rPr>
          <w:rFonts w:asciiTheme="minorEastAsia" w:hAnsiTheme="minorEastAsia"/>
          <w:color w:val="auto"/>
          <w:sz w:val="24"/>
          <w:szCs w:val="24"/>
          <w:highlight w:val="none"/>
        </w:rPr>
        <w:t>澄清</w:t>
      </w:r>
      <w:r>
        <w:rPr>
          <w:rFonts w:hint="eastAsia" w:asciiTheme="minorEastAsia" w:hAnsiTheme="minorEastAsia"/>
          <w:color w:val="auto"/>
          <w:sz w:val="24"/>
          <w:szCs w:val="24"/>
          <w:highlight w:val="none"/>
        </w:rPr>
        <w:t>或说明的，评标委员会应否决其投标。</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7</w:t>
      </w:r>
      <w:r>
        <w:rPr>
          <w:rFonts w:asciiTheme="minorEastAsia" w:hAnsiTheme="minorEastAsia"/>
          <w:color w:val="auto"/>
          <w:sz w:val="24"/>
          <w:szCs w:val="24"/>
          <w:highlight w:val="none"/>
        </w:rPr>
        <w:t>.2 澄清、说明不得</w:t>
      </w:r>
      <w:r>
        <w:rPr>
          <w:rFonts w:hint="eastAsia" w:asciiTheme="minorEastAsia" w:hAnsiTheme="minorEastAsia"/>
          <w:color w:val="auto"/>
          <w:sz w:val="24"/>
          <w:szCs w:val="24"/>
          <w:highlight w:val="none"/>
        </w:rPr>
        <w:t>超出投标文件的范围或改变</w:t>
      </w:r>
      <w:r>
        <w:rPr>
          <w:rFonts w:asciiTheme="minorEastAsia" w:hAnsiTheme="minorEastAsia"/>
          <w:color w:val="auto"/>
          <w:sz w:val="24"/>
          <w:szCs w:val="24"/>
          <w:highlight w:val="none"/>
        </w:rPr>
        <w:t>投标文件的实质性内容（算术性错误修正的除外）。投标人的书面澄清、说明属于投标文件的组成部分。</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7</w:t>
      </w:r>
      <w:r>
        <w:rPr>
          <w:rFonts w:asciiTheme="minorEastAsia" w:hAnsiTheme="minorEastAsia"/>
          <w:color w:val="auto"/>
          <w:sz w:val="24"/>
          <w:szCs w:val="24"/>
          <w:highlight w:val="none"/>
        </w:rPr>
        <w:t>.3 评标委员会</w:t>
      </w:r>
      <w:r>
        <w:rPr>
          <w:rFonts w:hint="eastAsia" w:asciiTheme="minorEastAsia" w:hAnsiTheme="minorEastAsia"/>
          <w:color w:val="auto"/>
          <w:sz w:val="24"/>
          <w:szCs w:val="24"/>
          <w:highlight w:val="none"/>
        </w:rPr>
        <w:t>不得暗示或诱导投标人做出</w:t>
      </w:r>
      <w:r>
        <w:rPr>
          <w:rFonts w:asciiTheme="minorEastAsia" w:hAnsiTheme="minorEastAsia"/>
          <w:color w:val="auto"/>
          <w:sz w:val="24"/>
          <w:szCs w:val="24"/>
          <w:highlight w:val="none"/>
        </w:rPr>
        <w:t>澄清、说明</w:t>
      </w:r>
      <w:r>
        <w:rPr>
          <w:rFonts w:hint="eastAsia" w:asciiTheme="minorEastAsia" w:hAnsiTheme="minorEastAsia"/>
          <w:color w:val="auto"/>
          <w:sz w:val="24"/>
          <w:szCs w:val="24"/>
          <w:highlight w:val="none"/>
        </w:rPr>
        <w:t>，对投标人提交的澄清、说明有疑问的，可以</w:t>
      </w:r>
      <w:r>
        <w:rPr>
          <w:rFonts w:asciiTheme="minorEastAsia" w:hAnsiTheme="minorEastAsia"/>
          <w:color w:val="auto"/>
          <w:sz w:val="24"/>
          <w:szCs w:val="24"/>
          <w:highlight w:val="none"/>
        </w:rPr>
        <w:t>要求投标人进一步澄清</w:t>
      </w:r>
      <w:r>
        <w:rPr>
          <w:rFonts w:hint="eastAsia" w:asciiTheme="minorEastAsia" w:hAnsiTheme="minorEastAsia"/>
          <w:color w:val="auto"/>
          <w:sz w:val="24"/>
          <w:szCs w:val="24"/>
          <w:highlight w:val="none"/>
        </w:rPr>
        <w:t>或</w:t>
      </w:r>
      <w:r>
        <w:rPr>
          <w:rFonts w:asciiTheme="minorEastAsia" w:hAnsiTheme="minorEastAsia"/>
          <w:color w:val="auto"/>
          <w:sz w:val="24"/>
          <w:szCs w:val="24"/>
          <w:highlight w:val="none"/>
        </w:rPr>
        <w:t>说明，直至满足评标委员会的要求。</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7</w:t>
      </w:r>
      <w:r>
        <w:rPr>
          <w:rFonts w:asciiTheme="minorEastAsia" w:hAnsiTheme="minorEastAsia"/>
          <w:color w:val="auto"/>
          <w:sz w:val="24"/>
          <w:szCs w:val="24"/>
          <w:highlight w:val="none"/>
        </w:rPr>
        <w:t>.4 凡超出招标文件规定的或给委托人带来未曾要求的利益的变化、偏差或其他因素在评标时不予考虑。</w:t>
      </w:r>
    </w:p>
    <w:p>
      <w:pPr>
        <w:spacing w:line="440" w:lineRule="exact"/>
        <w:ind w:firstLine="482" w:firstLineChars="200"/>
        <w:jc w:val="left"/>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3.8不得否决投标的情形</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投标文件存在第二章“投标人须知”第1.12.3项所列情形的，均视为细微偏差，</w:t>
      </w:r>
    </w:p>
    <w:p>
      <w:pPr>
        <w:spacing w:line="440" w:lineRule="exact"/>
        <w:ind w:firstLine="480" w:firstLineChars="20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评标委员会不得否决投标人的投标，应按照第二章“投标人须知”第1.12.4项规定的原则处理。</w:t>
      </w:r>
    </w:p>
    <w:p>
      <w:pPr>
        <w:spacing w:line="440" w:lineRule="exact"/>
        <w:ind w:firstLine="482" w:firstLineChars="200"/>
        <w:jc w:val="left"/>
        <w:rPr>
          <w:rFonts w:asciiTheme="minorEastAsia" w:hAnsiTheme="minorEastAsia"/>
          <w:b/>
          <w:color w:val="auto"/>
          <w:sz w:val="24"/>
          <w:szCs w:val="24"/>
          <w:highlight w:val="none"/>
        </w:rPr>
      </w:pPr>
      <w:r>
        <w:rPr>
          <w:rFonts w:asciiTheme="minorEastAsia" w:hAnsiTheme="minorEastAsia"/>
          <w:b/>
          <w:color w:val="auto"/>
          <w:sz w:val="24"/>
          <w:szCs w:val="24"/>
          <w:highlight w:val="none"/>
        </w:rPr>
        <w:t>3.</w:t>
      </w:r>
      <w:r>
        <w:rPr>
          <w:rFonts w:hint="eastAsia" w:asciiTheme="minorEastAsia" w:hAnsiTheme="minorEastAsia"/>
          <w:b/>
          <w:color w:val="auto"/>
          <w:sz w:val="24"/>
          <w:szCs w:val="24"/>
          <w:highlight w:val="none"/>
        </w:rPr>
        <w:t xml:space="preserve">9 </w:t>
      </w:r>
      <w:r>
        <w:rPr>
          <w:rFonts w:asciiTheme="minorEastAsia" w:hAnsiTheme="minorEastAsia"/>
          <w:b/>
          <w:color w:val="auto"/>
          <w:sz w:val="24"/>
          <w:szCs w:val="24"/>
          <w:highlight w:val="none"/>
        </w:rPr>
        <w:t>评标结果</w:t>
      </w:r>
    </w:p>
    <w:p>
      <w:pPr>
        <w:spacing w:line="440" w:lineRule="exact"/>
        <w:ind w:firstLine="480" w:firstLineChars="200"/>
        <w:jc w:val="left"/>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9</w:t>
      </w:r>
      <w:r>
        <w:rPr>
          <w:rFonts w:asciiTheme="minorEastAsia" w:hAnsiTheme="minorEastAsia"/>
          <w:color w:val="auto"/>
          <w:sz w:val="24"/>
          <w:szCs w:val="24"/>
          <w:highlight w:val="none"/>
        </w:rPr>
        <w:t>.1除第二章“投标人须知”前附表授权直接确定中标人外，评标委员会按照得分由高到低的顺序推荐中标候选人。</w:t>
      </w:r>
    </w:p>
    <w:p>
      <w:pPr>
        <w:adjustRightInd w:val="0"/>
        <w:snapToGrid w:val="0"/>
        <w:spacing w:line="360" w:lineRule="auto"/>
        <w:ind w:firstLine="480" w:firstLineChars="200"/>
        <w:rPr>
          <w:rFonts w:hint="default" w:ascii="Times New Roman" w:hAnsi="Times New Roman" w:cs="Times New Roman" w:eastAsiaTheme="maj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9</w:t>
      </w:r>
      <w:r>
        <w:rPr>
          <w:rFonts w:asciiTheme="minorEastAsia" w:hAnsiTheme="minorEastAsia"/>
          <w:color w:val="auto"/>
          <w:sz w:val="24"/>
          <w:szCs w:val="24"/>
          <w:highlight w:val="none"/>
        </w:rPr>
        <w:t>.2 评标委员会完成评标后，应当向招标人提交书面评标报告。</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left"/>
        <w:textAlignment w:val="auto"/>
        <w:outlineLvl w:val="9"/>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四、其他需要公开的内容</w:t>
      </w:r>
    </w:p>
    <w:p>
      <w:pPr>
        <w:widowControl w:val="0"/>
        <w:numPr>
          <w:ilvl w:val="0"/>
          <w:numId w:val="0"/>
        </w:numPr>
        <w:spacing w:line="440" w:lineRule="exact"/>
        <w:ind w:firstLine="1205" w:firstLineChars="500"/>
        <w:jc w:val="both"/>
        <w:rPr>
          <w:rFonts w:hint="default" w:ascii="Times New Roman" w:hAnsi="Times New Roman" w:cs="Times New Roman"/>
          <w:sz w:val="24"/>
          <w:szCs w:val="24"/>
        </w:rPr>
      </w:pPr>
      <w:r>
        <w:rPr>
          <w:rFonts w:hint="default" w:ascii="Times New Roman" w:hAnsi="Times New Roman" w:cs="Times New Roman"/>
          <w:b/>
          <w:bCs/>
          <w:color w:val="auto"/>
          <w:sz w:val="24"/>
          <w:szCs w:val="24"/>
          <w:highlight w:val="none"/>
          <w:lang w:val="en-US" w:eastAsia="zh-CN"/>
        </w:rPr>
        <w:t>无</w:t>
      </w:r>
    </w:p>
    <w:sectPr>
      <w:footerReference r:id="rId3" w:type="default"/>
      <w:pgSz w:w="11906" w:h="16838"/>
      <w:pgMar w:top="1440" w:right="1417"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 ｷﾂﾋﾎ Std R">
    <w:altName w:val="Yu Gothic"/>
    <w:panose1 w:val="00000000000000000000"/>
    <w:charset w:val="80"/>
    <w:family w:val="roman"/>
    <w:pitch w:val="default"/>
    <w:sig w:usb0="00000000" w:usb1="00000000" w:usb2="00000010" w:usb3="00000000" w:csb0="00020000" w:csb1="00000000"/>
  </w:font>
  <w:font w:name="方正舒体">
    <w:panose1 w:val="02010601030101010101"/>
    <w:charset w:val="86"/>
    <w:family w:val="auto"/>
    <w:pitch w:val="default"/>
    <w:sig w:usb0="00000003" w:usb1="080E0000" w:usb2="00000000" w:usb3="00000000" w:csb0="00040000" w:csb1="00000000"/>
  </w:font>
  <w:font w:name="Yu Gothic">
    <w:panose1 w:val="020B0400000000000000"/>
    <w:charset w:val="80"/>
    <w:family w:val="auto"/>
    <w:pitch w:val="default"/>
    <w:sig w:usb0="E00002FF" w:usb1="2AC7FDFF" w:usb2="00000016" w:usb3="00000000" w:csb0="200200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17"/>
        <w:szCs w:val="17"/>
      </w:rPr>
    </w:pPr>
    <w:r>
      <w:rPr>
        <w:bCs/>
        <w:sz w:val="17"/>
        <w:szCs w:val="17"/>
      </w:rPr>
      <w:fldChar w:fldCharType="begin"/>
    </w:r>
    <w:r>
      <w:rPr>
        <w:bCs/>
        <w:sz w:val="17"/>
        <w:szCs w:val="17"/>
      </w:rPr>
      <w:instrText xml:space="preserve">PAGE</w:instrText>
    </w:r>
    <w:r>
      <w:rPr>
        <w:bCs/>
        <w:sz w:val="17"/>
        <w:szCs w:val="17"/>
      </w:rPr>
      <w:fldChar w:fldCharType="separate"/>
    </w:r>
    <w:r>
      <w:rPr>
        <w:bCs/>
        <w:sz w:val="17"/>
        <w:szCs w:val="17"/>
      </w:rPr>
      <w:t>91</w:t>
    </w:r>
    <w:r>
      <w:rPr>
        <w:bCs/>
        <w:sz w:val="17"/>
        <w:szCs w:val="17"/>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D8782"/>
    <w:multiLevelType w:val="singleLevel"/>
    <w:tmpl w:val="BC3D878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55DC6"/>
    <w:rsid w:val="03853BDF"/>
    <w:rsid w:val="0B587E6F"/>
    <w:rsid w:val="0BF263B1"/>
    <w:rsid w:val="171C218B"/>
    <w:rsid w:val="20B03E8E"/>
    <w:rsid w:val="238B6526"/>
    <w:rsid w:val="27813BA4"/>
    <w:rsid w:val="29AC4BAE"/>
    <w:rsid w:val="2B7C0ED6"/>
    <w:rsid w:val="2E050EB0"/>
    <w:rsid w:val="2E2D418B"/>
    <w:rsid w:val="2E6165FD"/>
    <w:rsid w:val="305C7EEC"/>
    <w:rsid w:val="31B95F4C"/>
    <w:rsid w:val="396E1CF6"/>
    <w:rsid w:val="39BE388D"/>
    <w:rsid w:val="3D923777"/>
    <w:rsid w:val="3E143EF6"/>
    <w:rsid w:val="40A52815"/>
    <w:rsid w:val="40E95C0F"/>
    <w:rsid w:val="429965A4"/>
    <w:rsid w:val="44455C55"/>
    <w:rsid w:val="477B2C86"/>
    <w:rsid w:val="4C651C11"/>
    <w:rsid w:val="5215337A"/>
    <w:rsid w:val="5C0A59E0"/>
    <w:rsid w:val="5E2F57FB"/>
    <w:rsid w:val="62A51807"/>
    <w:rsid w:val="63E81479"/>
    <w:rsid w:val="65AC4128"/>
    <w:rsid w:val="65BB5EB6"/>
    <w:rsid w:val="67F17DEC"/>
    <w:rsid w:val="6AA8525F"/>
    <w:rsid w:val="6B9E1445"/>
    <w:rsid w:val="6C8A7DFE"/>
    <w:rsid w:val="6D535020"/>
    <w:rsid w:val="6D947924"/>
    <w:rsid w:val="77B21384"/>
    <w:rsid w:val="79163302"/>
    <w:rsid w:val="7C76114C"/>
    <w:rsid w:val="7CA55DC6"/>
    <w:rsid w:val="7E2F3A34"/>
    <w:rsid w:val="7F8B446A"/>
    <w:rsid w:val="7FFC6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spacing w:beforeLines="50" w:afterLines="50"/>
      <w:jc w:val="center"/>
      <w:outlineLvl w:val="0"/>
    </w:pPr>
    <w:rPr>
      <w:rFonts w:eastAsia="黑体"/>
      <w:b/>
      <w:bCs/>
      <w:kern w:val="44"/>
      <w:sz w:val="36"/>
      <w:szCs w:val="44"/>
      <w:lang w:val="zh-CN"/>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46"/>
    </w:pPr>
    <w:rPr>
      <w:rFonts w:ascii="宋体" w:hAnsi="宋体" w:eastAsia="宋体"/>
      <w:sz w:val="23"/>
      <w:szCs w:val="23"/>
    </w:rPr>
  </w:style>
  <w:style w:type="paragraph" w:styleId="5">
    <w:name w:val="footer"/>
    <w:basedOn w:val="1"/>
    <w:qFormat/>
    <w:uiPriority w:val="99"/>
    <w:pPr>
      <w:tabs>
        <w:tab w:val="center" w:pos="4153"/>
        <w:tab w:val="right" w:pos="8306"/>
      </w:tabs>
      <w:snapToGrid w:val="0"/>
      <w:jc w:val="left"/>
    </w:pPr>
    <w:rPr>
      <w:sz w:val="18"/>
      <w:szCs w:val="18"/>
      <w:lang w:val="zh-CN"/>
    </w:rPr>
  </w:style>
  <w:style w:type="paragraph" w:styleId="6">
    <w:name w:val="footnote text"/>
    <w:basedOn w:val="1"/>
    <w:qFormat/>
    <w:uiPriority w:val="0"/>
    <w:pPr>
      <w:adjustRightInd w:val="0"/>
      <w:snapToGrid w:val="0"/>
      <w:spacing w:line="420" w:lineRule="atLeast"/>
      <w:ind w:firstLine="454"/>
      <w:jc w:val="left"/>
      <w:textAlignment w:val="baseline"/>
    </w:pPr>
    <w:rPr>
      <w:kern w:val="0"/>
      <w:sz w:val="18"/>
      <w:szCs w:val="20"/>
      <w:lang w:val="zh-CN"/>
    </w:rPr>
  </w:style>
  <w:style w:type="paragraph" w:styleId="7">
    <w:name w:val="Normal (Web)"/>
    <w:basedOn w:val="1"/>
    <w:qFormat/>
    <w:uiPriority w:val="0"/>
    <w:pPr>
      <w:widowControl/>
      <w:spacing w:before="100" w:beforeLines="0" w:beforeAutospacing="1" w:after="100" w:afterLines="0" w:afterAutospacing="1" w:line="432" w:lineRule="auto"/>
      <w:jc w:val="left"/>
    </w:pPr>
    <w:rPr>
      <w:rFonts w:ascii="宋体" w:hAnsi="宋体"/>
      <w:kern w:val="0"/>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qFormat/>
    <w:uiPriority w:val="0"/>
    <w:rPr>
      <w:vertAlign w:val="superscript"/>
    </w:rPr>
  </w:style>
  <w:style w:type="paragraph" w:customStyle="1" w:styleId="12">
    <w:name w:val="Table Paragraph"/>
    <w:basedOn w:val="1"/>
    <w:qFormat/>
    <w:uiPriority w:val="1"/>
  </w:style>
  <w:style w:type="paragraph" w:customStyle="1" w:styleId="13">
    <w:name w:val="p0"/>
    <w:basedOn w:val="1"/>
    <w:qFormat/>
    <w:uiPriority w:val="0"/>
    <w:pPr>
      <w:widowControl/>
    </w:pPr>
    <w:rPr>
      <w:kern w:val="0"/>
      <w:szCs w:val="21"/>
    </w:rPr>
  </w:style>
  <w:style w:type="paragraph" w:customStyle="1" w:styleId="14">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font161"/>
    <w:qFormat/>
    <w:uiPriority w:val="99"/>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2018-06-08T05:26:00Z</dcterms:created>
  <dc:creator>Regina</dc:creator>
  <cp:lastModifiedBy>lenovo</cp:lastModifiedBy>
  <dcterms:modified xsi:type="dcterms:W3CDTF">2022-06-23T04:56:21Z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197A66D5378D4E278ED57F96D79E6298</vt:lpwstr>
  </property>
</Properties>
</file>