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8"/>
        </w:rPr>
      </w:pPr>
      <w:r>
        <w:rPr>
          <w:rFonts w:hint="eastAsia" w:ascii="宋体" w:hAnsi="宋体"/>
          <w:b/>
          <w:sz w:val="28"/>
          <w:lang w:eastAsia="zh-CN"/>
        </w:rPr>
        <w:t>忻州南高速公路管理有限公司路面病害处治养护工程</w:t>
      </w:r>
      <w:r>
        <w:rPr>
          <w:rFonts w:hint="eastAsia" w:ascii="宋体" w:hAnsi="宋体"/>
          <w:b/>
          <w:sz w:val="28"/>
        </w:rPr>
        <w:t>关键内容公开</w:t>
      </w:r>
    </w:p>
    <w:p>
      <w:pPr>
        <w:spacing w:line="360" w:lineRule="auto"/>
        <w:outlineLvl w:val="0"/>
        <w:rPr>
          <w:rFonts w:ascii="宋体" w:hAnsi="宋体"/>
          <w:b/>
          <w:sz w:val="24"/>
        </w:rPr>
      </w:pPr>
      <w:r>
        <w:rPr>
          <w:rFonts w:hint="eastAsia" w:ascii="宋体" w:hAnsi="宋体"/>
          <w:b/>
          <w:sz w:val="24"/>
        </w:rPr>
        <w:t>一、项目概况与招标范围</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bookmarkStart w:id="0" w:name="_Toc179632530"/>
      <w:bookmarkStart w:id="1" w:name="_Toc421143188"/>
      <w:bookmarkStart w:id="2" w:name="_Toc152045514"/>
      <w:bookmarkStart w:id="3" w:name="_Toc144974482"/>
      <w:bookmarkStart w:id="4" w:name="_Toc152042290"/>
      <w:bookmarkStart w:id="5" w:name="_Toc510174171"/>
      <w:r>
        <w:rPr>
          <w:rFonts w:hint="eastAsia" w:ascii="Times New Roman" w:hAnsi="Times New Roman" w:eastAsia="宋体" w:cs="Times New Roman"/>
          <w:color w:val="000000" w:themeColor="text1"/>
          <w:lang w:val="en-US" w:eastAsia="zh-CN"/>
          <w14:textFill>
            <w14:solidFill>
              <w14:schemeClr w14:val="tx1"/>
            </w14:solidFill>
          </w14:textFill>
        </w:rPr>
        <w:t>1、项目概况：近年来随着我国经济发展的速度越来越快，晋煤外运及陕西煤炭外运的车辆数量大大增加，加重了路面面层的负荷。沥青面层混合料材料长时间在重交通环境下，客观上沥青的各方面性能均有所下降，如粘结力不足等问题。G55二广高速原太段、新原段及忻保段路面出现不同程度的路面横纵裂缝、网裂、龟裂及车辙等病害，加大了道路安全运营的风险，给日常养护造成很大的压力。</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2、招标内容与范围：本招标项目划分为1个标段。对忻州南高速公路管理有限公司所辖G55二广高速原太段、新原段及忻保段路面病害进行处治养护工作。具体工程内容详见工程量清单及施工图设计。</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001标段：忻州南高速公路管理有限公司路面病害处治养护工程。</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3、计划工期：</w:t>
      </w:r>
      <w:r>
        <w:rPr>
          <w:rFonts w:hint="eastAsia" w:ascii="Times New Roman" w:hAnsi="Times New Roman" w:cs="Times New Roman"/>
          <w:color w:val="000000" w:themeColor="text1"/>
          <w:lang w:val="en-US" w:eastAsia="zh-CN"/>
          <w14:textFill>
            <w14:solidFill>
              <w14:schemeClr w14:val="tx1"/>
            </w14:solidFill>
          </w14:textFill>
        </w:rPr>
        <w:t>60</w:t>
      </w:r>
      <w:r>
        <w:rPr>
          <w:rFonts w:hint="eastAsia" w:ascii="Times New Roman" w:hAnsi="Times New Roman" w:eastAsia="宋体" w:cs="Times New Roman"/>
          <w:color w:val="000000" w:themeColor="text1"/>
          <w:lang w:val="en-US" w:eastAsia="zh-CN"/>
          <w14:textFill>
            <w14:solidFill>
              <w14:schemeClr w14:val="tx1"/>
            </w14:solidFill>
          </w14:textFill>
        </w:rPr>
        <w:t>日历天。</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4、质量要求：符合《公路工程质量检验评定标准》，交（竣）工验收的质量评定：合格。</w:t>
      </w:r>
    </w:p>
    <w:p>
      <w:pPr>
        <w:spacing w:line="360" w:lineRule="auto"/>
        <w:outlineLvl w:val="0"/>
        <w:rPr>
          <w:rFonts w:ascii="宋体" w:hAnsi="宋体"/>
          <w:b/>
          <w:sz w:val="24"/>
        </w:rPr>
      </w:pPr>
      <w:r>
        <w:rPr>
          <w:rFonts w:hint="eastAsia" w:ascii="宋体" w:hAnsi="宋体"/>
          <w:b/>
          <w:sz w:val="24"/>
        </w:rPr>
        <w:t>二、</w:t>
      </w:r>
      <w:r>
        <w:rPr>
          <w:rFonts w:ascii="宋体" w:hAnsi="宋体"/>
          <w:b/>
          <w:sz w:val="24"/>
        </w:rPr>
        <w:t>投标人资格要求</w:t>
      </w:r>
      <w:bookmarkEnd w:id="0"/>
      <w:bookmarkEnd w:id="1"/>
      <w:bookmarkEnd w:id="2"/>
      <w:bookmarkEnd w:id="3"/>
      <w:bookmarkEnd w:id="4"/>
      <w:bookmarkEnd w:id="5"/>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1、投标人资格要求：本次招标要求投标人须是在中国境内合法注册，持有有效的营业执照，并在人员、设备、资金等方面具有相应的施工能力，并同时满足以下所列条件：</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（1）资质要求：投标人须具备山西省交通运输厅核准或核发的公路养护工程二类甲级资质或交通运输主管部门颁发的路基路面养护甲级资质，具有有效的安全生产许可证。</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（2）业绩要求：投标人在近5年内（2017年6月1日至投标文件递交截止日，以交（竣）工验收时间为准）至少独立完成过1项高速公路路面工程的施工业绩。</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（3）财务要求：投标人2021年度财务审计报告流动资产与流动负债比率大于1。</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（4）信誉要求：投标人不得存在下列不良状况或不良信用记录，否则不得参与本项目的投标：</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①投标人被省级及以上交通运输主管部门取消招标项目所在地的投标资格且处于有效期内的或被省级及以上交通运输主管部门在公路建设市场信用评价的考核定级中被评为D级且在有效期内的企业。</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②投标人被责令停业，暂扣或吊销执照，或吊销资质证书。</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③投标人进入清算程序，或被宣告破产，或其他丧失履约能力的情形。</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④投标人在“信用中国”网站被列入</w:t>
      </w:r>
      <w:r>
        <w:rPr>
          <w:rFonts w:hint="eastAsia" w:ascii="Times New Roman" w:hAnsi="Times New Roman" w:eastAsia="宋体" w:cs="Times New Roman"/>
          <w:color w:val="000000" w:themeColor="text1"/>
          <w:lang w:val="en-US" w:eastAsia="zh-CN"/>
          <w14:textFill>
            <w14:solidFill>
              <w14:schemeClr w14:val="tx1"/>
            </w14:solidFill>
          </w14:textFill>
        </w:rPr>
        <w:t>严重失信主体名单的</w:t>
      </w:r>
      <w:r>
        <w:rPr>
          <w:rFonts w:hint="default" w:ascii="Times New Roman" w:hAnsi="Times New Roman" w:eastAsia="宋体" w:cs="Times New Roman"/>
          <w:color w:val="000000" w:themeColor="text1"/>
          <w:lang w:val="en-US" w:eastAsia="zh-CN"/>
          <w14:textFill>
            <w14:solidFill>
              <w14:schemeClr w14:val="tx1"/>
            </w14:solidFill>
          </w14:textFill>
        </w:rPr>
        <w:t>。</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⑤投标人在“国家企业信用信息公示系统”中被列入严重违法失信企业名单（黑名单）信息的。</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⑥投标人</w:t>
      </w:r>
      <w:r>
        <w:rPr>
          <w:rFonts w:hint="eastAsia" w:ascii="Times New Roman" w:hAnsi="Times New Roman" w:eastAsia="宋体" w:cs="Times New Roman"/>
          <w:color w:val="000000" w:themeColor="text1"/>
          <w:lang w:val="en-US" w:eastAsia="zh-CN"/>
          <w14:textFill>
            <w14:solidFill>
              <w14:schemeClr w14:val="tx1"/>
            </w14:solidFill>
          </w14:textFill>
        </w:rPr>
        <w:t>及其</w:t>
      </w:r>
      <w:r>
        <w:rPr>
          <w:rFonts w:hint="default" w:ascii="Times New Roman" w:hAnsi="Times New Roman" w:eastAsia="宋体" w:cs="Times New Roman"/>
          <w:color w:val="000000" w:themeColor="text1"/>
          <w:lang w:val="en-US" w:eastAsia="zh-CN"/>
          <w14:textFill>
            <w14:solidFill>
              <w14:schemeClr w14:val="tx1"/>
            </w14:solidFill>
          </w14:textFill>
        </w:rPr>
        <w:t>法定代表人、拟</w:t>
      </w:r>
      <w:r>
        <w:rPr>
          <w:rFonts w:hint="eastAsia" w:ascii="Times New Roman" w:hAnsi="Times New Roman" w:eastAsia="宋体" w:cs="Times New Roman"/>
          <w:color w:val="000000" w:themeColor="text1"/>
          <w:lang w:val="en-US" w:eastAsia="zh-CN"/>
          <w14:textFill>
            <w14:solidFill>
              <w14:schemeClr w14:val="tx1"/>
            </w14:solidFill>
          </w14:textFill>
        </w:rPr>
        <w:t>委任</w:t>
      </w:r>
      <w:r>
        <w:rPr>
          <w:rFonts w:hint="default" w:ascii="Times New Roman" w:hAnsi="Times New Roman" w:eastAsia="宋体" w:cs="Times New Roman"/>
          <w:color w:val="000000" w:themeColor="text1"/>
          <w:lang w:val="en-US" w:eastAsia="zh-CN"/>
          <w14:textFill>
            <w14:solidFill>
              <w14:schemeClr w14:val="tx1"/>
            </w14:solidFill>
          </w14:textFill>
        </w:rPr>
        <w:t>的项目经理在近三年（2019年</w:t>
      </w:r>
      <w:r>
        <w:rPr>
          <w:rFonts w:hint="eastAsia" w:ascii="Times New Roman" w:hAnsi="Times New Roman" w:eastAsia="宋体" w:cs="Times New Roman"/>
          <w:color w:val="000000" w:themeColor="text1"/>
          <w:lang w:val="en-US" w:eastAsia="zh-CN"/>
          <w14:textFill>
            <w14:solidFill>
              <w14:schemeClr w14:val="tx1"/>
            </w14:solidFill>
          </w14:textFill>
        </w:rPr>
        <w:t>6</w:t>
      </w:r>
      <w:r>
        <w:rPr>
          <w:rFonts w:hint="default" w:ascii="Times New Roman" w:hAnsi="Times New Roman" w:eastAsia="宋体" w:cs="Times New Roman"/>
          <w:color w:val="000000" w:themeColor="text1"/>
          <w:lang w:val="en-US" w:eastAsia="zh-CN"/>
          <w14:textFill>
            <w14:solidFill>
              <w14:schemeClr w14:val="tx1"/>
            </w14:solidFill>
          </w14:textFill>
        </w:rPr>
        <w:t>月1日至投标文件递交截止日）有行贿犯罪</w:t>
      </w:r>
      <w:r>
        <w:rPr>
          <w:rFonts w:hint="eastAsia" w:ascii="Times New Roman" w:hAnsi="Times New Roman" w:eastAsia="宋体" w:cs="Times New Roman"/>
          <w:color w:val="000000" w:themeColor="text1"/>
          <w:lang w:val="en-US" w:eastAsia="zh-CN"/>
          <w14:textFill>
            <w14:solidFill>
              <w14:schemeClr w14:val="tx1"/>
            </w14:solidFill>
          </w14:textFill>
        </w:rPr>
        <w:t>行为</w:t>
      </w:r>
      <w:r>
        <w:rPr>
          <w:rFonts w:hint="default" w:ascii="Times New Roman" w:hAnsi="Times New Roman" w:eastAsia="宋体" w:cs="Times New Roman"/>
          <w:color w:val="000000" w:themeColor="text1"/>
          <w:lang w:val="en-US" w:eastAsia="zh-CN"/>
          <w14:textFill>
            <w14:solidFill>
              <w14:schemeClr w14:val="tx1"/>
            </w14:solidFill>
          </w14:textFill>
        </w:rPr>
        <w:t>的。</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⑦投标人近三年</w:t>
      </w:r>
      <w:r>
        <w:rPr>
          <w:rFonts w:hint="eastAsia" w:ascii="Times New Roman" w:hAnsi="Times New Roman" w:eastAsia="宋体" w:cs="Times New Roman"/>
          <w:color w:val="000000" w:themeColor="text1"/>
          <w:lang w:val="en-US" w:eastAsia="zh-CN"/>
          <w14:textFill>
            <w14:solidFill>
              <w14:schemeClr w14:val="tx1"/>
            </w14:solidFill>
          </w14:textFill>
        </w:rPr>
        <w:t>内</w:t>
      </w:r>
      <w:r>
        <w:rPr>
          <w:rFonts w:hint="default" w:ascii="Times New Roman" w:hAnsi="Times New Roman" w:eastAsia="宋体" w:cs="Times New Roman"/>
          <w:color w:val="000000" w:themeColor="text1"/>
          <w:lang w:val="en-US" w:eastAsia="zh-CN"/>
          <w14:textFill>
            <w14:solidFill>
              <w14:schemeClr w14:val="tx1"/>
            </w14:solidFill>
          </w14:textFill>
        </w:rPr>
        <w:t>在交通工程建设领域因重、特大工程质量、安全事故受到省级及以上行政主管部门的通报；或在山西省公路工程建设项目中发生重大工程质量、安全等事故并受到通报。</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⑧投标人在山西省公路建设市场中发生严重不履约行为</w:t>
      </w:r>
      <w:r>
        <w:rPr>
          <w:rFonts w:hint="eastAsia" w:ascii="Times New Roman" w:hAnsi="Times New Roman" w:eastAsia="宋体" w:cs="Times New Roman"/>
          <w:color w:val="000000" w:themeColor="text1"/>
          <w:lang w:val="en-US" w:eastAsia="zh-CN"/>
          <w14:textFill>
            <w14:solidFill>
              <w14:schemeClr w14:val="tx1"/>
            </w14:solidFill>
          </w14:textFill>
        </w:rPr>
        <w:t>的</w:t>
      </w:r>
      <w:r>
        <w:rPr>
          <w:rFonts w:hint="default" w:ascii="Times New Roman" w:hAnsi="Times New Roman" w:eastAsia="宋体" w:cs="Times New Roman"/>
          <w:color w:val="000000" w:themeColor="text1"/>
          <w:lang w:val="en-US" w:eastAsia="zh-CN"/>
          <w14:textFill>
            <w14:solidFill>
              <w14:schemeClr w14:val="tx1"/>
            </w14:solidFill>
          </w14:textFill>
        </w:rPr>
        <w:t>。</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⑨投标人存在法律法规规定的其他不良状况或不良信用记录。</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（5）人员要求：</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①</w:t>
      </w:r>
      <w:r>
        <w:rPr>
          <w:rFonts w:hint="eastAsia" w:ascii="Times New Roman" w:hAnsi="Times New Roman" w:eastAsia="宋体" w:cs="Times New Roman"/>
          <w:color w:val="000000" w:themeColor="text1"/>
          <w:lang w:val="en-US" w:eastAsia="zh-CN"/>
          <w14:textFill>
            <w14:solidFill>
              <w14:schemeClr w14:val="tx1"/>
            </w14:solidFill>
          </w14:textFill>
        </w:rPr>
        <w:t>拟任项目经理（1名）：工程师及以上职称（公路工程相关专业），同时持有有效的二级及以上注册建造师执业资格证书（公路工程专业，且注册单位必须与投标人名称一致）和有效的安全生产考核合格证书（B类）且登记单位为投标人单位，作为项目经理在近5年内（2017年6月1日至投标文件递交截止日，以交（竣）工验收时间为准）至少完成过1项高速公路路面工程的施工管理。</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②</w:t>
      </w:r>
      <w:r>
        <w:rPr>
          <w:rFonts w:hint="eastAsia" w:ascii="Times New Roman" w:hAnsi="Times New Roman" w:eastAsia="宋体" w:cs="Times New Roman"/>
          <w:color w:val="000000" w:themeColor="text1"/>
          <w:lang w:val="en-US" w:eastAsia="zh-CN"/>
          <w14:textFill>
            <w14:solidFill>
              <w14:schemeClr w14:val="tx1"/>
            </w14:solidFill>
          </w14:textFill>
        </w:rPr>
        <w:t>拟任项目总工（1名）：工程师及以上职称（公路工程相关专业），同时持有有效的安全生产考核合格证书（B类）且登记单位为投标人单位。作为项目总工在近5年内（2017年6月1日至投标文件递</w:t>
      </w:r>
      <w:bookmarkStart w:id="13" w:name="_GoBack"/>
      <w:bookmarkEnd w:id="13"/>
      <w:r>
        <w:rPr>
          <w:rFonts w:hint="eastAsia" w:ascii="Times New Roman" w:hAnsi="Times New Roman" w:eastAsia="宋体" w:cs="Times New Roman"/>
          <w:color w:val="000000" w:themeColor="text1"/>
          <w:lang w:val="en-US" w:eastAsia="zh-CN"/>
          <w14:textFill>
            <w14:solidFill>
              <w14:schemeClr w14:val="tx1"/>
            </w14:solidFill>
          </w14:textFill>
        </w:rPr>
        <w:t>交截止日，以交（竣）工验收时间为准）至少完成过1项高速公路路面工程的技术管理。</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③</w:t>
      </w:r>
      <w:r>
        <w:rPr>
          <w:rFonts w:hint="eastAsia" w:ascii="Times New Roman" w:hAnsi="Times New Roman" w:eastAsia="宋体" w:cs="Times New Roman"/>
          <w:color w:val="000000" w:themeColor="text1"/>
          <w:lang w:val="en-US" w:eastAsia="zh-CN"/>
          <w14:textFill>
            <w14:solidFill>
              <w14:schemeClr w14:val="tx1"/>
            </w14:solidFill>
          </w14:textFill>
        </w:rPr>
        <w:t>拟任专职安全员（1名）：持有有效的安全生产考核合格证书（C类）且登记单位为投标人单位。</w:t>
      </w:r>
    </w:p>
    <w:p>
      <w:pPr>
        <w:pStyle w:val="9"/>
        <w:snapToGrid w:val="0"/>
        <w:spacing w:before="0" w:beforeAutospacing="0" w:after="0" w:afterAutospacing="0" w:line="360" w:lineRule="auto"/>
        <w:ind w:left="420"/>
        <w:jc w:val="both"/>
        <w:rPr>
          <w:rFonts w:hint="eastAsia" w:ascii="Times New Roman" w:hAnsi="Times New Roman" w:eastAsia="宋体" w:cs="Times New Roman"/>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拟任主要人员的建造师注册证书信息以“全国建筑市场监管公共服务平台”查询结果为准，安全生产考核合格证书相关信息以“交通运输部公路水运工程企业负责人和安全生产管理人员信息公共平台查询”或“住房和城乡建设主管部门官网”查询结果为准。</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 xml:space="preserve">2、投标人与招标人存在利害关系且可能影响招标公正性的不得参加本项目投标。投标人具有下列情况之一的，不得同时参加本项目投标，否则其投标均无效： </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（1）单位负责人为同一人或者存在控股、管理关系的不同单位；</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 xml:space="preserve">（2）具有投资参股关系的关联企业； </w:t>
      </w:r>
    </w:p>
    <w:p>
      <w:pPr>
        <w:pStyle w:val="9"/>
        <w:snapToGrid w:val="0"/>
        <w:spacing w:before="0" w:beforeAutospacing="0" w:after="0" w:afterAutospacing="0" w:line="360" w:lineRule="auto"/>
        <w:ind w:left="42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（3）董事、监事、总经理、副总经理和财务负责人相互兼职的关联企业；</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 xml:space="preserve">（4）法律法规规定的其他情形。 </w:t>
      </w:r>
    </w:p>
    <w:p>
      <w:pPr>
        <w:pStyle w:val="9"/>
        <w:snapToGrid w:val="0"/>
        <w:spacing w:before="0" w:beforeAutospacing="0" w:after="0" w:afterAutospacing="0" w:line="360" w:lineRule="auto"/>
        <w:ind w:left="420"/>
        <w:jc w:val="both"/>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3、本次招标不接受联合体投标。</w:t>
      </w: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hint="eastAsia" w:ascii="宋体" w:hAnsi="宋体"/>
          <w:b/>
          <w:color w:val="auto"/>
          <w:sz w:val="24"/>
        </w:rPr>
      </w:pPr>
    </w:p>
    <w:p>
      <w:pPr>
        <w:pStyle w:val="9"/>
        <w:snapToGrid w:val="0"/>
        <w:spacing w:before="0" w:beforeAutospacing="0" w:after="0" w:afterAutospacing="0" w:line="360" w:lineRule="auto"/>
        <w:ind w:left="420"/>
        <w:jc w:val="both"/>
        <w:rPr>
          <w:rFonts w:ascii="宋体" w:hAnsi="宋体"/>
          <w:b/>
          <w:color w:val="auto"/>
          <w:sz w:val="24"/>
        </w:rPr>
      </w:pPr>
      <w:r>
        <w:rPr>
          <w:rFonts w:hint="eastAsia" w:ascii="宋体" w:hAnsi="宋体"/>
          <w:b/>
          <w:color w:val="auto"/>
          <w:sz w:val="24"/>
        </w:rPr>
        <w:t>三、评标办法</w:t>
      </w:r>
    </w:p>
    <w:p>
      <w:pPr>
        <w:rPr>
          <w:color w:val="000000" w:themeColor="text1"/>
          <w14:textFill>
            <w14:solidFill>
              <w14:schemeClr w14:val="tx1"/>
            </w14:solidFill>
          </w14:textFill>
        </w:rPr>
      </w:pPr>
      <w:bookmarkStart w:id="6" w:name="_Toc503235806"/>
    </w:p>
    <w:p>
      <w:pPr>
        <w:pStyle w:val="9"/>
        <w:snapToGrid w:val="0"/>
        <w:spacing w:before="0" w:beforeAutospacing="0" w:after="0" w:afterAutospacing="0" w:line="360" w:lineRule="auto"/>
        <w:ind w:left="420"/>
        <w:jc w:val="center"/>
        <w:rPr>
          <w:rFonts w:hint="eastAsia" w:ascii="Times New Roman" w:hAnsi="Times New Roman" w:eastAsia="宋体" w:cs="Times New Roman"/>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评标办法（双信封合理低价法）</w:t>
      </w:r>
    </w:p>
    <w:p>
      <w:pPr>
        <w:wordWrap w:val="0"/>
        <w:bidi w:val="0"/>
        <w:textAlignment w:val="auto"/>
        <w:rPr>
          <w:rFonts w:hint="eastAsia" w:ascii="宋体" w:hAnsi="宋体" w:eastAsia="宋体" w:cs="宋体"/>
          <w:b/>
          <w:caps w:val="0"/>
          <w:szCs w:val="21"/>
          <w:highlight w:val="none"/>
          <w:lang w:val="zh-CN"/>
        </w:rPr>
      </w:pPr>
      <w:r>
        <w:rPr>
          <w:rFonts w:hint="eastAsia" w:ascii="宋体" w:hAnsi="宋体" w:eastAsia="宋体" w:cs="宋体"/>
          <w:b/>
          <w:caps w:val="0"/>
          <w:szCs w:val="21"/>
          <w:highlight w:val="none"/>
          <w:lang w:val="zh-CN"/>
        </w:rPr>
        <w:t>评标办法前附表</w:t>
      </w:r>
    </w:p>
    <w:tbl>
      <w:tblPr>
        <w:tblStyle w:val="10"/>
        <w:tblW w:w="996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7"/>
        <w:gridCol w:w="1507"/>
        <w:gridCol w:w="72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5" w:hRule="atLeast"/>
          <w:tblHeader/>
        </w:trPr>
        <w:tc>
          <w:tcPr>
            <w:tcW w:w="2684" w:type="dxa"/>
            <w:gridSpan w:val="2"/>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条款号</w:t>
            </w:r>
          </w:p>
        </w:tc>
        <w:tc>
          <w:tcPr>
            <w:tcW w:w="7278" w:type="dxa"/>
            <w:tcBorders>
              <w:top w:val="single" w:color="auto" w:sz="4" w:space="0"/>
              <w:left w:val="single" w:color="auto" w:sz="4" w:space="0"/>
              <w:bottom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1177" w:type="dxa"/>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w:t>
            </w:r>
          </w:p>
        </w:tc>
        <w:tc>
          <w:tcPr>
            <w:tcW w:w="1507" w:type="dxa"/>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评标方法</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本次评标采用双信封合理低价法。评标委员会对满足招标文件实质性要求的投标文件，按照本章第 2.2 款规定的评分标准进行打分，并按得分由高到低顺序推荐中标候选人，但投标报价低于其成本的除外。</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综合评分相等时，评标委员会依次按照以下优先顺序推荐1名中标候选人；</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（1）评标价低的投标人优先；</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（2）信用评价等级较高者优先；</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（3）最终投标文件上传至交易平台较早的投标人优先。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77" w:type="dxa"/>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2.1.1</w:t>
            </w:r>
          </w:p>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2.1.3</w:t>
            </w:r>
          </w:p>
        </w:tc>
        <w:tc>
          <w:tcPr>
            <w:tcW w:w="1507" w:type="dxa"/>
            <w:tcBorders>
              <w:top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形式评审与响应性评审标准（第一个信封）</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（1）投标文件按照招标文件规定的格式、内容填写，字迹清晰可辨：</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a.投标函按招标文件规定填报了项目名称、标段号、补遗书编号（如有）、工期、工程质量要求、安全目标、项目经理、项目总工、专职安全员；</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b.投标函附录的所有数据均符合招标文件规定；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c.投标文件内容齐全完整，内容均按规定填写；</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（2）投标文件上法定代表人的电子签名、投标人单位的电子签章齐全，符合招标文件规定；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（3）投标人按照招标文件规定提供了投标保证金：</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a.投标保证金金额符合招标文件规定的金额，且投标保证金有效期不少于投标有效期；</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b.若投标保证金采用现金或支票形式提交，投标人应在递交投标文件截止时间之前，将投标保证金由投标人的基本账户转入招标人指定账户；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c.若投标保证金采用保函形式提交，保函的格式、开具保函的机构均满足招标文件要求，且在递交投标文件截止时间之前向招标人提交了保函原件；</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（4）提供了法定代表人身份证明；</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（5）投标人未以联合体形式投标；</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（6）同一投标人未提交两个以上不同的投标文件；</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（7）第一个信封（商务及技术文件）中未出现有关投标报价的内容；</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（8）第一个信封（商务及技术文件）载明的招标项目完成期限未超过招标文件规定的时限；</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（9）第一个信封（商务及技术文件）对招标文件的实质性要求和条件作出响应；</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（10）权利义务符合招标文件规定：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a.投标人应接受招标文件规定的风险划分原则，未提出新的风险划分办法；</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b.投标人未增加发包人的责任范围，或减少投标人义务；</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c.投标人未提出不同的工程验收、计量、支付办法；</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d.投标人对合同纠纷、事故处理办法未提出异议；</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e.投标人在投标活动中无欺诈行为；</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f.投标人未对合同条款有重要保留。</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（11）投标人技术能力和以往履约信誉符合招标文件的规定，不得存在以下问题。存在以下问题之一的，属于重大偏差：</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a.承诺的质量检验标准低于招标文件或国家强制性标准要求；</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b.业绩、人员、财务及履约信誉等证明材料存在虚假。</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（12）不同投标人间投标人未存在下列情形：</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a.不同投标人的投标文件由同一电子设备编制、打印加密或者上传；</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b.不同投标人的投标文件的实质性内容存在两处以上细节错误一致；</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c.电子投标文件记录的 MAC地址、硬盘序列号等硬件信息出现任一相同情况，包含不同投标人在不同批次投标活动中信息相同情况；</w:t>
            </w:r>
          </w:p>
          <w:p>
            <w:pPr>
              <w:spacing w:line="420" w:lineRule="atLeast"/>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d.投标文件的制作、记录上传IP地址，投标人购买招标文件IP地址等信息出现任一相同情况。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77" w:type="dxa"/>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2.1.2</w:t>
            </w:r>
          </w:p>
        </w:tc>
        <w:tc>
          <w:tcPr>
            <w:tcW w:w="1507" w:type="dxa"/>
            <w:tcBorders>
              <w:top w:val="single" w:color="auto" w:sz="4" w:space="0"/>
              <w:bottom w:val="single" w:color="auto" w:sz="4" w:space="0"/>
              <w:right w:val="single" w:color="auto" w:sz="4" w:space="0"/>
            </w:tcBorders>
            <w:vAlign w:val="center"/>
          </w:tcPr>
          <w:p>
            <w:pPr>
              <w:adjustRightInd w:val="0"/>
              <w:snapToGrid w:val="0"/>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资格评审标准</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（1）投标人具备有效的营业执照、资质证书、安全生产许可证和基本账户开户许可证（或基本存款账户信息）；</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（2）投标人的资质等级符合投标人须知附录1的规定；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（3）投标人的财务状况应符合投标人须知附录2的规定；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（4）投标人的类似项目业绩符合投标人须知附录3的规定；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（5）投标人的信誉要求符合投标人须知附录4的规定；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（6）投标人的项目经理和项目总工、专职安全员资格符合投标人须知附录5的规定；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（7）投标人不存在第二章“投标人须知”第1.4.3项或第1.4.4项规定的任何一种情形。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177" w:type="dxa"/>
            <w:tcBorders>
              <w:top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2.1.1</w:t>
            </w:r>
          </w:p>
          <w:p>
            <w:pPr>
              <w:adjustRightInd w:val="0"/>
              <w:snapToGrid w:val="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2.1.3</w:t>
            </w:r>
          </w:p>
        </w:tc>
        <w:tc>
          <w:tcPr>
            <w:tcW w:w="1507" w:type="dxa"/>
            <w:tcBorders>
              <w:top w:val="single" w:color="auto" w:sz="4" w:space="0"/>
              <w:bottom w:val="single" w:color="auto" w:sz="4" w:space="0"/>
              <w:right w:val="single" w:color="auto" w:sz="4" w:space="0"/>
            </w:tcBorders>
            <w:vAlign w:val="center"/>
          </w:tcPr>
          <w:p>
            <w:pPr>
              <w:adjustRightInd w:val="0"/>
              <w:snapToGrid w:val="0"/>
              <w:spacing w:line="300" w:lineRule="exac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形式评审与响应性评审标准（第二个信封）</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（1）第二个信封（报价文件）按照招标文件规定的格式、内容填写，字迹清晰可辨：</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a.投标函按招标文件规定填报了项目名称、标段号、补遗书编号（如有）、投标价（包括大写金额和小写金额）；</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b.第二个信封（报价文件）组成齐全完整，内容均按规定填写；</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（2）第二个信封（报价文件）上法定代表人的电子签名、投标人单位的电子签章齐全，符合招标文件规定；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（3）投标报价中的报价未超过招标文件设定的最高投标限价及最终最高投标限价；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（4）投标报价中报价的大写金额能够确定具体数值；</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（5）同一投标人未提交两个以上不同的投标报价。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（6）不同投标人间投标人未存在下列情形：</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a.不同投标人的投标文件由同一电子设备编制、打印加密或者上传；</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b.不同投标人的投标文件的实质性内容存在两处以上细节错误一致；</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c.电子投标文件记录的 MAC地址、硬盘序列号等硬件信息出现任一相同情况，包含不同投标人在不同批次投标活动中信息相同情况；</w:t>
            </w:r>
          </w:p>
          <w:p>
            <w:pPr>
              <w:spacing w:line="420" w:lineRule="atLeast"/>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d.投标文件的制作、记录上传IP地址，投标人购买招标文件IP地址等信息出现任一相同情况。</w:t>
            </w:r>
          </w:p>
        </w:tc>
      </w:tr>
    </w:tbl>
    <w:p>
      <w:pPr>
        <w:pStyle w:val="2"/>
        <w:rPr>
          <w:rFonts w:asciiTheme="majorEastAsia" w:hAnsiTheme="majorEastAsia" w:eastAsiaTheme="majorEastAsia" w:cstheme="majorEastAsia"/>
          <w:color w:val="000000" w:themeColor="text1"/>
          <w14:textFill>
            <w14:solidFill>
              <w14:schemeClr w14:val="tx1"/>
            </w14:solidFill>
          </w14:textFill>
        </w:rPr>
      </w:pPr>
    </w:p>
    <w:tbl>
      <w:tblPr>
        <w:tblStyle w:val="10"/>
        <w:tblW w:w="996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1"/>
        <w:gridCol w:w="1443"/>
        <w:gridCol w:w="72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1" w:type="dxa"/>
            <w:tcBorders>
              <w:top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2.2.1</w:t>
            </w:r>
          </w:p>
        </w:tc>
        <w:tc>
          <w:tcPr>
            <w:tcW w:w="1443" w:type="dxa"/>
            <w:tcBorders>
              <w:top w:val="single" w:color="auto" w:sz="4" w:space="0"/>
              <w:right w:val="single" w:color="auto" w:sz="4" w:space="0"/>
            </w:tcBorders>
            <w:vAlign w:val="center"/>
          </w:tcPr>
          <w:p>
            <w:pPr>
              <w:adjustRightInd w:val="0"/>
              <w:spacing w:line="300" w:lineRule="exac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分值构成</w:t>
            </w:r>
          </w:p>
        </w:tc>
        <w:tc>
          <w:tcPr>
            <w:tcW w:w="7278" w:type="dxa"/>
            <w:tcBorders>
              <w:top w:val="single" w:color="auto" w:sz="4" w:space="0"/>
              <w:left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评标价：100分</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其他因素分值：信用得分，详见2.2.4 (1)款</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综合得分=评标价得分 C+信用评价得分 D</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其他因素分值均为0分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1" w:type="dxa"/>
            <w:tcBorders>
              <w:top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2.2.2</w:t>
            </w:r>
          </w:p>
        </w:tc>
        <w:tc>
          <w:tcPr>
            <w:tcW w:w="1443" w:type="dxa"/>
            <w:tcBorders>
              <w:top w:val="single" w:color="auto" w:sz="4" w:space="0"/>
              <w:right w:val="single" w:color="auto" w:sz="4" w:space="0"/>
            </w:tcBorders>
            <w:vAlign w:val="center"/>
          </w:tcPr>
          <w:p>
            <w:pPr>
              <w:adjustRightInd w:val="0"/>
              <w:spacing w:line="300" w:lineRule="exac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评标基准价计算方法</w:t>
            </w:r>
          </w:p>
        </w:tc>
        <w:tc>
          <w:tcPr>
            <w:tcW w:w="7278" w:type="dxa"/>
            <w:tcBorders>
              <w:top w:val="single" w:color="auto" w:sz="4" w:space="0"/>
              <w:left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评标基准价的计算：</w:t>
            </w:r>
          </w:p>
          <w:p>
            <w:pPr>
              <w:tabs>
                <w:tab w:val="left" w:pos="0"/>
                <w:tab w:val="left" w:pos="879"/>
              </w:tabs>
              <w:adjustRightInd w:val="0"/>
              <w:spacing w:line="300" w:lineRule="exact"/>
              <w:ind w:left="29" w:firstLine="140"/>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（1）评标价的确定：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评标价＝投标报价函文字报价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未按照招标文件规定提交保证金和出现第二章“投标人须知”第5.2.4项所规定情况的投标文件，其投标报价不参与任何计算。</w:t>
            </w:r>
          </w:p>
          <w:p>
            <w:pPr>
              <w:tabs>
                <w:tab w:val="left" w:pos="0"/>
                <w:tab w:val="left" w:pos="879"/>
              </w:tabs>
              <w:adjustRightInd w:val="0"/>
              <w:spacing w:line="300" w:lineRule="exact"/>
              <w:ind w:left="29" w:firstLine="140"/>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（2）确定最终最高投标限价G2</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第一个信封开标时随机抽取最高投标限价的下浮系数X1。</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（X1为0.5%（含）～3％（含）中，按照步长0.5％取值，随机从中抽取一个）。</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最终最高投标限价G2=G1×（1-X1）</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G1=各标段最高投标限价。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如投标人评标价高于本标段的G2，则视其为超出招标人的支付能力，将不再参与后续任何计算，按投标无效处理。</w:t>
            </w:r>
          </w:p>
          <w:p>
            <w:pPr>
              <w:tabs>
                <w:tab w:val="left" w:pos="0"/>
                <w:tab w:val="left" w:pos="879"/>
              </w:tabs>
              <w:adjustRightInd w:val="0"/>
              <w:spacing w:line="300" w:lineRule="exact"/>
              <w:ind w:left="29" w:firstLine="140"/>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（3）确定理论成本价LC</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同一标段中不高于G2的评标价的算术平均值的50%与G2的50%相加后，乘以成本价系数Z所得数值为该标段的理论成本价。</w:t>
            </w:r>
          </w:p>
          <w:p>
            <w:pPr>
              <w:spacing w:line="420" w:lineRule="atLeast"/>
              <w:rPr>
                <w:rFonts w:hint="eastAsia" w:ascii="Times New Roman" w:hAnsi="Times New Roman" w:eastAsia="宋体" w:cs="Times New Roman"/>
                <w:color w:val="000000" w:themeColor="text1"/>
                <w:kern w:val="0"/>
                <w:sz w:val="24"/>
                <w:szCs w:val="24"/>
                <w:lang w:val="pl-PL"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pl-PL" w:eastAsia="zh-CN" w:bidi="ar-SA"/>
                <w14:textFill>
                  <w14:solidFill>
                    <w14:schemeClr w14:val="tx1"/>
                  </w14:solidFill>
                </w14:textFill>
              </w:rPr>
              <w:t>LC=（0.5×G2+0.5×SP1）×0.85</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SP1——该标段不高于G2的评标价的算术平均值，当评标价有5个及以上时，应去掉其中的最高值和最低值，再进行算术平均值计算。</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评标价低于理论成本价的，不再参与后续计算。</w:t>
            </w:r>
          </w:p>
          <w:p>
            <w:pPr>
              <w:tabs>
                <w:tab w:val="left" w:pos="0"/>
                <w:tab w:val="left" w:pos="879"/>
              </w:tabs>
              <w:adjustRightInd w:val="0"/>
              <w:spacing w:line="300" w:lineRule="exact"/>
              <w:ind w:left="29" w:firstLine="140"/>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（4）确定评标基准价JZ</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基准价计算采用以下三种方法，由投标人代表或现场监督在开标时按标段随机抽取一种。在评标过程中，评标委员会应对招标人计算的评标基准价进行复核，存在计算错误的应予以修正并在评标报告中作出说明。除此之外，评标基准价在整个评标期间保持不变，不随任何因素发生变化</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1、评标基准价计算方法1</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评标基准价＝［最终最高投标限价×加权系数＋有效评标价算术平均值×（1-加权系数）］×评标基准价系数</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式中：加权系数应从0.3、0.35、0.4中选取，评标基准价系数应从0.96～0.99（含0.96和0.99，步长0.01）中选取，均由投标人代表或现场监督在开标时随机抽取确定。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有效评标价指介于理论成本价（含）与最终最高投标限价（含）范围内的评标价。当有效评标价数量大于5时，可去掉其中的最高和最低值，再进行有效评标价算术平均值计算。</w:t>
            </w:r>
          </w:p>
          <w:p>
            <w:pPr>
              <w:tabs>
                <w:tab w:val="left" w:pos="0"/>
                <w:tab w:val="left" w:pos="879"/>
              </w:tabs>
              <w:adjustRightInd w:val="0"/>
              <w:spacing w:line="300" w:lineRule="exac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2、评标基准价计算方法2</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招标人设置评标基准价下浮系数K，从0.5%（含）与3%（含）之间，按照步长0.5%，由投标人代表或现场监督在开标时随机抽取确定。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评标基准价=B×（1-K）。</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值是按以下方式计算所得：将理论成本价（含）与最终最高投标限价（含）范围内的评标价，从高到低划分为5个等差报价区间，对各区间的评标价进行算术平均值计算（“四舍五入”保留小数点后两位，当评标价等于区间临界值时，列入较高一个区间计算平均值，最高评标价不参与区间计算），然后再将各区间的算术平均值（非零）进行第二次算术平均值计算，所得数值即为B值。</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3、评标基准价计算方法3</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1）评标价平均值确定：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在理论成本价（含）与最终最高投标限价（含）范围内的评标价，由投标人代表按以下原则随机抽取相应数量（四舍五入取整）投标人的评标价，其算术平均值作为评标价平均值。</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（a）有效投标人数量在10（含）以内时，随机抽取50%数量，但不小于3个；</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（b）有效投标人数量在10～20（含）时，随机抽取40%数量，但不小于6个；</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（c）有效投标人数量大于20时，随机抽取30%数量，但不小于9个。</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2）评标基准价的确定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K为评标基准价下浮系数，由投标人代表或现场监督从0.5%（含）~3%（含）中，按照步长0.5%，在开标时随机抽取确定。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评标基准价=评标价平均值×（1-K）。</w:t>
            </w:r>
          </w:p>
          <w:p>
            <w:pPr>
              <w:tabs>
                <w:tab w:val="left" w:pos="0"/>
                <w:tab w:val="left" w:pos="879"/>
              </w:tabs>
              <w:adjustRightInd w:val="0"/>
              <w:spacing w:line="300" w:lineRule="exact"/>
              <w:ind w:left="29" w:firstLine="140"/>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（5）上述相关系数（X1、X2、X3、K）在开标时由投标人推举代表按标段随机抽取。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1241"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2.2.3</w:t>
            </w:r>
          </w:p>
        </w:tc>
        <w:tc>
          <w:tcPr>
            <w:tcW w:w="1443" w:type="dxa"/>
            <w:tcBorders>
              <w:top w:val="single" w:color="auto" w:sz="4" w:space="0"/>
              <w:bottom w:val="single" w:color="auto" w:sz="4" w:space="0"/>
              <w:right w:val="single" w:color="auto" w:sz="4" w:space="0"/>
            </w:tcBorders>
            <w:vAlign w:val="center"/>
          </w:tcPr>
          <w:p>
            <w:pPr>
              <w:adjustRightInd w:val="0"/>
              <w:spacing w:line="300" w:lineRule="exac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评标价的偏差率计算公式</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偏差率=100%× (投标人评标价-评标基准价) /评标基准价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偏差率保留两位小数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41"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2.2.4</w:t>
            </w:r>
          </w:p>
        </w:tc>
        <w:tc>
          <w:tcPr>
            <w:tcW w:w="1443" w:type="dxa"/>
            <w:tcBorders>
              <w:top w:val="single" w:color="auto" w:sz="4" w:space="0"/>
              <w:bottom w:val="single" w:color="auto" w:sz="4" w:space="0"/>
              <w:right w:val="single" w:color="auto" w:sz="4" w:space="0"/>
            </w:tcBorders>
            <w:vAlign w:val="center"/>
          </w:tcPr>
          <w:p>
            <w:pPr>
              <w:adjustRightInd w:val="0"/>
              <w:spacing w:line="300" w:lineRule="exac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评标价得分</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评标价得分计算（满分100 分）：</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评标价得分C的计算公式（得分保留小数点后三位，小数点后第四位“四舍五入”）：</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如果投标人的评标价＞评标基准价，则评标价得分C=100-偏差率×100×E1；</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如果投标人的评标价≤评标基准价，则评标价得分C=100+偏差率×100×E2。</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其中： E1=2；E2=1。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1"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2.2.4（1）</w:t>
            </w:r>
          </w:p>
        </w:tc>
        <w:tc>
          <w:tcPr>
            <w:tcW w:w="1443"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信用</w:t>
            </w:r>
          </w:p>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得分</w:t>
            </w:r>
          </w:p>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（D）</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信用得分D计算：</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依据晋交建管【2010】789号文件《公路施工企业信用评价实施细则（试行）》规定：</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信用等级为“AA级”的投标人：D=a</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信用等级为“A级”的投标人：D=0.5a</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信用等级为“B级”和未被列入山西公路建设市场的投标人的：D=0</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信用等级为“C级”的投标人：D= -0.5a</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其中：</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①a=（投标报价排名第一的投标人的评标价得分-投标报价排名第n的投标人的评标价得分）/（n-1）；a值在评标过程中保持不变。</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②n值选定：当参与评标价得分计算的投标人数量≥5时，n=5;参与评标价得分计算的投标人数量＜5时，n按所有参与评标价得分计算的投标人数量计。</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③信用评价以山西省交通运输厅最新公布的信用评价结果为准，若在山西未有信用评价的，信用评价以交通运输部最新公布的信用评价结果公示为准，若在以上部门均没有信用评价的按B级对待。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1"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w:t>
            </w:r>
          </w:p>
        </w:tc>
        <w:tc>
          <w:tcPr>
            <w:tcW w:w="1443"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评标程序</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补充：</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①宣布评标纪律；</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②评标委员会首先对投标文件第一信封 (商务及技术文件) 进行评审，确定通过投标文件第一个信封 (商务及技术文件) 评审的投标人名单；</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③然后在监督人员监督下按招标文件规定对通过投标文件第一个信封 (商务及技术文件) 评审的投标文件第二信封 (投标报价) 进行开标，通过第一信封的投标人数量不足3家时，第二信封不予解密；</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④评标委员会对投标文件第二信封 (投标报价) 进行初步评审、详细评审，并按照招标文件规定的评标办法推荐中标候选人；</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⑤评标委员会提交评标报告。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1" w:type="dxa"/>
            <w:tcBorders>
              <w:top w:val="single" w:color="auto" w:sz="4" w:space="0"/>
              <w:bottom w:val="single" w:color="auto" w:sz="4" w:space="0"/>
              <w:right w:val="single" w:color="auto" w:sz="4" w:space="0"/>
            </w:tcBorders>
            <w:vAlign w:val="center"/>
          </w:tcPr>
          <w:p>
            <w:pPr>
              <w:adjustRightInd w:val="0"/>
              <w:spacing w:line="300" w:lineRule="exact"/>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3.3.1</w:t>
            </w:r>
          </w:p>
        </w:tc>
        <w:tc>
          <w:tcPr>
            <w:tcW w:w="1443"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第二信封</w:t>
            </w:r>
          </w:p>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(投标报</w:t>
            </w:r>
          </w:p>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价) 否决投</w:t>
            </w:r>
          </w:p>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标的情形</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(1) 未在投标函上填写投标总价；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(2) 投标报价中的报价超出招标人公布的最高投标限价；</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 投标报价中报价的大写金额无法确定具体数值。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41" w:type="dxa"/>
            <w:tcBorders>
              <w:top w:val="single" w:color="auto" w:sz="4" w:space="0"/>
              <w:bottom w:val="single" w:color="auto" w:sz="4" w:space="0"/>
              <w:right w:val="single" w:color="auto" w:sz="4" w:space="0"/>
            </w:tcBorders>
            <w:vAlign w:val="center"/>
          </w:tcPr>
          <w:p>
            <w:pPr>
              <w:adjustRightInd w:val="0"/>
              <w:spacing w:line="300" w:lineRule="exact"/>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3.4.2</w:t>
            </w:r>
          </w:p>
        </w:tc>
        <w:tc>
          <w:tcPr>
            <w:tcW w:w="1443" w:type="dxa"/>
            <w:tcBorders>
              <w:top w:val="single" w:color="auto" w:sz="4" w:space="0"/>
              <w:bottom w:val="single" w:color="auto" w:sz="4" w:space="0"/>
              <w:right w:val="single" w:color="auto" w:sz="4" w:space="0"/>
            </w:tcBorders>
            <w:vAlign w:val="center"/>
          </w:tcPr>
          <w:p>
            <w:pPr>
              <w:adjustRightInd w:val="0"/>
              <w:spacing w:line="300" w:lineRule="exact"/>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投标人得分</w:t>
            </w:r>
          </w:p>
        </w:tc>
        <w:tc>
          <w:tcPr>
            <w:tcW w:w="7278" w:type="dxa"/>
            <w:tcBorders>
              <w:top w:val="single" w:color="auto" w:sz="4" w:space="0"/>
              <w:left w:val="single" w:color="auto" w:sz="4" w:space="0"/>
              <w:bottom w:val="single" w:color="auto" w:sz="4" w:space="0"/>
            </w:tcBorders>
            <w:vAlign w:val="center"/>
          </w:tcPr>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原条款修改为：</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按2.2.4计算评标价得分并按照得分由高到低的顺序排名，排名前n名投标人 得分=C+D，n名以后投标人得分=C。</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其中：参与评标价得分计算的投标人数量≥5时，n=5;参与评标价得分计算的 投标人数量＜5时，n按所有参与评标价得分计算的投标人数量计。</w:t>
            </w:r>
          </w:p>
          <w:p>
            <w:pPr>
              <w:spacing w:line="420" w:lineRule="atLeast"/>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投标人得分分值计算保留小数点后三位，小数点后第四位“四舍五入”。</w:t>
            </w:r>
          </w:p>
        </w:tc>
      </w:tr>
    </w:tbl>
    <w:p>
      <w:pPr>
        <w:widowControl/>
        <w:jc w:val="left"/>
        <w:rPr>
          <w:rFonts w:asciiTheme="majorEastAsia" w:hAnsiTheme="majorEastAsia" w:eastAsiaTheme="majorEastAsia" w:cstheme="majorEastAsia"/>
          <w:color w:val="000000" w:themeColor="text1"/>
          <w:sz w:val="24"/>
          <w14:textFill>
            <w14:solidFill>
              <w14:schemeClr w14:val="tx1"/>
            </w14:solidFill>
          </w14:textFill>
        </w:rPr>
      </w:pPr>
      <w:r>
        <w:rPr>
          <w:rFonts w:hint="eastAsia" w:asciiTheme="majorEastAsia" w:hAnsiTheme="majorEastAsia" w:eastAsiaTheme="majorEastAsia" w:cstheme="majorEastAsia"/>
          <w:color w:val="000000" w:themeColor="text1"/>
          <w:sz w:val="27"/>
          <w:szCs w:val="27"/>
          <w14:textFill>
            <w14:solidFill>
              <w14:schemeClr w14:val="tx1"/>
            </w14:solidFill>
          </w14:textFill>
        </w:rPr>
        <w:br w:type="page"/>
      </w:r>
      <w:bookmarkStart w:id="7" w:name="_Toc518427691"/>
      <w:bookmarkStart w:id="8" w:name="_Toc444678080"/>
      <w:r>
        <w:rPr>
          <w:rFonts w:hint="eastAsia" w:ascii="Times New Roman" w:hAnsi="Times New Roman" w:eastAsia="宋体" w:cs="Arial"/>
          <w:b/>
          <w:sz w:val="24"/>
        </w:rPr>
        <w:t>1. 评标方法</w:t>
      </w:r>
      <w:bookmarkEnd w:id="7"/>
      <w:bookmarkEnd w:id="8"/>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本次评标采用</w:t>
      </w:r>
      <w:r>
        <w:rPr>
          <w:rFonts w:hint="eastAsia" w:ascii="Times New Roman" w:hAnsi="Times New Roman" w:eastAsia="宋体" w:cs="Arial"/>
          <w:szCs w:val="21"/>
          <w:lang w:val="en-US" w:eastAsia="zh-CN"/>
        </w:rPr>
        <w:t>双信封</w:t>
      </w:r>
      <w:r>
        <w:rPr>
          <w:rFonts w:hint="eastAsia" w:ascii="Times New Roman" w:hAnsi="Times New Roman" w:eastAsia="宋体" w:cs="Arial"/>
          <w:szCs w:val="21"/>
        </w:rPr>
        <w:t>合理低价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360" w:lineRule="auto"/>
        <w:rPr>
          <w:rFonts w:hint="eastAsia" w:ascii="Times New Roman" w:hAnsi="Times New Roman" w:eastAsia="宋体" w:cs="Arial"/>
          <w:b/>
          <w:sz w:val="24"/>
        </w:rPr>
      </w:pPr>
      <w:bookmarkStart w:id="9" w:name="_Toc518427692"/>
      <w:bookmarkStart w:id="10" w:name="_Toc444678081"/>
      <w:r>
        <w:rPr>
          <w:rFonts w:hint="eastAsia" w:ascii="Times New Roman" w:hAnsi="Times New Roman" w:eastAsia="宋体" w:cs="Arial"/>
          <w:b/>
          <w:sz w:val="24"/>
        </w:rPr>
        <w:t>2. 评审标准</w:t>
      </w:r>
      <w:bookmarkEnd w:id="9"/>
      <w:bookmarkEnd w:id="10"/>
    </w:p>
    <w:p>
      <w:pPr>
        <w:spacing w:line="360" w:lineRule="auto"/>
        <w:rPr>
          <w:rFonts w:hint="eastAsia" w:ascii="Times New Roman" w:hAnsi="Times New Roman" w:eastAsia="宋体" w:cs="Arial"/>
          <w:b/>
        </w:rPr>
      </w:pPr>
      <w:r>
        <w:rPr>
          <w:rFonts w:hint="eastAsia" w:ascii="Times New Roman" w:hAnsi="Times New Roman" w:eastAsia="宋体" w:cs="Arial"/>
          <w:b/>
        </w:rPr>
        <w:t>2.1 初步评审标准</w:t>
      </w:r>
    </w:p>
    <w:p>
      <w:pPr>
        <w:spacing w:line="360" w:lineRule="auto"/>
        <w:ind w:firstLine="420" w:firstLineChars="200"/>
        <w:rPr>
          <w:rFonts w:hint="eastAsia" w:ascii="Times New Roman" w:hAnsi="Times New Roman" w:eastAsia="宋体" w:cs="Arial"/>
          <w:szCs w:val="21"/>
          <w:lang w:val="en-US" w:eastAsia="zh-CN"/>
        </w:rPr>
      </w:pPr>
      <w:r>
        <w:rPr>
          <w:rFonts w:hint="eastAsia" w:ascii="Times New Roman" w:hAnsi="Times New Roman" w:eastAsia="宋体" w:cs="Arial"/>
          <w:szCs w:val="21"/>
          <w:lang w:val="en-US" w:eastAsia="zh-CN"/>
        </w:rPr>
        <w:t>2.1.1 形式评审标准：见评标办法前附表。</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2.1.2 资格评审标准：见评标办法前附表。</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2.1.3 响应性评审标准：见评标办法前附表。</w:t>
      </w:r>
    </w:p>
    <w:p>
      <w:pPr>
        <w:spacing w:line="360" w:lineRule="auto"/>
        <w:rPr>
          <w:rFonts w:hint="eastAsia" w:ascii="Times New Roman" w:hAnsi="Times New Roman" w:eastAsia="宋体" w:cs="Arial"/>
          <w:b/>
        </w:rPr>
      </w:pPr>
      <w:r>
        <w:rPr>
          <w:rFonts w:hint="eastAsia" w:ascii="Times New Roman" w:hAnsi="Times New Roman" w:eastAsia="宋体" w:cs="Arial"/>
          <w:b/>
        </w:rPr>
        <w:t>2.2 分值构成与评分标准</w:t>
      </w:r>
    </w:p>
    <w:p>
      <w:pPr>
        <w:adjustRightInd w:val="0"/>
        <w:snapToGrid w:val="0"/>
        <w:spacing w:line="360" w:lineRule="auto"/>
        <w:ind w:firstLine="420" w:firstLineChars="200"/>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2.2.1 分值构成</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评标价：见评标办法前附表。</w:t>
      </w:r>
    </w:p>
    <w:p>
      <w:pPr>
        <w:adjustRightInd w:val="0"/>
        <w:snapToGrid w:val="0"/>
        <w:spacing w:line="360" w:lineRule="auto"/>
        <w:ind w:firstLine="420" w:firstLineChars="200"/>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2.2.2 评标基准价计算</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评标基准价计算方法：见评标办法前附表。</w:t>
      </w:r>
    </w:p>
    <w:p>
      <w:pPr>
        <w:adjustRightInd w:val="0"/>
        <w:snapToGrid w:val="0"/>
        <w:spacing w:line="360" w:lineRule="auto"/>
        <w:ind w:firstLine="420" w:firstLineChars="200"/>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2.2.3 投标报价的偏差率计算</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评标价的偏差率计算公式：见评标办法前附表。</w:t>
      </w:r>
    </w:p>
    <w:p>
      <w:pPr>
        <w:adjustRightInd w:val="0"/>
        <w:snapToGrid w:val="0"/>
        <w:spacing w:line="360" w:lineRule="auto"/>
        <w:ind w:firstLine="420" w:firstLineChars="200"/>
        <w:rPr>
          <w:rFonts w:asciiTheme="majorEastAsia" w:hAnsiTheme="majorEastAsia" w:eastAsiaTheme="majorEastAsia" w:cstheme="majorEastAsia"/>
          <w:b/>
          <w:color w:val="000000" w:themeColor="text1"/>
          <w:szCs w:val="21"/>
          <w14:textFill>
            <w14:solidFill>
              <w14:schemeClr w14:val="tx1"/>
            </w14:solidFill>
          </w14:textFill>
        </w:rPr>
      </w:pPr>
      <w:r>
        <w:rPr>
          <w:rFonts w:hint="eastAsia" w:asciiTheme="majorEastAsia" w:hAnsiTheme="majorEastAsia" w:eastAsiaTheme="majorEastAsia" w:cstheme="majorEastAsia"/>
          <w:b/>
          <w:color w:val="000000" w:themeColor="text1"/>
          <w:szCs w:val="21"/>
          <w14:textFill>
            <w14:solidFill>
              <w14:schemeClr w14:val="tx1"/>
            </w14:solidFill>
          </w14:textFill>
        </w:rPr>
        <w:t>2.2.4 评分标准</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评标价评分标准：见评标办法前附表。</w:t>
      </w:r>
    </w:p>
    <w:p>
      <w:pPr>
        <w:spacing w:line="360" w:lineRule="auto"/>
        <w:rPr>
          <w:rFonts w:hint="eastAsia" w:ascii="Times New Roman" w:hAnsi="Times New Roman" w:eastAsia="宋体" w:cs="Arial"/>
          <w:b/>
          <w:sz w:val="24"/>
        </w:rPr>
      </w:pPr>
      <w:bookmarkStart w:id="11" w:name="_Toc518427693"/>
      <w:bookmarkStart w:id="12" w:name="_Toc444678082"/>
      <w:r>
        <w:rPr>
          <w:rFonts w:hint="eastAsia" w:ascii="Times New Roman" w:hAnsi="Times New Roman" w:eastAsia="宋体" w:cs="Arial"/>
          <w:b/>
          <w:sz w:val="24"/>
        </w:rPr>
        <w:t>3. 评标程序</w:t>
      </w:r>
      <w:bookmarkEnd w:id="11"/>
      <w:bookmarkEnd w:id="12"/>
    </w:p>
    <w:p>
      <w:pPr>
        <w:spacing w:line="360" w:lineRule="auto"/>
        <w:rPr>
          <w:rFonts w:hint="eastAsia" w:ascii="Times New Roman" w:hAnsi="Times New Roman" w:eastAsia="宋体" w:cs="Arial"/>
          <w:b/>
        </w:rPr>
      </w:pPr>
      <w:r>
        <w:rPr>
          <w:rFonts w:hint="eastAsia" w:ascii="Times New Roman" w:hAnsi="Times New Roman" w:eastAsia="宋体" w:cs="Arial"/>
          <w:b/>
        </w:rPr>
        <w:t>3.1 第一个信封初步评审</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3.1.1评标委员会依据本章第2.1款规定的标准对投标文件第一个信封（商务及技术文件）进行初步评审。有一项不符合评审标准的，评标委员会应否决其投标。</w:t>
      </w:r>
    </w:p>
    <w:p>
      <w:pPr>
        <w:spacing w:line="360" w:lineRule="auto"/>
        <w:rPr>
          <w:rFonts w:hint="eastAsia" w:ascii="Times New Roman" w:hAnsi="Times New Roman" w:eastAsia="宋体" w:cs="Arial"/>
          <w:b/>
        </w:rPr>
      </w:pPr>
      <w:r>
        <w:rPr>
          <w:rFonts w:hint="eastAsia" w:ascii="Times New Roman" w:hAnsi="Times New Roman" w:eastAsia="宋体" w:cs="Arial"/>
          <w:b/>
        </w:rPr>
        <w:t>3.2 第二个信封开标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第一个信封（商务及技术文件）评审结束后，招标人将按照第二章“投标人须知”第5.1款规定的时间和地点对通过投标文件第一个信封（商务及技术文件）评审的投标文件第二个信封（报价文件）进行开标。</w:t>
      </w:r>
    </w:p>
    <w:p>
      <w:pPr>
        <w:spacing w:line="360" w:lineRule="auto"/>
        <w:rPr>
          <w:rFonts w:hint="eastAsia" w:ascii="Times New Roman" w:hAnsi="Times New Roman" w:eastAsia="宋体" w:cs="Arial"/>
          <w:b/>
        </w:rPr>
      </w:pPr>
      <w:r>
        <w:rPr>
          <w:rFonts w:hint="eastAsia" w:ascii="Times New Roman" w:hAnsi="Times New Roman" w:eastAsia="宋体" w:cs="Arial"/>
          <w:b/>
        </w:rPr>
        <w:t>3.3 第二个信封初步评审</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3.3.1 评标委员会依据本章第2.1.1项、第2.1.3项规定的评审标准对投标文件第二个信封（报价文件）进行初步评审。有一项不符合评审标准的，评标委员会应否决其投标。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3.3.2投标报价有算术错误的，评标委员会按以下原则对投标报价进行修正，修正的价格经投标人书面确认后具有约束力。投标人不接受修正价格的，评标委员会应否决其投标。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（1）投标文件中的大写金额与小写金额不一致的，以大写金额为准；</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（2）总价金额与依据单价计算出的结果不一致的，以单价金额为准修正总价，但单价金额小数点有明显错误的除外；</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（3）当单价与数量相乘不等于合价时，以单价计算为准，如果单价有明显的小数点位置差错，应以标出的合价为准，同时对单价予以修正；</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（4）当各子目的合价累计不等于总价时，应以各子目合价累计数为准，修正总价。</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3.3.3 工程量清单中的投标报价有其他错误的，评标委员会按以下原则对投标报价进行修正，修正的价格经投标人书面确认后具有约束力。投标人不接受修正价格的，评标委员会应否决其投标。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（3）当单价与数量的乘积与合价（金额）虽然一致，但投标人修改了该子目的工程数量，则其合价按招标人给定的工程数量乘以投标人所报单价予以修正。</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3.3.4 修正后的最终投标报价若超过最高投标限价（如有），评标委员会应否决其投标。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3.3.5 修正后的最终投标报价仅作为签订合同的一个依据，不参与评标价得分的计算。</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3.4 第二个信封详细评审</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3.4.1 评标委员会按本章第2.2款规定的量化因素和分值进行打分，并计算出综合评估得分（即评标价得分）。</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3.4.2 投标人得分分值计算保留小数点后两位，小数点后第三位“四舍五入”。</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3.4.3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360" w:lineRule="auto"/>
        <w:rPr>
          <w:rFonts w:hint="eastAsia" w:ascii="Times New Roman" w:hAnsi="Times New Roman" w:eastAsia="宋体" w:cs="Arial"/>
          <w:b/>
        </w:rPr>
      </w:pPr>
      <w:r>
        <w:rPr>
          <w:rFonts w:hint="eastAsia" w:ascii="Times New Roman" w:hAnsi="Times New Roman" w:eastAsia="宋体" w:cs="Arial"/>
          <w:b/>
        </w:rPr>
        <w:t>3.5 投标文件相关信息的核查</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3.5.1 在评标过程中，评标委员会应查询规定网站，对投标人的资质、业绩、主要人员资历和目前在岗情况、信用等级等信息进行核实。若投标文件载明的信息与规定网站发布的信息不符，使得投标人的资格条件不符合招标文件规定的，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3.5.2 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（1）有下列情形之一的，属于投标人相互串通投标：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a.投标人之间协商投标报价等投标文件的实质性内容；</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b.投标人之间约定中标人；</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c.投标人之间约定部分投标人放弃投标或中标；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d.属于同一集团、协会、商会等组织成员的投标人按照该组织要求协同投标；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e.投标人之间为谋取中标或排斥特定投标人而采取的其他联合行动。</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（2）有下列情形之一的，视为投标人相互串通投标：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a.不同投标人的投标文件由同一单位或个人编制；</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b.不同投标人委托同一单位或个人办理投标事宜；</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c.不同投标人的投标文件载明的项目管理成员为同一人；</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d.不同投标人的投标文件异常一致或投标报价呈规律性差异；</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e.不同投标人的投标文件相互混装；</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f.不同投标人的投标保证金从同一单位或个人的账户转出。</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（3）有下列情形之一的，属于招标人与投标人串通投标：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a.招标人在开标前开启投标文件并将有关信息泄露给其他投标人;</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b.招标人直接或间接向投标人泄露标底、评标委员会成员等信息；</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c.招标人明示或暗示投标人压低或抬高投标报价；</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d.招标人授意投标人撤换、修改投标文件；</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e.招标人明示或暗示投标人为特定投标人中标提供方便；</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f.招标人与投标人为谋求特定投标人中标而采取的其他串通行为。</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（4）投标人有下列情形之一的，属于弄虚作假的行为：</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a.使用通过受让或租借等方式获取的资格、资质证书投标；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b.使用伪造、变造的许可证件；</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c.提供虚假的财务状况或业绩；</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d.提供虚假的项目负责人或主要技术人员简历、劳动关系证明；</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e.提供虚假的信用状况；</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f.其他弄虚作假的行为。</w:t>
      </w:r>
    </w:p>
    <w:p>
      <w:pPr>
        <w:spacing w:line="360" w:lineRule="auto"/>
        <w:rPr>
          <w:rFonts w:hint="eastAsia" w:ascii="Times New Roman" w:hAnsi="Times New Roman" w:eastAsia="宋体" w:cs="Arial"/>
          <w:b/>
        </w:rPr>
      </w:pPr>
      <w:r>
        <w:rPr>
          <w:rFonts w:hint="eastAsia" w:ascii="Times New Roman" w:hAnsi="Times New Roman" w:eastAsia="宋体" w:cs="Arial"/>
          <w:b/>
        </w:rPr>
        <w:t>3.6 投标文件的澄清和说明</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3.6.1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3.6.2 澄清和说明不得超出投标文件的范围或改变投标文件的实质性内容（算术性错误修正的除外）。投标人的书面澄清、说明属于投标文件的组成部分。</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3.6.3 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3.6.4凡超出招标文件规定的或给发包人带来未曾要求的利益的变化、偏差或其他因素在评标时不予考虑。</w:t>
      </w:r>
    </w:p>
    <w:p>
      <w:pPr>
        <w:spacing w:line="360" w:lineRule="auto"/>
        <w:rPr>
          <w:rFonts w:hint="eastAsia" w:ascii="Times New Roman" w:hAnsi="Times New Roman" w:eastAsia="宋体" w:cs="Arial"/>
          <w:b/>
        </w:rPr>
      </w:pPr>
      <w:r>
        <w:rPr>
          <w:rFonts w:hint="eastAsia" w:ascii="Times New Roman" w:hAnsi="Times New Roman" w:eastAsia="宋体" w:cs="Arial"/>
          <w:b/>
        </w:rPr>
        <w:t>3.7 不得否决投标的情形</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投标文件存在第二章“投标人须知”第1.12.3项所列情形的，均视为细微偏差，评标委员会不得否决投标人的投标，应按照第二章“投标人须知”第1.12.4项规定的原则处理。</w:t>
      </w:r>
    </w:p>
    <w:p>
      <w:pPr>
        <w:spacing w:line="360" w:lineRule="auto"/>
        <w:rPr>
          <w:rFonts w:hint="eastAsia" w:ascii="Times New Roman" w:hAnsi="Times New Roman" w:eastAsia="宋体" w:cs="Arial"/>
          <w:b/>
        </w:rPr>
      </w:pPr>
      <w:r>
        <w:rPr>
          <w:rFonts w:hint="eastAsia" w:ascii="Times New Roman" w:hAnsi="Times New Roman" w:eastAsia="宋体" w:cs="Arial"/>
          <w:b/>
        </w:rPr>
        <w:t>3.8 评标结果</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3.8.1 除第二章“投标人须知”前附表授权直接确定中标人外，评标委员会按照得分由高到低的顺序推荐中标候选人，并标明排序。</w:t>
      </w:r>
    </w:p>
    <w:p>
      <w:pPr>
        <w:spacing w:line="360" w:lineRule="auto"/>
        <w:ind w:firstLine="420" w:firstLineChars="200"/>
        <w:rPr>
          <w:rFonts w:hint="eastAsia" w:ascii="Times New Roman" w:hAnsi="Times New Roman" w:eastAsia="宋体" w:cs="Arial"/>
          <w:szCs w:val="21"/>
        </w:rPr>
      </w:pPr>
      <w:r>
        <w:rPr>
          <w:rFonts w:hint="eastAsia" w:ascii="Times New Roman" w:hAnsi="Times New Roman" w:eastAsia="宋体" w:cs="Arial"/>
          <w:szCs w:val="21"/>
        </w:rPr>
        <w:t>3.8.2 评标委员会完成评标后，应当向招标人提交书面评标报告。</w:t>
      </w:r>
    </w:p>
    <w:p>
      <w:pPr>
        <w:widowControl/>
        <w:jc w:val="left"/>
        <w:rPr>
          <w:color w:val="000000"/>
          <w:sz w:val="24"/>
        </w:rPr>
        <w:sectPr>
          <w:headerReference r:id="rId3" w:type="even"/>
          <w:footnotePr>
            <w:numFmt w:val="decimalEnclosedCircleChinese"/>
            <w:numRestart w:val="eachPage"/>
          </w:footnotePr>
          <w:pgSz w:w="11906" w:h="16838"/>
          <w:pgMar w:top="1418" w:right="1418" w:bottom="1418" w:left="1418" w:header="851" w:footer="851" w:gutter="0"/>
          <w:cols w:space="425" w:num="1"/>
          <w:docGrid w:linePitch="312" w:charSpace="0"/>
        </w:sectPr>
      </w:pPr>
      <w:r>
        <w:rPr>
          <w:color w:val="000000" w:themeColor="text1"/>
          <w14:textFill>
            <w14:solidFill>
              <w14:schemeClr w14:val="tx1"/>
            </w14:solidFill>
          </w14:textFill>
        </w:rPr>
        <w:br w:type="page"/>
      </w:r>
      <w:bookmarkEnd w:id="6"/>
    </w:p>
    <w:p>
      <w:pPr>
        <w:spacing w:line="360" w:lineRule="auto"/>
        <w:outlineLvl w:val="0"/>
        <w:rPr>
          <w:rFonts w:ascii="宋体" w:hAnsi="宋体"/>
          <w:b/>
          <w:sz w:val="24"/>
        </w:rPr>
      </w:pPr>
      <w:r>
        <w:rPr>
          <w:rFonts w:ascii="宋体" w:hAnsi="宋体"/>
          <w:b/>
          <w:sz w:val="24"/>
        </w:rPr>
        <w:t>四、其他需要公开的内容</w:t>
      </w:r>
    </w:p>
    <w:p>
      <w:pPr>
        <w:pStyle w:val="3"/>
        <w:topLinePunct/>
        <w:spacing w:before="0" w:beforeLines="0" w:after="0" w:afterLines="0" w:line="360" w:lineRule="auto"/>
        <w:jc w:val="both"/>
        <w:rPr>
          <w:rFonts w:ascii="宋体" w:hAnsi="宋体" w:eastAsia="宋体" w:cs="Times New Roman"/>
          <w:b/>
          <w:bCs w:val="0"/>
          <w:kern w:val="2"/>
          <w:sz w:val="24"/>
          <w:szCs w:val="24"/>
          <w:lang w:val="en-US" w:eastAsia="zh-CN" w:bidi="ar-SA"/>
        </w:rPr>
      </w:pPr>
      <w:r>
        <w:rPr>
          <w:rFonts w:ascii="宋体" w:hAnsi="宋体" w:eastAsia="宋体" w:cs="Times New Roman"/>
          <w:b/>
          <w:bCs w:val="0"/>
          <w:kern w:val="2"/>
          <w:sz w:val="24"/>
          <w:szCs w:val="24"/>
          <w:lang w:val="en-US" w:eastAsia="zh-CN" w:bidi="ar-SA"/>
        </w:rPr>
        <w:t>无</w:t>
      </w:r>
    </w:p>
    <w:p>
      <w:pPr>
        <w:pStyle w:val="3"/>
        <w:topLinePunct/>
        <w:spacing w:before="0" w:beforeLines="0" w:after="0" w:afterLines="0" w:line="360" w:lineRule="auto"/>
        <w:jc w:val="both"/>
        <w:rPr>
          <w:rFonts w:ascii="宋体" w:hAnsi="宋体" w:eastAsia="宋体" w:cs="Times New Roman"/>
          <w:b/>
          <w:bCs w:val="0"/>
          <w:kern w:val="2"/>
          <w:sz w:val="24"/>
          <w:szCs w:val="24"/>
          <w:lang w:val="en-US" w:eastAsia="zh-CN" w:bidi="ar-SA"/>
        </w:rPr>
      </w:pPr>
    </w:p>
    <w:sectPr>
      <w:headerReference r:id="rId4" w:type="even"/>
      <w:footnotePr>
        <w:numFmt w:val="decimalEnclosedCircleChinese"/>
        <w:numRestart w:val="eachPage"/>
      </w:footnotePr>
      <w:pgSz w:w="11906" w:h="16838"/>
      <w:pgMar w:top="1418" w:right="1701" w:bottom="1418"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opLinePunct/>
      <w:spacing w:line="240" w:lineRule="atLeast"/>
      <w:jc w:val="right"/>
      <w:rPr>
        <w:rStyle w:val="19"/>
        <w:rFonts w:eastAsia="黑体"/>
        <w:b w:val="0"/>
        <w:kern w:val="10"/>
        <w:szCs w:val="15"/>
      </w:rPr>
    </w:pPr>
    <w:r>
      <w:rPr>
        <w:rStyle w:val="19"/>
        <w:rFonts w:hint="eastAsia" w:eastAsia="黑体"/>
        <w:b w:val="0"/>
        <w:kern w:val="10"/>
        <w:szCs w:val="15"/>
      </w:rPr>
      <w:t>第三章  评标办法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topLinePunct/>
      <w:spacing w:line="240" w:lineRule="atLeast"/>
      <w:jc w:val="right"/>
      <w:rPr>
        <w:rStyle w:val="19"/>
        <w:rFonts w:eastAsia="黑体"/>
        <w:b w:val="0"/>
        <w:kern w:val="10"/>
        <w:szCs w:val="15"/>
      </w:rPr>
    </w:pPr>
    <w:r>
      <w:rPr>
        <w:rStyle w:val="19"/>
        <w:rFonts w:hint="eastAsia" w:eastAsia="黑体"/>
        <w:b w:val="0"/>
        <w:kern w:val="10"/>
        <w:szCs w:val="15"/>
      </w:rPr>
      <w:t>第三章  评标办法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5MzlkYmFkYTQ2MGNlNTJlMTA5NDhhOGFiZjIzOGIifQ=="/>
  </w:docVars>
  <w:rsids>
    <w:rsidRoot w:val="006E3CE8"/>
    <w:rsid w:val="0008083C"/>
    <w:rsid w:val="00295EB2"/>
    <w:rsid w:val="002C7908"/>
    <w:rsid w:val="003C0ED1"/>
    <w:rsid w:val="005B14E6"/>
    <w:rsid w:val="005E15C5"/>
    <w:rsid w:val="00612030"/>
    <w:rsid w:val="006612E7"/>
    <w:rsid w:val="00692D58"/>
    <w:rsid w:val="006E3CE8"/>
    <w:rsid w:val="00816CC8"/>
    <w:rsid w:val="008329FC"/>
    <w:rsid w:val="0086146F"/>
    <w:rsid w:val="00871915"/>
    <w:rsid w:val="008D115D"/>
    <w:rsid w:val="009361AB"/>
    <w:rsid w:val="00965EA8"/>
    <w:rsid w:val="00A8525E"/>
    <w:rsid w:val="00B67F24"/>
    <w:rsid w:val="00CF14F8"/>
    <w:rsid w:val="00D32DAB"/>
    <w:rsid w:val="00D54E20"/>
    <w:rsid w:val="00E66AE9"/>
    <w:rsid w:val="013F03A1"/>
    <w:rsid w:val="02050070"/>
    <w:rsid w:val="053F3C41"/>
    <w:rsid w:val="056C0951"/>
    <w:rsid w:val="077010BF"/>
    <w:rsid w:val="09AF2373"/>
    <w:rsid w:val="0A4A3E4A"/>
    <w:rsid w:val="0B0706FB"/>
    <w:rsid w:val="0B792C38"/>
    <w:rsid w:val="0C8E583D"/>
    <w:rsid w:val="0E101C97"/>
    <w:rsid w:val="0E722914"/>
    <w:rsid w:val="0EA60ED6"/>
    <w:rsid w:val="0EEE7499"/>
    <w:rsid w:val="10474C4B"/>
    <w:rsid w:val="11C72224"/>
    <w:rsid w:val="136201DB"/>
    <w:rsid w:val="14B24AC5"/>
    <w:rsid w:val="158C3FC8"/>
    <w:rsid w:val="15973CBB"/>
    <w:rsid w:val="167E55A7"/>
    <w:rsid w:val="18FF04F5"/>
    <w:rsid w:val="1BAA12F9"/>
    <w:rsid w:val="1BF6798D"/>
    <w:rsid w:val="1CA613B3"/>
    <w:rsid w:val="1D0205B4"/>
    <w:rsid w:val="1E94348E"/>
    <w:rsid w:val="200F7270"/>
    <w:rsid w:val="20C0056A"/>
    <w:rsid w:val="22941332"/>
    <w:rsid w:val="25B20ECA"/>
    <w:rsid w:val="273B3040"/>
    <w:rsid w:val="27A33079"/>
    <w:rsid w:val="296D2187"/>
    <w:rsid w:val="29A30A29"/>
    <w:rsid w:val="2B0F58DC"/>
    <w:rsid w:val="2B134287"/>
    <w:rsid w:val="2B382957"/>
    <w:rsid w:val="2B6B78C3"/>
    <w:rsid w:val="2CFB0917"/>
    <w:rsid w:val="2D6C4BB7"/>
    <w:rsid w:val="2E0E6DB8"/>
    <w:rsid w:val="2E3831E1"/>
    <w:rsid w:val="2E76495E"/>
    <w:rsid w:val="2E9C3FAD"/>
    <w:rsid w:val="2EED69CE"/>
    <w:rsid w:val="30201DF6"/>
    <w:rsid w:val="32405DBA"/>
    <w:rsid w:val="344A041F"/>
    <w:rsid w:val="392E030F"/>
    <w:rsid w:val="41391F47"/>
    <w:rsid w:val="42622F17"/>
    <w:rsid w:val="429C0C0F"/>
    <w:rsid w:val="44254A04"/>
    <w:rsid w:val="45686E2D"/>
    <w:rsid w:val="45D43FEC"/>
    <w:rsid w:val="48691363"/>
    <w:rsid w:val="4ABA0F39"/>
    <w:rsid w:val="4B06733D"/>
    <w:rsid w:val="4EBB2AFB"/>
    <w:rsid w:val="4FEA274C"/>
    <w:rsid w:val="50334005"/>
    <w:rsid w:val="51204589"/>
    <w:rsid w:val="51AB6549"/>
    <w:rsid w:val="5217598C"/>
    <w:rsid w:val="52FE08FA"/>
    <w:rsid w:val="53A5346C"/>
    <w:rsid w:val="53F20EC6"/>
    <w:rsid w:val="540E3EBB"/>
    <w:rsid w:val="54617393"/>
    <w:rsid w:val="54AC4E44"/>
    <w:rsid w:val="55CF39F8"/>
    <w:rsid w:val="5647080A"/>
    <w:rsid w:val="57480800"/>
    <w:rsid w:val="575B1D16"/>
    <w:rsid w:val="58CF4D5E"/>
    <w:rsid w:val="59B06FC3"/>
    <w:rsid w:val="5A403EEE"/>
    <w:rsid w:val="5B18349B"/>
    <w:rsid w:val="5C0A47B4"/>
    <w:rsid w:val="603242D9"/>
    <w:rsid w:val="60E22213"/>
    <w:rsid w:val="610D3118"/>
    <w:rsid w:val="6110461A"/>
    <w:rsid w:val="614F3E65"/>
    <w:rsid w:val="635664D3"/>
    <w:rsid w:val="64F41203"/>
    <w:rsid w:val="66D9725C"/>
    <w:rsid w:val="67517D9F"/>
    <w:rsid w:val="6772576C"/>
    <w:rsid w:val="67D7292D"/>
    <w:rsid w:val="69822891"/>
    <w:rsid w:val="69B55D5F"/>
    <w:rsid w:val="69DF102E"/>
    <w:rsid w:val="6A034D8E"/>
    <w:rsid w:val="6A286DCF"/>
    <w:rsid w:val="6A773014"/>
    <w:rsid w:val="6A9234EB"/>
    <w:rsid w:val="6C151365"/>
    <w:rsid w:val="6C845A7F"/>
    <w:rsid w:val="6DE75A9B"/>
    <w:rsid w:val="6FF13869"/>
    <w:rsid w:val="70AE3508"/>
    <w:rsid w:val="71067270"/>
    <w:rsid w:val="73602AE8"/>
    <w:rsid w:val="74B86703"/>
    <w:rsid w:val="76F61765"/>
    <w:rsid w:val="78AE0770"/>
    <w:rsid w:val="7A1171B5"/>
    <w:rsid w:val="7A38580D"/>
    <w:rsid w:val="7A71081F"/>
    <w:rsid w:val="7A971B9E"/>
    <w:rsid w:val="7C054A16"/>
    <w:rsid w:val="7C321491"/>
    <w:rsid w:val="7C9A0DE4"/>
    <w:rsid w:val="7CCC5441"/>
    <w:rsid w:val="7D445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50" w:beforeLines="50" w:after="50" w:afterLines="50"/>
      <w:jc w:val="center"/>
      <w:outlineLvl w:val="0"/>
    </w:pPr>
    <w:rPr>
      <w:rFonts w:eastAsia="黑体"/>
      <w:b/>
      <w:bCs/>
      <w:kern w:val="44"/>
      <w:sz w:val="36"/>
      <w:szCs w:val="44"/>
    </w:rPr>
  </w:style>
  <w:style w:type="paragraph" w:styleId="4">
    <w:name w:val="heading 3"/>
    <w:basedOn w:val="1"/>
    <w:next w:val="5"/>
    <w:link w:val="23"/>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5">
    <w:name w:val="Normal Indent"/>
    <w:basedOn w:val="1"/>
    <w:qFormat/>
    <w:uiPriority w:val="99"/>
    <w:pPr>
      <w:ind w:firstLine="420" w:firstLineChars="2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3"/>
    <w:qFormat/>
    <w:uiPriority w:val="99"/>
    <w:pPr>
      <w:snapToGrid w:val="0"/>
      <w:jc w:val="left"/>
    </w:pPr>
    <w:rPr>
      <w:rFonts w:asciiTheme="minorHAnsi" w:hAnsiTheme="minorHAnsi" w:cstheme="minorBidi"/>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Arial"/>
      <w:color w:val="0000FF"/>
      <w:kern w:val="0"/>
      <w:sz w:val="24"/>
    </w:rPr>
  </w:style>
  <w:style w:type="character" w:styleId="12">
    <w:name w:val="footnote reference"/>
    <w:qFormat/>
    <w:uiPriority w:val="99"/>
    <w:rPr>
      <w:vertAlign w:val="superscript"/>
    </w:rPr>
  </w:style>
  <w:style w:type="character" w:customStyle="1" w:styleId="13">
    <w:name w:val="脚注文本 字符"/>
    <w:link w:val="8"/>
    <w:qFormat/>
    <w:uiPriority w:val="99"/>
    <w:rPr>
      <w:rFonts w:eastAsia="宋体"/>
      <w:sz w:val="18"/>
      <w:szCs w:val="18"/>
    </w:rPr>
  </w:style>
  <w:style w:type="character" w:customStyle="1" w:styleId="14">
    <w:name w:val="脚注文本 字符1"/>
    <w:basedOn w:val="11"/>
    <w:semiHidden/>
    <w:qFormat/>
    <w:uiPriority w:val="99"/>
    <w:rPr>
      <w:rFonts w:ascii="Times New Roman" w:hAnsi="Times New Roman" w:eastAsia="宋体" w:cs="Times New Roman"/>
      <w:sz w:val="18"/>
      <w:szCs w:val="18"/>
    </w:rPr>
  </w:style>
  <w:style w:type="character" w:customStyle="1" w:styleId="15">
    <w:name w:val="页眉 字符"/>
    <w:basedOn w:val="11"/>
    <w:link w:val="7"/>
    <w:qFormat/>
    <w:uiPriority w:val="99"/>
    <w:rPr>
      <w:rFonts w:ascii="Times New Roman" w:hAnsi="Times New Roman" w:eastAsia="宋体" w:cs="Times New Roman"/>
      <w:sz w:val="18"/>
      <w:szCs w:val="18"/>
    </w:rPr>
  </w:style>
  <w:style w:type="character" w:customStyle="1" w:styleId="16">
    <w:name w:val="页脚 字符"/>
    <w:basedOn w:val="11"/>
    <w:link w:val="6"/>
    <w:qFormat/>
    <w:uiPriority w:val="99"/>
    <w:rPr>
      <w:rFonts w:ascii="Times New Roman" w:hAnsi="Times New Roman" w:eastAsia="宋体" w:cs="Times New Roman"/>
      <w:sz w:val="18"/>
      <w:szCs w:val="18"/>
    </w:rPr>
  </w:style>
  <w:style w:type="character" w:customStyle="1" w:styleId="17">
    <w:name w:val="标题 1 字符"/>
    <w:basedOn w:val="11"/>
    <w:qFormat/>
    <w:uiPriority w:val="9"/>
    <w:rPr>
      <w:rFonts w:ascii="Times New Roman" w:hAnsi="Times New Roman" w:eastAsia="宋体" w:cs="Times New Roman"/>
      <w:b/>
      <w:bCs/>
      <w:kern w:val="44"/>
      <w:sz w:val="44"/>
      <w:szCs w:val="44"/>
    </w:rPr>
  </w:style>
  <w:style w:type="character" w:customStyle="1" w:styleId="18">
    <w:name w:val="页脚 字符1"/>
    <w:qFormat/>
    <w:uiPriority w:val="99"/>
    <w:rPr>
      <w:kern w:val="2"/>
      <w:sz w:val="18"/>
      <w:szCs w:val="18"/>
    </w:rPr>
  </w:style>
  <w:style w:type="character" w:customStyle="1" w:styleId="19">
    <w:name w:val="font161"/>
    <w:qFormat/>
    <w:uiPriority w:val="99"/>
    <w:rPr>
      <w:b/>
      <w:bCs/>
      <w:sz w:val="32"/>
      <w:szCs w:val="32"/>
    </w:rPr>
  </w:style>
  <w:style w:type="character" w:customStyle="1" w:styleId="20">
    <w:name w:val="脚注文本 字符2"/>
    <w:qFormat/>
    <w:uiPriority w:val="99"/>
    <w:rPr>
      <w:sz w:val="18"/>
    </w:rPr>
  </w:style>
  <w:style w:type="character" w:customStyle="1" w:styleId="21">
    <w:name w:val="标题 1 字符1"/>
    <w:link w:val="3"/>
    <w:qFormat/>
    <w:uiPriority w:val="99"/>
    <w:rPr>
      <w:rFonts w:ascii="Times New Roman" w:hAnsi="Times New Roman" w:eastAsia="黑体" w:cs="Times New Roman"/>
      <w:b/>
      <w:bCs/>
      <w:kern w:val="44"/>
      <w:sz w:val="36"/>
      <w:szCs w:val="44"/>
    </w:rPr>
  </w:style>
  <w:style w:type="paragraph" w:customStyle="1" w:styleId="22">
    <w:name w:val="样式 标题 3 + (中文) 黑体 小四 非加粗 段前: 7.8 磅 段后: 0 磅 行距: 固定值 20 磅"/>
    <w:basedOn w:val="4"/>
    <w:qFormat/>
    <w:uiPriority w:val="99"/>
    <w:pPr>
      <w:tabs>
        <w:tab w:val="left" w:pos="3229"/>
      </w:tabs>
      <w:spacing w:before="0" w:after="0" w:line="400" w:lineRule="exact"/>
    </w:pPr>
    <w:rPr>
      <w:rFonts w:eastAsia="黑体" w:cs="宋体"/>
      <w:b w:val="0"/>
      <w:bCs w:val="0"/>
      <w:sz w:val="24"/>
      <w:szCs w:val="20"/>
    </w:rPr>
  </w:style>
  <w:style w:type="character" w:customStyle="1" w:styleId="23">
    <w:name w:val="标题 3 字符"/>
    <w:basedOn w:val="11"/>
    <w:link w:val="4"/>
    <w:semiHidden/>
    <w:qFormat/>
    <w:uiPriority w:val="9"/>
    <w:rPr>
      <w:rFonts w:ascii="Times New Roman" w:hAnsi="Times New Roman" w:eastAsia="宋体" w:cs="Times New Roman"/>
      <w:b/>
      <w:bCs/>
      <w:sz w:val="32"/>
      <w:szCs w:val="32"/>
    </w:rPr>
  </w:style>
  <w:style w:type="character" w:customStyle="1" w:styleId="24">
    <w:name w:val="脚注文本 Char"/>
    <w:qFormat/>
    <w:uiPriority w:val="99"/>
    <w:rPr>
      <w:sz w:val="18"/>
    </w:rPr>
  </w:style>
  <w:style w:type="character" w:customStyle="1" w:styleId="25">
    <w:name w:val="页脚 Char"/>
    <w:qFormat/>
    <w:uiPriority w:val="99"/>
    <w:rPr>
      <w:kern w:val="2"/>
      <w:sz w:val="18"/>
      <w:szCs w:val="18"/>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7">
    <w:name w:val="第一章-2级"/>
    <w:basedOn w:val="3"/>
    <w:qFormat/>
    <w:uiPriority w:val="99"/>
    <w:rPr>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8732</Words>
  <Characters>9195</Characters>
  <Lines>70</Lines>
  <Paragraphs>19</Paragraphs>
  <TotalTime>0</TotalTime>
  <ScaleCrop>false</ScaleCrop>
  <LinksUpToDate>false</LinksUpToDate>
  <CharactersWithSpaces>9260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2019-06-10T15:41:00Z</dcterms:created>
  <dc:creator>LWG</dc:creator>
  <cp:lastModifiedBy>Enthusiasm曌</cp:lastModifiedBy>
  <dcterms:modified xsi:type="dcterms:W3CDTF">2022-06-23T02:20:48Z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20DA91FD861A4D89935774A8505B7114</vt:lpwstr>
  </property>
</Properties>
</file>