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山西省</w:t>
      </w:r>
      <w:r>
        <w:rPr>
          <w:rFonts w:hint="eastAsia" w:ascii="方正小标宋简体" w:hAnsi="方正小标宋简体" w:eastAsia="方正小标宋简体" w:cs="方正小标宋简体"/>
          <w:b w:val="0"/>
          <w:bCs w:val="0"/>
          <w:sz w:val="36"/>
          <w:szCs w:val="36"/>
        </w:rPr>
        <w:t>交通运输厅</w:t>
      </w: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阳城至永济等国高网项目</w:t>
      </w:r>
      <w:r>
        <w:rPr>
          <w:rFonts w:hint="eastAsia" w:ascii="方正小标宋简体" w:hAnsi="方正小标宋简体" w:eastAsia="方正小标宋简体" w:cs="方正小标宋简体"/>
          <w:b w:val="0"/>
          <w:bCs w:val="0"/>
          <w:sz w:val="36"/>
          <w:szCs w:val="36"/>
        </w:rPr>
        <w:t>招标</w:t>
      </w:r>
      <w:r>
        <w:rPr>
          <w:rFonts w:hint="eastAsia" w:ascii="方正小标宋简体" w:hAnsi="方正小标宋简体" w:eastAsia="方正小标宋简体" w:cs="方正小标宋简体"/>
          <w:b w:val="0"/>
          <w:bCs w:val="0"/>
          <w:sz w:val="36"/>
          <w:szCs w:val="36"/>
        </w:rPr>
        <w:t>和采购</w:t>
      </w:r>
      <w:r>
        <w:rPr>
          <w:rFonts w:hint="eastAsia" w:ascii="方正小标宋简体" w:hAnsi="方正小标宋简体" w:eastAsia="方正小标宋简体" w:cs="方正小标宋简体"/>
          <w:b w:val="0"/>
          <w:bCs w:val="0"/>
          <w:sz w:val="36"/>
          <w:szCs w:val="36"/>
        </w:rPr>
        <w:t>代理机构</w:t>
      </w:r>
    </w:p>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（第D</w:t>
      </w:r>
      <w:r>
        <w:rPr>
          <w:rFonts w:hint="eastAsia" w:ascii="方正小标宋简体" w:hAnsi="方正小标宋简体" w:eastAsia="方正小标宋简体" w:cs="方正小标宋简体"/>
          <w:b w:val="0"/>
          <w:bCs w:val="0"/>
          <w:sz w:val="36"/>
          <w:szCs w:val="36"/>
        </w:rPr>
        <w:t>L1</w:t>
      </w:r>
      <w:r>
        <w:rPr>
          <w:rFonts w:hint="eastAsia" w:ascii="方正小标宋简体" w:hAnsi="方正小标宋简体" w:eastAsia="方正小标宋简体" w:cs="方正小标宋简体"/>
          <w:b w:val="0"/>
          <w:bCs w:val="0"/>
          <w:sz w:val="36"/>
          <w:szCs w:val="36"/>
        </w:rPr>
        <w:t>、D</w:t>
      </w:r>
      <w:r>
        <w:rPr>
          <w:rFonts w:hint="eastAsia" w:ascii="方正小标宋简体" w:hAnsi="方正小标宋简体" w:eastAsia="方正小标宋简体" w:cs="方正小标宋简体"/>
          <w:b w:val="0"/>
          <w:bCs w:val="0"/>
          <w:sz w:val="36"/>
          <w:szCs w:val="36"/>
        </w:rPr>
        <w:t>L4</w:t>
      </w:r>
      <w:r>
        <w:rPr>
          <w:rFonts w:hint="eastAsia" w:ascii="方正小标宋简体" w:hAnsi="方正小标宋简体" w:eastAsia="方正小标宋简体" w:cs="方正小标宋简体"/>
          <w:b w:val="0"/>
          <w:bCs w:val="0"/>
          <w:sz w:val="36"/>
          <w:szCs w:val="36"/>
        </w:rPr>
        <w:t>标段）招标</w:t>
      </w:r>
      <w:r>
        <w:rPr>
          <w:rFonts w:hint="eastAsia" w:ascii="方正小标宋简体" w:hAnsi="方正小标宋简体" w:eastAsia="方正小标宋简体" w:cs="方正小标宋简体"/>
          <w:b w:val="0"/>
          <w:bCs w:val="0"/>
          <w:sz w:val="36"/>
          <w:szCs w:val="36"/>
        </w:rPr>
        <w:t xml:space="preserve">公告 </w:t>
      </w:r>
    </w:p>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关键内容公开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b/>
          <w:sz w:val="28"/>
          <w:szCs w:val="28"/>
        </w:rPr>
      </w:pPr>
      <w:r>
        <w:rPr>
          <w:rFonts w:hint="eastAsia"/>
          <w:b/>
          <w:sz w:val="28"/>
          <w:szCs w:val="28"/>
        </w:rPr>
        <w:t>一、项目概况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招标范围与内容：本招标项目划分为</w:t>
      </w:r>
      <w:r>
        <w:rPr>
          <w:rFonts w:ascii="宋体" w:hAnsi="宋体" w:cs="宋体"/>
          <w:sz w:val="24"/>
        </w:rPr>
        <w:t>2</w:t>
      </w:r>
      <w:r>
        <w:rPr>
          <w:rFonts w:hint="eastAsia" w:ascii="宋体" w:hAnsi="宋体" w:cs="宋体"/>
          <w:sz w:val="24"/>
        </w:rPr>
        <w:t xml:space="preserve">个标段；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第D</w:t>
      </w:r>
      <w:r>
        <w:rPr>
          <w:rFonts w:ascii="宋体" w:hAnsi="宋体" w:cs="宋体"/>
          <w:sz w:val="24"/>
        </w:rPr>
        <w:t>L1</w:t>
      </w:r>
      <w:r>
        <w:rPr>
          <w:rFonts w:hint="eastAsia" w:ascii="宋体" w:hAnsi="宋体" w:cs="宋体"/>
          <w:sz w:val="24"/>
        </w:rPr>
        <w:t>标段：阳城至永济高速公路（G5514）项目招标和采购代理业务；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第D</w:t>
      </w:r>
      <w:r>
        <w:rPr>
          <w:rFonts w:ascii="宋体" w:hAnsi="宋体" w:cs="宋体"/>
          <w:sz w:val="24"/>
        </w:rPr>
        <w:t>L4</w:t>
      </w:r>
      <w:r>
        <w:rPr>
          <w:rFonts w:hint="eastAsia" w:ascii="宋体" w:hAnsi="宋体" w:cs="宋体"/>
          <w:sz w:val="24"/>
        </w:rPr>
        <w:t>标段：朔州至宁武至静乐高速公路（G5911）项目招标和采购代理业务</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宋体" w:hAnsi="宋体" w:cs="宋体"/>
          <w:sz w:val="24"/>
        </w:rPr>
      </w:pPr>
      <w:r>
        <w:rPr>
          <w:rFonts w:hint="eastAsia" w:ascii="宋体" w:hAnsi="宋体" w:cs="宋体"/>
          <w:sz w:val="24"/>
        </w:rPr>
        <w:t>每标段服务内容（包括并不限于未来将1个项目分拆为2个或2个以上项目分段研究、分段实施;承担交通运输部、省委省政府新增国</w:t>
      </w:r>
      <w:bookmarkStart w:id="1" w:name="_GoBack"/>
      <w:bookmarkEnd w:id="1"/>
      <w:r>
        <w:rPr>
          <w:rFonts w:hint="eastAsia" w:ascii="宋体" w:hAnsi="宋体" w:cs="宋体"/>
          <w:sz w:val="24"/>
        </w:rPr>
        <w:t>高网重点项目的招标代理工作）：标段内项目下列内容的招标代理工作：</w:t>
      </w:r>
      <w:r>
        <w:rPr>
          <w:rFonts w:ascii="宋体" w:hAnsi="宋体" w:cs="宋体"/>
          <w:sz w:val="24"/>
        </w:rPr>
        <w:t>①</w:t>
      </w:r>
      <w:r>
        <w:rPr>
          <w:rFonts w:hint="eastAsia" w:ascii="宋体" w:hAnsi="宋体" w:cs="宋体"/>
          <w:sz w:val="24"/>
        </w:rPr>
        <w:t>项目可行性研究报告编制；</w:t>
      </w:r>
      <w:r>
        <w:rPr>
          <w:rFonts w:ascii="宋体" w:hAnsi="宋体" w:cs="宋体"/>
          <w:sz w:val="24"/>
        </w:rPr>
        <w:t>②</w:t>
      </w:r>
      <w:r>
        <w:rPr>
          <w:rFonts w:hint="eastAsia" w:ascii="宋体" w:hAnsi="宋体" w:cs="宋体"/>
          <w:sz w:val="24"/>
        </w:rPr>
        <w:t>可行性研究报告评估审查咨询；</w:t>
      </w:r>
      <w:r>
        <w:rPr>
          <w:rFonts w:ascii="宋体" w:hAnsi="宋体" w:cs="宋体"/>
          <w:sz w:val="24"/>
        </w:rPr>
        <w:t>③</w:t>
      </w:r>
      <w:r>
        <w:rPr>
          <w:rFonts w:hint="eastAsia" w:ascii="宋体" w:hAnsi="宋体" w:cs="宋体"/>
          <w:sz w:val="24"/>
        </w:rPr>
        <w:t>建设项目专项评估咨询；④工程造价咨询；⑤PPP项目前期咨询（含物有所值评价报告编制、财政承受能力论证报告编制、实施方案编制、</w:t>
      </w:r>
      <w:r>
        <w:rPr>
          <w:rFonts w:hint="eastAsia" w:ascii="宋体" w:hAnsi="宋体" w:cs="Arial"/>
          <w:kern w:val="0"/>
          <w:sz w:val="24"/>
        </w:rPr>
        <w:t>社会资本招标代理</w:t>
      </w:r>
      <w:r>
        <w:rPr>
          <w:rFonts w:hint="eastAsia" w:ascii="宋体" w:hAnsi="宋体" w:cs="宋体"/>
          <w:sz w:val="24"/>
        </w:rPr>
        <w:t>、PPP项目合同编制</w:t>
      </w:r>
      <w:r>
        <w:rPr>
          <w:rFonts w:hint="eastAsia" w:ascii="宋体" w:hAnsi="宋体" w:cs="Arial"/>
          <w:kern w:val="0"/>
          <w:sz w:val="24"/>
        </w:rPr>
        <w:t>及合同咨询服务</w:t>
      </w:r>
      <w:r>
        <w:rPr>
          <w:rFonts w:hint="eastAsia" w:ascii="宋体" w:hAnsi="宋体" w:cs="宋体"/>
          <w:sz w:val="24"/>
        </w:rPr>
        <w:t>等）。</w:t>
      </w:r>
    </w:p>
    <w:p>
      <w:pPr>
        <w:rPr>
          <w:b/>
          <w:sz w:val="28"/>
          <w:szCs w:val="28"/>
        </w:rPr>
      </w:pPr>
      <w:r>
        <w:rPr>
          <w:rFonts w:hint="eastAsia"/>
          <w:b/>
          <w:sz w:val="28"/>
          <w:szCs w:val="28"/>
        </w:rPr>
        <w:t>二、对投标人的资格条件要求</w:t>
      </w:r>
    </w:p>
    <w:p>
      <w:pPr>
        <w:spacing w:after="156" w:afterLines="50" w:line="440" w:lineRule="exact"/>
        <w:jc w:val="center"/>
        <w:rPr>
          <w:rFonts w:hint="eastAsia" w:ascii="宋体" w:hAnsi="宋体"/>
          <w:b/>
          <w:bCs/>
          <w:sz w:val="32"/>
          <w:szCs w:val="32"/>
          <w:lang w:val="zh-CN"/>
        </w:rPr>
      </w:pPr>
      <w:r>
        <w:rPr>
          <w:rFonts w:hint="eastAsia" w:ascii="宋体" w:hAnsi="宋体"/>
          <w:b/>
          <w:bCs/>
          <w:sz w:val="32"/>
          <w:szCs w:val="32"/>
          <w:lang w:val="zh-CN"/>
        </w:rPr>
        <w:t>附录1  资格审查条件（</w:t>
      </w:r>
      <w:r>
        <w:rPr>
          <w:rFonts w:hint="eastAsia" w:ascii="宋体" w:hAnsi="宋体"/>
          <w:b/>
          <w:bCs/>
          <w:sz w:val="32"/>
          <w:szCs w:val="32"/>
        </w:rPr>
        <w:t>基本资格要求</w:t>
      </w:r>
      <w:r>
        <w:rPr>
          <w:rFonts w:hint="eastAsia" w:ascii="宋体" w:hAnsi="宋体"/>
          <w:b/>
          <w:bCs/>
          <w:sz w:val="32"/>
          <w:szCs w:val="32"/>
          <w:lang w:val="zh-CN"/>
        </w:rPr>
        <w:t>）</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9060" w:type="dxa"/>
            <w:vAlign w:val="center"/>
          </w:tcPr>
          <w:p>
            <w:pPr>
              <w:spacing w:line="400" w:lineRule="exact"/>
              <w:jc w:val="center"/>
              <w:rPr>
                <w:rFonts w:hint="eastAsia" w:ascii="宋体" w:hAnsi="宋体"/>
                <w:b/>
                <w:sz w:val="24"/>
              </w:rPr>
            </w:pPr>
            <w:r>
              <w:rPr>
                <w:rFonts w:hint="eastAsia" w:ascii="宋体" w:hAnsi="宋体"/>
                <w:b/>
                <w:sz w:val="24"/>
              </w:rPr>
              <w:t>法人资格要求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jc w:val="center"/>
        </w:trPr>
        <w:tc>
          <w:tcPr>
            <w:tcW w:w="9060" w:type="dxa"/>
            <w:vAlign w:val="center"/>
          </w:tcPr>
          <w:p>
            <w:pPr>
              <w:spacing w:line="440" w:lineRule="exact"/>
              <w:ind w:firstLine="420" w:firstLineChars="200"/>
              <w:rPr>
                <w:rFonts w:hint="eastAsia" w:ascii="宋体" w:hAnsi="宋体"/>
                <w:szCs w:val="21"/>
              </w:rPr>
            </w:pPr>
            <w:r>
              <w:rPr>
                <w:rFonts w:hint="eastAsia" w:ascii="宋体" w:hAnsi="宋体"/>
                <w:szCs w:val="21"/>
              </w:rPr>
              <w:t>投标人在中国境内合法注册，具备独立法人资格，具有有效的营业执照，在《中国政府采购网》上登记注册并具备在《中国山西政府采购网》发布信息的资格(投标人账号登录界面截图)。</w:t>
            </w:r>
          </w:p>
        </w:tc>
      </w:tr>
    </w:tbl>
    <w:p>
      <w:pPr>
        <w:spacing w:line="440" w:lineRule="exact"/>
        <w:rPr>
          <w:rFonts w:hint="eastAsia" w:ascii="宋体" w:hAnsi="宋体"/>
          <w:szCs w:val="21"/>
        </w:rPr>
      </w:pPr>
      <w:r>
        <w:rPr>
          <w:rFonts w:ascii="Arial" w:hAnsi="Arial" w:cs="Arial"/>
          <w:b/>
          <w:iCs/>
          <w:snapToGrid w:val="0"/>
          <w:kern w:val="0"/>
          <w:szCs w:val="21"/>
        </w:rPr>
        <w:t>注：</w:t>
      </w:r>
      <w:r>
        <w:rPr>
          <w:rFonts w:hint="eastAsia"/>
          <w:b/>
          <w:szCs w:val="21"/>
        </w:rPr>
        <w:t>投标</w:t>
      </w:r>
      <w:r>
        <w:rPr>
          <w:rFonts w:hint="eastAsia" w:ascii="Arial" w:hAnsi="Arial" w:cs="Arial"/>
          <w:b/>
          <w:iCs/>
          <w:snapToGrid w:val="0"/>
          <w:kern w:val="0"/>
          <w:szCs w:val="21"/>
        </w:rPr>
        <w:t>人</w:t>
      </w:r>
      <w:r>
        <w:rPr>
          <w:rFonts w:ascii="Arial" w:hAnsi="Arial" w:cs="Arial"/>
          <w:b/>
          <w:iCs/>
          <w:snapToGrid w:val="0"/>
          <w:kern w:val="0"/>
          <w:szCs w:val="21"/>
        </w:rPr>
        <w:t>如不满足上述强制性资格</w:t>
      </w:r>
      <w:r>
        <w:rPr>
          <w:rFonts w:hint="eastAsia" w:ascii="Arial" w:hAnsi="Arial" w:cs="Arial"/>
          <w:b/>
          <w:iCs/>
          <w:snapToGrid w:val="0"/>
          <w:kern w:val="0"/>
          <w:szCs w:val="21"/>
        </w:rPr>
        <w:t>标准</w:t>
      </w:r>
      <w:r>
        <w:rPr>
          <w:rFonts w:ascii="Arial" w:hAnsi="Arial" w:cs="Arial"/>
          <w:b/>
          <w:iCs/>
          <w:snapToGrid w:val="0"/>
          <w:kern w:val="0"/>
          <w:szCs w:val="21"/>
        </w:rPr>
        <w:t>中的任何一条，将被认为资格</w:t>
      </w:r>
      <w:r>
        <w:rPr>
          <w:rFonts w:hint="eastAsia" w:ascii="Arial" w:hAnsi="Arial" w:cs="Arial"/>
          <w:b/>
          <w:iCs/>
          <w:snapToGrid w:val="0"/>
          <w:kern w:val="0"/>
          <w:szCs w:val="21"/>
        </w:rPr>
        <w:t>审查</w:t>
      </w:r>
      <w:r>
        <w:rPr>
          <w:rFonts w:ascii="Arial" w:hAnsi="Arial" w:cs="Arial"/>
          <w:b/>
          <w:iCs/>
          <w:snapToGrid w:val="0"/>
          <w:kern w:val="0"/>
          <w:szCs w:val="21"/>
        </w:rPr>
        <w:t>不合格。</w:t>
      </w:r>
    </w:p>
    <w:p>
      <w:pPr>
        <w:spacing w:after="156" w:afterLines="50" w:line="440" w:lineRule="exact"/>
        <w:jc w:val="center"/>
        <w:rPr>
          <w:rFonts w:hint="eastAsia" w:ascii="宋体" w:hAnsi="宋体"/>
          <w:b/>
          <w:bCs/>
          <w:sz w:val="32"/>
          <w:szCs w:val="32"/>
          <w:lang w:val="zh-CN"/>
        </w:rPr>
      </w:pPr>
      <w:r>
        <w:rPr>
          <w:rFonts w:hint="eastAsia" w:ascii="宋体" w:hAnsi="宋体"/>
          <w:b/>
          <w:bCs/>
          <w:sz w:val="32"/>
          <w:szCs w:val="32"/>
          <w:lang w:val="zh-CN"/>
        </w:rPr>
        <w:t>附录2  资格审查条件（财务最低要求）</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060" w:type="dxa"/>
            <w:vAlign w:val="center"/>
          </w:tcPr>
          <w:p>
            <w:pPr>
              <w:spacing w:line="400" w:lineRule="exact"/>
              <w:jc w:val="center"/>
              <w:rPr>
                <w:rFonts w:hint="eastAsia" w:ascii="宋体" w:hAnsi="宋体"/>
                <w:b/>
                <w:sz w:val="24"/>
              </w:rPr>
            </w:pPr>
            <w:r>
              <w:rPr>
                <w:rFonts w:hint="eastAsia" w:ascii="宋体" w:hAnsi="宋体"/>
                <w:b/>
                <w:sz w:val="24"/>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9060" w:type="dxa"/>
            <w:vAlign w:val="center"/>
          </w:tcPr>
          <w:p>
            <w:pPr>
              <w:spacing w:line="400" w:lineRule="exact"/>
              <w:ind w:firstLine="420" w:firstLineChars="200"/>
              <w:rPr>
                <w:rFonts w:hint="eastAsia" w:ascii="宋体" w:hAnsi="宋体"/>
                <w:sz w:val="24"/>
              </w:rPr>
            </w:pPr>
            <w:r>
              <w:rPr>
                <w:rFonts w:hint="eastAsia" w:ascii="宋体" w:hAnsi="宋体"/>
                <w:szCs w:val="21"/>
              </w:rPr>
              <w:t>2020年度或2019年度流动资产与流动负债的比率大于1。</w:t>
            </w:r>
          </w:p>
        </w:tc>
      </w:tr>
    </w:tbl>
    <w:p>
      <w:pPr>
        <w:adjustRightInd w:val="0"/>
        <w:snapToGrid w:val="0"/>
        <w:spacing w:line="480" w:lineRule="exact"/>
        <w:jc w:val="left"/>
        <w:rPr>
          <w:rFonts w:hint="eastAsia" w:ascii="Arial" w:hAnsi="Arial" w:cs="Arial"/>
          <w:b/>
          <w:iCs/>
          <w:snapToGrid w:val="0"/>
          <w:kern w:val="0"/>
          <w:szCs w:val="21"/>
        </w:rPr>
      </w:pPr>
      <w:r>
        <w:rPr>
          <w:rFonts w:ascii="Arial" w:hAnsi="Arial" w:cs="Arial"/>
          <w:b/>
          <w:bCs/>
          <w:iCs/>
          <w:snapToGrid w:val="0"/>
          <w:kern w:val="0"/>
          <w:szCs w:val="21"/>
        </w:rPr>
        <w:t>注：</w:t>
      </w:r>
      <w:r>
        <w:rPr>
          <w:rFonts w:hint="eastAsia" w:ascii="Arial" w:hAnsi="Arial" w:cs="Arial"/>
          <w:b/>
          <w:bCs/>
          <w:iCs/>
          <w:snapToGrid w:val="0"/>
          <w:kern w:val="0"/>
          <w:szCs w:val="21"/>
        </w:rPr>
        <w:t xml:space="preserve">1. </w:t>
      </w:r>
      <w:r>
        <w:rPr>
          <w:rFonts w:hint="eastAsia" w:ascii="Arial" w:hAnsi="Arial" w:cs="Arial"/>
          <w:b/>
          <w:iCs/>
          <w:snapToGrid w:val="0"/>
          <w:kern w:val="0"/>
          <w:szCs w:val="21"/>
        </w:rPr>
        <w:t>附2020年度或2019年度财务审计报告。</w:t>
      </w:r>
    </w:p>
    <w:p>
      <w:pPr>
        <w:adjustRightInd w:val="0"/>
        <w:snapToGrid w:val="0"/>
        <w:spacing w:line="480" w:lineRule="exact"/>
        <w:ind w:firstLine="481" w:firstLineChars="228"/>
        <w:jc w:val="left"/>
        <w:rPr>
          <w:rFonts w:hint="eastAsia" w:ascii="Arial" w:hAnsi="Arial" w:cs="Arial"/>
          <w:b/>
          <w:iCs/>
          <w:snapToGrid w:val="0"/>
          <w:kern w:val="0"/>
          <w:szCs w:val="21"/>
        </w:rPr>
      </w:pPr>
      <w:r>
        <w:rPr>
          <w:rFonts w:hint="eastAsia" w:ascii="Arial" w:hAnsi="Arial" w:cs="Arial"/>
          <w:b/>
          <w:iCs/>
          <w:snapToGrid w:val="0"/>
          <w:kern w:val="0"/>
          <w:szCs w:val="21"/>
        </w:rPr>
        <w:t>2.</w:t>
      </w:r>
      <w:r>
        <w:rPr>
          <w:rFonts w:hint="eastAsia"/>
          <w:b/>
          <w:szCs w:val="21"/>
        </w:rPr>
        <w:t>投标</w:t>
      </w:r>
      <w:r>
        <w:rPr>
          <w:rFonts w:hint="eastAsia" w:ascii="Arial" w:hAnsi="Arial" w:cs="Arial"/>
          <w:b/>
          <w:iCs/>
          <w:snapToGrid w:val="0"/>
          <w:kern w:val="0"/>
          <w:szCs w:val="21"/>
        </w:rPr>
        <w:t>人</w:t>
      </w:r>
      <w:r>
        <w:rPr>
          <w:rFonts w:ascii="Arial" w:hAnsi="Arial" w:cs="Arial"/>
          <w:b/>
          <w:iCs/>
          <w:snapToGrid w:val="0"/>
          <w:kern w:val="0"/>
          <w:szCs w:val="21"/>
        </w:rPr>
        <w:t>如不满足上述强制性资格</w:t>
      </w:r>
      <w:r>
        <w:rPr>
          <w:rFonts w:hint="eastAsia" w:ascii="Arial" w:hAnsi="Arial" w:cs="Arial"/>
          <w:b/>
          <w:iCs/>
          <w:snapToGrid w:val="0"/>
          <w:kern w:val="0"/>
          <w:szCs w:val="21"/>
        </w:rPr>
        <w:t>标准</w:t>
      </w:r>
      <w:r>
        <w:rPr>
          <w:rFonts w:ascii="Arial" w:hAnsi="Arial" w:cs="Arial"/>
          <w:b/>
          <w:iCs/>
          <w:snapToGrid w:val="0"/>
          <w:kern w:val="0"/>
          <w:szCs w:val="21"/>
        </w:rPr>
        <w:t>中的任何一条，将被认为资格</w:t>
      </w:r>
      <w:r>
        <w:rPr>
          <w:rFonts w:hint="eastAsia" w:ascii="Arial" w:hAnsi="Arial" w:cs="Arial"/>
          <w:b/>
          <w:iCs/>
          <w:snapToGrid w:val="0"/>
          <w:kern w:val="0"/>
          <w:szCs w:val="21"/>
        </w:rPr>
        <w:t>审查</w:t>
      </w:r>
      <w:r>
        <w:rPr>
          <w:rFonts w:ascii="Arial" w:hAnsi="Arial" w:cs="Arial"/>
          <w:b/>
          <w:iCs/>
          <w:snapToGrid w:val="0"/>
          <w:kern w:val="0"/>
          <w:szCs w:val="21"/>
        </w:rPr>
        <w:t>不合格。</w:t>
      </w:r>
    </w:p>
    <w:p>
      <w:pPr>
        <w:widowControl/>
        <w:jc w:val="left"/>
        <w:rPr>
          <w:rFonts w:ascii="宋体" w:hAnsi="宋体"/>
          <w:b/>
          <w:bCs/>
          <w:sz w:val="32"/>
          <w:szCs w:val="32"/>
          <w:lang w:val="zh-CN"/>
        </w:rPr>
      </w:pPr>
      <w:r>
        <w:rPr>
          <w:rFonts w:ascii="宋体" w:hAnsi="宋体"/>
          <w:b/>
          <w:bCs/>
          <w:sz w:val="32"/>
          <w:szCs w:val="32"/>
          <w:lang w:val="zh-CN"/>
        </w:rPr>
        <w:br w:type="page"/>
      </w:r>
    </w:p>
    <w:p>
      <w:pPr>
        <w:spacing w:after="156" w:afterLines="50" w:line="440" w:lineRule="exact"/>
        <w:jc w:val="center"/>
        <w:rPr>
          <w:rFonts w:hint="eastAsia" w:ascii="宋体" w:hAnsi="宋体"/>
          <w:b/>
          <w:bCs/>
          <w:sz w:val="32"/>
          <w:szCs w:val="32"/>
          <w:lang w:val="zh-CN"/>
        </w:rPr>
      </w:pPr>
      <w:r>
        <w:rPr>
          <w:rFonts w:hint="eastAsia" w:ascii="宋体" w:hAnsi="宋体"/>
          <w:b/>
          <w:bCs/>
          <w:sz w:val="32"/>
          <w:szCs w:val="32"/>
          <w:lang w:val="zh-CN"/>
        </w:rPr>
        <w:t>附录</w:t>
      </w:r>
      <w:r>
        <w:rPr>
          <w:rFonts w:hint="eastAsia" w:ascii="宋体" w:hAnsi="宋体"/>
          <w:b/>
          <w:bCs/>
          <w:sz w:val="32"/>
          <w:szCs w:val="32"/>
        </w:rPr>
        <w:t>3</w:t>
      </w:r>
      <w:r>
        <w:rPr>
          <w:rFonts w:hint="eastAsia" w:ascii="宋体" w:hAnsi="宋体"/>
          <w:b/>
          <w:bCs/>
          <w:sz w:val="32"/>
          <w:szCs w:val="32"/>
          <w:lang w:val="zh-CN"/>
        </w:rPr>
        <w:t xml:space="preserve">  资格审查条件（业绩最低要求）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9060" w:type="dxa"/>
            <w:vAlign w:val="center"/>
          </w:tcPr>
          <w:p>
            <w:pPr>
              <w:spacing w:line="340" w:lineRule="exact"/>
              <w:jc w:val="center"/>
              <w:rPr>
                <w:rFonts w:ascii="宋体" w:hAnsi="宋体"/>
                <w:b/>
                <w:bCs/>
                <w:kern w:val="0"/>
                <w:sz w:val="24"/>
              </w:rPr>
            </w:pPr>
            <w:r>
              <w:rPr>
                <w:rFonts w:hint="eastAsia" w:ascii="宋体" w:hAnsi="宋体"/>
                <w:b/>
                <w:bCs/>
                <w:kern w:val="0"/>
                <w:sz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6" w:hRule="atLeast"/>
          <w:jc w:val="center"/>
        </w:trPr>
        <w:tc>
          <w:tcPr>
            <w:tcW w:w="9060" w:type="dxa"/>
            <w:vAlign w:val="center"/>
          </w:tcPr>
          <w:p>
            <w:pPr>
              <w:spacing w:line="400" w:lineRule="exact"/>
              <w:ind w:firstLine="420" w:firstLineChars="200"/>
              <w:rPr>
                <w:rFonts w:hint="eastAsia" w:ascii="宋体" w:hAnsi="宋体"/>
                <w:szCs w:val="21"/>
              </w:rPr>
            </w:pPr>
            <w:r>
              <w:rPr>
                <w:rFonts w:hint="eastAsia" w:ascii="宋体" w:hAnsi="宋体"/>
                <w:szCs w:val="21"/>
              </w:rPr>
              <w:t>在近三年内（201</w:t>
            </w:r>
            <w:r>
              <w:rPr>
                <w:rFonts w:ascii="宋体" w:hAnsi="宋体"/>
                <w:szCs w:val="21"/>
              </w:rPr>
              <w:t>8</w:t>
            </w:r>
            <w:r>
              <w:rPr>
                <w:rFonts w:hint="eastAsia" w:ascii="宋体" w:hAnsi="宋体"/>
                <w:szCs w:val="21"/>
              </w:rPr>
              <w:t>年1月1日至投标文件递交截止日，以评标结果公示发布时间为准）成功地完成过以下招标代理业务：</w:t>
            </w:r>
          </w:p>
          <w:p>
            <w:pPr>
              <w:spacing w:line="440" w:lineRule="exact"/>
              <w:ind w:firstLine="420" w:firstLineChars="200"/>
              <w:rPr>
                <w:rFonts w:hint="eastAsia" w:ascii="宋体" w:hAnsi="宋体"/>
                <w:szCs w:val="21"/>
              </w:rPr>
            </w:pPr>
            <w:r>
              <w:rPr>
                <w:rFonts w:hint="eastAsia" w:ascii="宋体" w:hAnsi="宋体"/>
                <w:szCs w:val="21"/>
              </w:rPr>
              <w:t>（1）1项新（改、扩）建高速公路工程可行性研究报告编制咨询单位招标代理业务；</w:t>
            </w:r>
          </w:p>
          <w:p>
            <w:pPr>
              <w:spacing w:line="440" w:lineRule="exact"/>
              <w:ind w:firstLine="420" w:firstLineChars="200"/>
              <w:rPr>
                <w:rFonts w:hint="eastAsia" w:ascii="宋体" w:hAnsi="宋体"/>
                <w:szCs w:val="21"/>
              </w:rPr>
            </w:pPr>
            <w:r>
              <w:rPr>
                <w:rFonts w:hint="eastAsia" w:ascii="宋体" w:hAnsi="宋体"/>
                <w:szCs w:val="21"/>
              </w:rPr>
              <w:t>（2）1项新（改、扩）建高速公路前期咨询服务招标（如：PPP项目前期咨询、环境影响评价、水土保持、项目建议书、社会稳定风险评估、土地预审与选址、土地利用规划、土地复垦、地质灾害危险性评估、地震安全性评价等项目前期咨询中的一项或多项）的招标代理业务。</w:t>
            </w:r>
          </w:p>
          <w:p>
            <w:pPr>
              <w:spacing w:line="400" w:lineRule="exact"/>
              <w:rPr>
                <w:rFonts w:ascii="宋体" w:hAnsi="宋体"/>
                <w:bCs/>
                <w:sz w:val="24"/>
              </w:rPr>
            </w:pPr>
          </w:p>
        </w:tc>
      </w:tr>
    </w:tbl>
    <w:p>
      <w:pPr>
        <w:spacing w:line="380" w:lineRule="exact"/>
        <w:rPr>
          <w:rFonts w:hint="eastAsia" w:ascii="Arial" w:hAnsi="Arial" w:cs="Arial"/>
          <w:b/>
          <w:bCs/>
          <w:iCs/>
          <w:snapToGrid w:val="0"/>
          <w:kern w:val="0"/>
          <w:szCs w:val="21"/>
        </w:rPr>
      </w:pPr>
      <w:r>
        <w:rPr>
          <w:rFonts w:hint="eastAsia" w:ascii="Arial" w:hAnsi="Arial" w:cs="Arial"/>
          <w:b/>
          <w:bCs/>
          <w:iCs/>
          <w:snapToGrid w:val="0"/>
          <w:kern w:val="0"/>
          <w:szCs w:val="21"/>
        </w:rPr>
        <w:t>注：1.已完成项目的招标公告与评标结果公示网站为市级及以上公共资源交易中心、省级及以上发展改革、交通运输或财政行政主管部门的官方网站或其指定网站。</w:t>
      </w:r>
    </w:p>
    <w:p>
      <w:pPr>
        <w:spacing w:line="380" w:lineRule="exact"/>
        <w:ind w:firstLine="413" w:firstLineChars="196"/>
        <w:rPr>
          <w:rFonts w:hint="eastAsia" w:ascii="Arial" w:hAnsi="Arial" w:cs="Arial"/>
          <w:b/>
          <w:bCs/>
          <w:iCs/>
          <w:snapToGrid w:val="0"/>
          <w:kern w:val="0"/>
          <w:szCs w:val="21"/>
        </w:rPr>
      </w:pPr>
      <w:r>
        <w:rPr>
          <w:rFonts w:hint="eastAsia" w:ascii="Arial" w:hAnsi="Arial" w:cs="Arial"/>
          <w:b/>
          <w:bCs/>
          <w:iCs/>
          <w:snapToGrid w:val="0"/>
          <w:kern w:val="0"/>
          <w:szCs w:val="21"/>
        </w:rPr>
        <w:t>2.投标人应提供招标公告和中标结果完整页面截图，如提供的业绩信息在评标过程中网络查询不到或与查询的信息不一致，该项目业绩不予认定。</w:t>
      </w:r>
    </w:p>
    <w:p>
      <w:pPr>
        <w:spacing w:line="380" w:lineRule="exact"/>
        <w:ind w:firstLine="413" w:firstLineChars="196"/>
        <w:rPr>
          <w:rFonts w:hint="eastAsia"/>
          <w:sz w:val="22"/>
          <w:szCs w:val="22"/>
        </w:rPr>
      </w:pPr>
      <w:r>
        <w:rPr>
          <w:rFonts w:hint="eastAsia" w:ascii="Arial" w:hAnsi="Arial" w:cs="Arial"/>
          <w:b/>
          <w:bCs/>
          <w:iCs/>
          <w:snapToGrid w:val="0"/>
          <w:kern w:val="0"/>
          <w:szCs w:val="21"/>
        </w:rPr>
        <w:t>3.</w:t>
      </w:r>
      <w:r>
        <w:rPr>
          <w:rFonts w:hint="eastAsia"/>
          <w:b/>
          <w:sz w:val="22"/>
          <w:szCs w:val="22"/>
        </w:rPr>
        <w:t>投标</w:t>
      </w:r>
      <w:r>
        <w:rPr>
          <w:rFonts w:hint="eastAsia" w:ascii="Arial" w:hAnsi="Arial" w:cs="Arial"/>
          <w:b/>
          <w:iCs/>
          <w:snapToGrid w:val="0"/>
          <w:kern w:val="0"/>
          <w:sz w:val="22"/>
          <w:szCs w:val="22"/>
        </w:rPr>
        <w:t>人</w:t>
      </w:r>
      <w:r>
        <w:rPr>
          <w:rFonts w:ascii="Arial" w:hAnsi="Arial" w:cs="Arial"/>
          <w:b/>
          <w:iCs/>
          <w:snapToGrid w:val="0"/>
          <w:kern w:val="0"/>
          <w:sz w:val="22"/>
          <w:szCs w:val="22"/>
        </w:rPr>
        <w:t>如不满足上述强制性资格</w:t>
      </w:r>
      <w:r>
        <w:rPr>
          <w:rFonts w:hint="eastAsia" w:ascii="Arial" w:hAnsi="Arial" w:cs="Arial"/>
          <w:b/>
          <w:iCs/>
          <w:snapToGrid w:val="0"/>
          <w:kern w:val="0"/>
          <w:sz w:val="22"/>
          <w:szCs w:val="22"/>
        </w:rPr>
        <w:t>标准</w:t>
      </w:r>
      <w:r>
        <w:rPr>
          <w:rFonts w:ascii="Arial" w:hAnsi="Arial" w:cs="Arial"/>
          <w:b/>
          <w:iCs/>
          <w:snapToGrid w:val="0"/>
          <w:kern w:val="0"/>
          <w:sz w:val="22"/>
          <w:szCs w:val="22"/>
        </w:rPr>
        <w:t>中的任何一条，将被认为资格</w:t>
      </w:r>
      <w:r>
        <w:rPr>
          <w:rFonts w:hint="eastAsia" w:ascii="Arial" w:hAnsi="Arial" w:cs="Arial"/>
          <w:b/>
          <w:iCs/>
          <w:snapToGrid w:val="0"/>
          <w:kern w:val="0"/>
          <w:sz w:val="22"/>
          <w:szCs w:val="22"/>
        </w:rPr>
        <w:t>审查</w:t>
      </w:r>
      <w:r>
        <w:rPr>
          <w:rFonts w:ascii="Arial" w:hAnsi="Arial" w:cs="Arial"/>
          <w:b/>
          <w:iCs/>
          <w:snapToGrid w:val="0"/>
          <w:kern w:val="0"/>
          <w:sz w:val="22"/>
          <w:szCs w:val="22"/>
        </w:rPr>
        <w:t>不合格。</w:t>
      </w:r>
    </w:p>
    <w:p>
      <w:pPr>
        <w:spacing w:before="156" w:beforeLines="50" w:line="380" w:lineRule="exact"/>
        <w:ind w:firstLine="2249" w:firstLineChars="700"/>
        <w:rPr>
          <w:rFonts w:ascii="宋体" w:hAnsi="宋体"/>
          <w:b/>
          <w:bCs/>
          <w:sz w:val="32"/>
          <w:szCs w:val="32"/>
          <w:lang w:val="zh-CN"/>
        </w:rPr>
      </w:pPr>
      <w:r>
        <w:rPr>
          <w:rFonts w:hint="eastAsia" w:ascii="宋体" w:hAnsi="宋体"/>
          <w:b/>
          <w:bCs/>
          <w:sz w:val="32"/>
          <w:szCs w:val="32"/>
          <w:lang w:val="zh-CN"/>
        </w:rPr>
        <w:br w:type="page"/>
      </w:r>
      <w:r>
        <w:rPr>
          <w:rFonts w:hint="eastAsia" w:ascii="宋体" w:hAnsi="宋体"/>
          <w:b/>
          <w:bCs/>
          <w:sz w:val="32"/>
          <w:szCs w:val="32"/>
          <w:lang w:val="zh-CN"/>
        </w:rPr>
        <w:t>附录</w:t>
      </w:r>
      <w:r>
        <w:rPr>
          <w:rFonts w:hint="eastAsia" w:ascii="宋体" w:hAnsi="宋体"/>
          <w:b/>
          <w:bCs/>
          <w:sz w:val="32"/>
          <w:szCs w:val="32"/>
        </w:rPr>
        <w:t>4</w:t>
      </w:r>
      <w:r>
        <w:rPr>
          <w:rFonts w:hint="eastAsia" w:ascii="宋体" w:hAnsi="宋体"/>
          <w:b/>
          <w:bCs/>
          <w:sz w:val="32"/>
          <w:szCs w:val="32"/>
          <w:lang w:val="zh-CN"/>
        </w:rPr>
        <w:t xml:space="preserve">  资格审查条件</w:t>
      </w:r>
      <w:r>
        <w:rPr>
          <w:rFonts w:ascii="宋体" w:hAnsi="宋体"/>
          <w:b/>
          <w:bCs/>
          <w:sz w:val="32"/>
          <w:szCs w:val="32"/>
          <w:lang w:val="zh-CN"/>
        </w:rPr>
        <w:t>（</w:t>
      </w:r>
      <w:r>
        <w:rPr>
          <w:rFonts w:hint="eastAsia" w:ascii="宋体" w:hAnsi="宋体"/>
          <w:b/>
          <w:bCs/>
          <w:sz w:val="32"/>
          <w:szCs w:val="32"/>
          <w:lang w:val="zh-CN"/>
        </w:rPr>
        <w:t>信誉最低要求</w:t>
      </w:r>
      <w:r>
        <w:rPr>
          <w:rFonts w:ascii="宋体" w:hAnsi="宋体"/>
          <w:b/>
          <w:bCs/>
          <w:sz w:val="32"/>
          <w:szCs w:val="32"/>
          <w:lang w:val="zh-CN"/>
        </w:rPr>
        <w:t>）</w:t>
      </w:r>
    </w:p>
    <w:tbl>
      <w:tblPr>
        <w:tblStyle w:val="15"/>
        <w:tblW w:w="90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9040" w:type="dxa"/>
            <w:vAlign w:val="center"/>
          </w:tcPr>
          <w:p>
            <w:pPr>
              <w:spacing w:line="400" w:lineRule="atLeast"/>
              <w:jc w:val="center"/>
              <w:rPr>
                <w:rFonts w:ascii="宋体" w:hAnsi="宋体" w:cs="Arial"/>
                <w:snapToGrid w:val="0"/>
                <w:kern w:val="0"/>
                <w:sz w:val="24"/>
              </w:rPr>
            </w:pPr>
            <w:r>
              <w:rPr>
                <w:rFonts w:hint="eastAsia" w:ascii="宋体" w:hAnsi="宋体" w:cs="Arial"/>
                <w:b/>
                <w:bCs/>
                <w:snapToGrid w:val="0"/>
                <w:kern w:val="0"/>
                <w:sz w:val="24"/>
              </w:rPr>
              <w:t xml:space="preserve">信 誉 </w:t>
            </w:r>
            <w:r>
              <w:rPr>
                <w:rFonts w:ascii="宋体" w:hAnsi="宋体" w:cs="Arial"/>
                <w:b/>
                <w:bCs/>
                <w:snapToGrid w:val="0"/>
                <w:kern w:val="0"/>
                <w:sz w:val="24"/>
              </w:rPr>
              <w:t>要</w:t>
            </w:r>
            <w:r>
              <w:rPr>
                <w:rFonts w:hint="eastAsia" w:ascii="宋体" w:hAnsi="宋体" w:cs="Arial"/>
                <w:b/>
                <w:bCs/>
                <w:snapToGrid w:val="0"/>
                <w:kern w:val="0"/>
                <w:sz w:val="24"/>
              </w:rPr>
              <w:t xml:space="preserve"> </w:t>
            </w:r>
            <w:r>
              <w:rPr>
                <w:rFonts w:ascii="宋体" w:hAnsi="宋体" w:cs="Arial"/>
                <w:b/>
                <w:bCs/>
                <w:snapToGrid w:val="0"/>
                <w:kern w:val="0"/>
                <w:sz w:val="24"/>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8" w:hRule="atLeast"/>
          <w:jc w:val="center"/>
        </w:trPr>
        <w:tc>
          <w:tcPr>
            <w:tcW w:w="9040" w:type="dxa"/>
            <w:vAlign w:val="center"/>
          </w:tcPr>
          <w:p>
            <w:pPr>
              <w:pStyle w:val="28"/>
              <w:tabs>
                <w:tab w:val="left" w:pos="1140"/>
                <w:tab w:val="clear" w:pos="1440"/>
              </w:tabs>
              <w:overflowPunct/>
              <w:autoSpaceDE/>
              <w:autoSpaceDN/>
              <w:adjustRightInd/>
              <w:spacing w:before="0" w:line="360" w:lineRule="auto"/>
              <w:ind w:left="40" w:firstLine="0"/>
              <w:textAlignment w:val="auto"/>
              <w:rPr>
                <w:rFonts w:ascii="宋体" w:hAnsi="宋体" w:cs="Arial"/>
                <w:bCs/>
                <w:sz w:val="21"/>
                <w:szCs w:val="21"/>
              </w:rPr>
            </w:pPr>
            <w:r>
              <w:rPr>
                <w:rFonts w:hint="eastAsia" w:ascii="宋体" w:hAnsi="宋体" w:cs="Arial"/>
                <w:bCs/>
                <w:sz w:val="21"/>
                <w:szCs w:val="21"/>
              </w:rPr>
              <w:t>（1）投标人未被省级及以上交通运输主管部门取消招标项目所在地的投标资格且处于有效期内；</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（2）投标人未处于被责令停业、从业资格被暂停或取消、财务被接管或冻结或破产状态；</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（3）投标人不存在进入清算程序，或被宣告破产，或其它丧失履约能力的情形；</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（4）投标人近三年（2018年1月1日至今）未因违法、违规受到国家有关行政主管部门或山西省交通运输厅的通报；</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（5）投标人未因招标代理业务受到国家有关行政主管部门的处罚且处于处罚有效期内；</w:t>
            </w:r>
          </w:p>
          <w:p>
            <w:pPr>
              <w:pStyle w:val="28"/>
              <w:tabs>
                <w:tab w:val="left" w:pos="1140"/>
                <w:tab w:val="clear" w:pos="1440"/>
              </w:tabs>
              <w:overflowPunct/>
              <w:autoSpaceDE/>
              <w:autoSpaceDN/>
              <w:adjustRightInd/>
              <w:spacing w:before="0" w:line="360" w:lineRule="auto"/>
              <w:ind w:left="40" w:firstLine="0"/>
              <w:textAlignment w:val="auto"/>
              <w:rPr>
                <w:rFonts w:ascii="宋体" w:hAnsi="宋体" w:cs="Arial"/>
                <w:bCs/>
                <w:sz w:val="21"/>
                <w:szCs w:val="21"/>
              </w:rPr>
            </w:pPr>
            <w:r>
              <w:rPr>
                <w:rFonts w:hint="eastAsia" w:ascii="宋体" w:hAnsi="宋体" w:cs="Arial"/>
                <w:bCs/>
                <w:sz w:val="21"/>
                <w:szCs w:val="21"/>
              </w:rPr>
              <w:t>（6）投标人在山西省公路建设市场未发生重大违约行为；</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（7）投标人在“国家企业信用信息公示系统（</w:t>
            </w:r>
            <w:r>
              <w:fldChar w:fldCharType="begin"/>
            </w:r>
            <w:r>
              <w:instrText xml:space="preserve"> HYPERLINK "http://www.gsxt.gov.cn/" \h </w:instrText>
            </w:r>
            <w:r>
              <w:fldChar w:fldCharType="separate"/>
            </w:r>
            <w:r>
              <w:rPr>
                <w:rFonts w:hint="eastAsia" w:ascii="宋体" w:hAnsi="宋体" w:cs="Arial"/>
                <w:bCs/>
                <w:sz w:val="21"/>
                <w:szCs w:val="21"/>
              </w:rPr>
              <w:t>http://www.gsxt.gov.cn/</w:t>
            </w:r>
            <w:r>
              <w:rPr>
                <w:rFonts w:hint="eastAsia" w:ascii="宋体" w:hAnsi="宋体" w:cs="Arial"/>
                <w:bCs/>
                <w:sz w:val="21"/>
                <w:szCs w:val="21"/>
              </w:rPr>
              <w:fldChar w:fldCharType="end"/>
            </w:r>
            <w:r>
              <w:rPr>
                <w:rFonts w:hint="eastAsia" w:ascii="宋体" w:hAnsi="宋体" w:cs="Arial"/>
                <w:bCs/>
                <w:sz w:val="21"/>
                <w:szCs w:val="21"/>
              </w:rPr>
              <w:t>）”中未被列入“严重违法失信企业名单（黑名单）”；</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w:t>
            </w:r>
            <w:r>
              <w:rPr>
                <w:rFonts w:ascii="宋体" w:hAnsi="宋体" w:cs="Arial"/>
                <w:bCs/>
                <w:sz w:val="21"/>
                <w:szCs w:val="21"/>
              </w:rPr>
              <w:t>8</w:t>
            </w:r>
            <w:r>
              <w:rPr>
                <w:rFonts w:hint="eastAsia" w:ascii="宋体" w:hAnsi="宋体" w:cs="Arial"/>
                <w:bCs/>
                <w:sz w:val="21"/>
                <w:szCs w:val="21"/>
              </w:rPr>
              <w:t>）投标人在“信用中国”网站（</w:t>
            </w:r>
            <w:r>
              <w:fldChar w:fldCharType="begin"/>
            </w:r>
            <w:r>
              <w:instrText xml:space="preserve"> HYPERLINK "http://www.creditchina.gov.cn/" \h </w:instrText>
            </w:r>
            <w:r>
              <w:fldChar w:fldCharType="separate"/>
            </w:r>
            <w:r>
              <w:rPr>
                <w:rFonts w:hint="eastAsia" w:ascii="宋体" w:hAnsi="宋体" w:cs="Arial"/>
                <w:bCs/>
                <w:sz w:val="21"/>
                <w:szCs w:val="21"/>
              </w:rPr>
              <w:t>http://www.creditchina.gov.cn</w:t>
            </w:r>
            <w:r>
              <w:rPr>
                <w:rFonts w:hint="eastAsia" w:ascii="宋体" w:hAnsi="宋体" w:cs="Arial"/>
                <w:bCs/>
                <w:sz w:val="21"/>
                <w:szCs w:val="21"/>
              </w:rPr>
              <w:fldChar w:fldCharType="end"/>
            </w:r>
            <w:r>
              <w:rPr>
                <w:rFonts w:hint="eastAsia" w:ascii="宋体" w:hAnsi="宋体" w:cs="Arial"/>
                <w:bCs/>
                <w:sz w:val="21"/>
                <w:szCs w:val="21"/>
              </w:rPr>
              <w:t>/）中未被列入“失信被执行人名单”；</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w:t>
            </w:r>
            <w:r>
              <w:rPr>
                <w:rFonts w:ascii="宋体" w:hAnsi="宋体" w:cs="Arial"/>
                <w:bCs/>
                <w:sz w:val="21"/>
                <w:szCs w:val="21"/>
              </w:rPr>
              <w:t>9</w:t>
            </w:r>
            <w:r>
              <w:rPr>
                <w:rFonts w:hint="eastAsia" w:ascii="宋体" w:hAnsi="宋体" w:cs="Arial"/>
                <w:bCs/>
                <w:sz w:val="21"/>
                <w:szCs w:val="21"/>
              </w:rPr>
              <w:t>）投标人及其法定代表人、拟委任的项目负责人在近三年（2018年1月1日至今）内无行贿犯罪行为；</w:t>
            </w:r>
          </w:p>
          <w:p>
            <w:pPr>
              <w:pStyle w:val="28"/>
              <w:tabs>
                <w:tab w:val="left" w:pos="1140"/>
                <w:tab w:val="clear" w:pos="1440"/>
              </w:tabs>
              <w:overflowPunct/>
              <w:autoSpaceDE/>
              <w:autoSpaceDN/>
              <w:adjustRightInd/>
              <w:spacing w:before="0" w:line="360" w:lineRule="auto"/>
              <w:ind w:left="40" w:firstLine="0"/>
              <w:textAlignment w:val="auto"/>
              <w:rPr>
                <w:rFonts w:hint="eastAsia" w:ascii="宋体" w:hAnsi="宋体" w:cs="Arial"/>
                <w:bCs/>
                <w:sz w:val="21"/>
                <w:szCs w:val="21"/>
              </w:rPr>
            </w:pPr>
            <w:r>
              <w:rPr>
                <w:rFonts w:hint="eastAsia" w:ascii="宋体" w:hAnsi="宋体" w:cs="Arial"/>
                <w:bCs/>
                <w:sz w:val="21"/>
                <w:szCs w:val="21"/>
              </w:rPr>
              <w:t>（10）投标人不存在法律法规规定的其他不良状况或不良信用记录。</w:t>
            </w:r>
          </w:p>
          <w:p>
            <w:pPr>
              <w:pStyle w:val="28"/>
              <w:tabs>
                <w:tab w:val="left" w:pos="1140"/>
                <w:tab w:val="clear" w:pos="1440"/>
              </w:tabs>
              <w:overflowPunct/>
              <w:autoSpaceDE/>
              <w:autoSpaceDN/>
              <w:adjustRightInd/>
              <w:spacing w:before="0" w:line="360" w:lineRule="auto"/>
              <w:ind w:left="40" w:firstLine="0"/>
              <w:textAlignment w:val="auto"/>
              <w:rPr>
                <w:rFonts w:ascii="宋体" w:hAnsi="宋体" w:cs="Arial"/>
                <w:bCs/>
                <w:sz w:val="21"/>
                <w:szCs w:val="21"/>
              </w:rPr>
            </w:pPr>
            <w:r>
              <w:rPr>
                <w:rFonts w:ascii="宋体" w:hAnsi="宋体" w:cs="Arial"/>
                <w:bCs/>
                <w:sz w:val="21"/>
                <w:szCs w:val="21"/>
              </w:rPr>
              <w:t>（</w:t>
            </w:r>
            <w:r>
              <w:rPr>
                <w:rFonts w:hint="eastAsia" w:ascii="宋体" w:hAnsi="宋体" w:cs="Arial"/>
                <w:bCs/>
                <w:sz w:val="21"/>
                <w:szCs w:val="21"/>
              </w:rPr>
              <w:t>投标</w:t>
            </w:r>
            <w:r>
              <w:rPr>
                <w:rFonts w:ascii="宋体" w:hAnsi="宋体" w:cs="Arial"/>
                <w:bCs/>
                <w:sz w:val="21"/>
                <w:szCs w:val="21"/>
              </w:rPr>
              <w:t>人如未如实填报，一经查实，立即取消其投标资格）</w:t>
            </w:r>
            <w:r>
              <w:rPr>
                <w:rFonts w:hint="eastAsia" w:ascii="宋体" w:hAnsi="宋体" w:cs="Arial"/>
                <w:bCs/>
                <w:sz w:val="21"/>
                <w:szCs w:val="21"/>
              </w:rPr>
              <w:t>。</w:t>
            </w:r>
          </w:p>
        </w:tc>
      </w:tr>
    </w:tbl>
    <w:p>
      <w:pPr>
        <w:spacing w:after="156" w:afterLines="50" w:line="440" w:lineRule="exact"/>
        <w:jc w:val="center"/>
        <w:rPr>
          <w:rFonts w:hint="eastAsia" w:ascii="Arial" w:hAnsi="Arial" w:cs="Arial"/>
          <w:b/>
          <w:iCs/>
          <w:snapToGrid w:val="0"/>
          <w:kern w:val="0"/>
          <w:szCs w:val="21"/>
        </w:rPr>
      </w:pPr>
      <w:r>
        <w:rPr>
          <w:rFonts w:ascii="Arial" w:hAnsi="Arial" w:cs="Arial"/>
          <w:b/>
          <w:iCs/>
          <w:snapToGrid w:val="0"/>
          <w:kern w:val="0"/>
          <w:szCs w:val="21"/>
        </w:rPr>
        <w:t>注：</w:t>
      </w:r>
      <w:r>
        <w:rPr>
          <w:rFonts w:hint="eastAsia"/>
          <w:b/>
          <w:szCs w:val="21"/>
        </w:rPr>
        <w:t>投标</w:t>
      </w:r>
      <w:r>
        <w:rPr>
          <w:rFonts w:hint="eastAsia" w:ascii="Arial" w:hAnsi="Arial" w:cs="Arial"/>
          <w:b/>
          <w:iCs/>
          <w:snapToGrid w:val="0"/>
          <w:kern w:val="0"/>
          <w:szCs w:val="21"/>
        </w:rPr>
        <w:t>人</w:t>
      </w:r>
      <w:r>
        <w:rPr>
          <w:rFonts w:ascii="Arial" w:hAnsi="Arial" w:cs="Arial"/>
          <w:b/>
          <w:iCs/>
          <w:snapToGrid w:val="0"/>
          <w:kern w:val="0"/>
          <w:szCs w:val="21"/>
        </w:rPr>
        <w:t>如不满足上述强制性资格</w:t>
      </w:r>
      <w:r>
        <w:rPr>
          <w:rFonts w:hint="eastAsia" w:ascii="Arial" w:hAnsi="Arial" w:cs="Arial"/>
          <w:b/>
          <w:iCs/>
          <w:snapToGrid w:val="0"/>
          <w:kern w:val="0"/>
          <w:szCs w:val="21"/>
        </w:rPr>
        <w:t>标准</w:t>
      </w:r>
      <w:r>
        <w:rPr>
          <w:rFonts w:ascii="Arial" w:hAnsi="Arial" w:cs="Arial"/>
          <w:b/>
          <w:iCs/>
          <w:snapToGrid w:val="0"/>
          <w:kern w:val="0"/>
          <w:szCs w:val="21"/>
        </w:rPr>
        <w:t>中的任何一条，将被认为资格</w:t>
      </w:r>
      <w:r>
        <w:rPr>
          <w:rFonts w:hint="eastAsia" w:ascii="Arial" w:hAnsi="Arial" w:cs="Arial"/>
          <w:b/>
          <w:iCs/>
          <w:snapToGrid w:val="0"/>
          <w:kern w:val="0"/>
          <w:szCs w:val="21"/>
        </w:rPr>
        <w:t>审查</w:t>
      </w:r>
      <w:r>
        <w:rPr>
          <w:rFonts w:ascii="Arial" w:hAnsi="Arial" w:cs="Arial"/>
          <w:b/>
          <w:iCs/>
          <w:snapToGrid w:val="0"/>
          <w:kern w:val="0"/>
          <w:szCs w:val="21"/>
        </w:rPr>
        <w:t>不合格。</w:t>
      </w:r>
    </w:p>
    <w:p>
      <w:pPr>
        <w:spacing w:after="156" w:afterLines="50" w:line="440" w:lineRule="exact"/>
        <w:jc w:val="center"/>
        <w:rPr>
          <w:rFonts w:hint="eastAsia" w:ascii="宋体" w:hAnsi="宋体"/>
          <w:b/>
          <w:bCs/>
          <w:sz w:val="32"/>
          <w:szCs w:val="32"/>
          <w:lang w:val="zh-CN"/>
        </w:rPr>
      </w:pPr>
      <w:r>
        <w:rPr>
          <w:rFonts w:hint="eastAsia" w:ascii="宋体" w:hAnsi="宋体"/>
          <w:b/>
          <w:bCs/>
          <w:sz w:val="32"/>
          <w:szCs w:val="32"/>
          <w:lang w:val="zh-CN"/>
        </w:rPr>
        <w:t>附录</w:t>
      </w:r>
      <w:r>
        <w:rPr>
          <w:rFonts w:hint="eastAsia" w:ascii="宋体" w:hAnsi="宋体"/>
          <w:b/>
          <w:bCs/>
          <w:sz w:val="32"/>
          <w:szCs w:val="32"/>
        </w:rPr>
        <w:t>5</w:t>
      </w:r>
      <w:r>
        <w:rPr>
          <w:rFonts w:hint="eastAsia" w:ascii="宋体" w:hAnsi="宋体"/>
          <w:b/>
          <w:bCs/>
          <w:sz w:val="32"/>
          <w:szCs w:val="32"/>
          <w:lang w:val="zh-CN"/>
        </w:rPr>
        <w:t xml:space="preserve">  资格审查条件（主要人员最低要求）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80"/>
        <w:gridCol w:w="7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blHeader/>
          <w:jc w:val="center"/>
        </w:trPr>
        <w:tc>
          <w:tcPr>
            <w:tcW w:w="1129" w:type="dxa"/>
            <w:vAlign w:val="center"/>
          </w:tcPr>
          <w:p>
            <w:pPr>
              <w:spacing w:line="400" w:lineRule="exact"/>
              <w:jc w:val="center"/>
              <w:rPr>
                <w:rFonts w:hint="eastAsia" w:ascii="宋体" w:hAnsi="宋体"/>
                <w:b/>
                <w:szCs w:val="21"/>
              </w:rPr>
            </w:pPr>
            <w:r>
              <w:rPr>
                <w:rFonts w:hint="eastAsia" w:ascii="宋体" w:hAnsi="宋体"/>
                <w:b/>
                <w:szCs w:val="21"/>
              </w:rPr>
              <w:t>人员</w:t>
            </w:r>
          </w:p>
        </w:tc>
        <w:tc>
          <w:tcPr>
            <w:tcW w:w="580" w:type="dxa"/>
            <w:vAlign w:val="center"/>
          </w:tcPr>
          <w:p>
            <w:pPr>
              <w:spacing w:line="400" w:lineRule="exact"/>
              <w:jc w:val="center"/>
              <w:rPr>
                <w:rFonts w:hint="eastAsia" w:ascii="宋体" w:hAnsi="宋体"/>
                <w:b/>
                <w:szCs w:val="21"/>
              </w:rPr>
            </w:pPr>
            <w:r>
              <w:rPr>
                <w:rFonts w:hint="eastAsia" w:ascii="宋体" w:hAnsi="宋体"/>
                <w:b/>
                <w:szCs w:val="21"/>
              </w:rPr>
              <w:t>数量</w:t>
            </w:r>
          </w:p>
        </w:tc>
        <w:tc>
          <w:tcPr>
            <w:tcW w:w="7351" w:type="dxa"/>
            <w:vAlign w:val="center"/>
          </w:tcPr>
          <w:p>
            <w:pPr>
              <w:spacing w:line="400" w:lineRule="exact"/>
              <w:jc w:val="center"/>
              <w:rPr>
                <w:rFonts w:hint="eastAsia" w:ascii="宋体" w:hAnsi="宋体"/>
                <w:b/>
                <w:szCs w:val="21"/>
              </w:rPr>
            </w:pPr>
            <w:r>
              <w:rPr>
                <w:rFonts w:hint="eastAsia" w:ascii="宋体" w:hAnsi="宋体"/>
                <w:b/>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129" w:type="dxa"/>
            <w:vAlign w:val="center"/>
          </w:tcPr>
          <w:p>
            <w:pPr>
              <w:spacing w:line="400" w:lineRule="exact"/>
              <w:jc w:val="center"/>
              <w:rPr>
                <w:rFonts w:hint="eastAsia" w:ascii="宋体" w:hAnsi="宋体"/>
                <w:szCs w:val="21"/>
              </w:rPr>
            </w:pPr>
            <w:r>
              <w:rPr>
                <w:rFonts w:hint="eastAsia" w:ascii="宋体" w:hAnsi="宋体"/>
                <w:szCs w:val="21"/>
              </w:rPr>
              <w:t>项目负责人</w:t>
            </w:r>
          </w:p>
        </w:tc>
        <w:tc>
          <w:tcPr>
            <w:tcW w:w="580" w:type="dxa"/>
            <w:vAlign w:val="center"/>
          </w:tcPr>
          <w:p>
            <w:pPr>
              <w:spacing w:line="400" w:lineRule="exact"/>
              <w:jc w:val="center"/>
              <w:rPr>
                <w:rFonts w:hint="eastAsia" w:ascii="宋体" w:hAnsi="宋体"/>
                <w:szCs w:val="21"/>
              </w:rPr>
            </w:pPr>
            <w:r>
              <w:rPr>
                <w:rFonts w:hint="eastAsia" w:ascii="宋体" w:hAnsi="宋体"/>
                <w:szCs w:val="21"/>
              </w:rPr>
              <w:t>1</w:t>
            </w:r>
          </w:p>
        </w:tc>
        <w:tc>
          <w:tcPr>
            <w:tcW w:w="7351" w:type="dxa"/>
            <w:vAlign w:val="center"/>
          </w:tcPr>
          <w:p>
            <w:pPr>
              <w:spacing w:line="440" w:lineRule="exact"/>
              <w:ind w:firstLine="420" w:firstLineChars="200"/>
              <w:rPr>
                <w:rFonts w:hint="eastAsia" w:ascii="宋体" w:hAnsi="宋体"/>
                <w:szCs w:val="21"/>
              </w:rPr>
            </w:pPr>
            <w:r>
              <w:rPr>
                <w:rFonts w:hint="eastAsia" w:ascii="宋体" w:hAnsi="宋体" w:cs="宋体"/>
                <w:szCs w:val="21"/>
              </w:rPr>
              <w:t>从事招标代理工作5年以上，作为项目负责人，至少完成过1项高速公路前期咨询服务招标工作</w:t>
            </w:r>
            <w:r>
              <w:rPr>
                <w:rFonts w:hint="eastAsia" w:ascii="宋体" w:hAnsi="宋体" w:cs="Arial"/>
                <w:bCs/>
                <w:kern w:val="0"/>
                <w:szCs w:val="21"/>
              </w:rPr>
              <w:t>。</w:t>
            </w:r>
          </w:p>
        </w:tc>
      </w:tr>
    </w:tbl>
    <w:p>
      <w:pPr>
        <w:spacing w:line="380" w:lineRule="exact"/>
        <w:rPr>
          <w:rFonts w:hint="eastAsia" w:ascii="宋体" w:hAnsi="宋体" w:cs="Arial"/>
          <w:b/>
          <w:iCs/>
          <w:snapToGrid w:val="0"/>
          <w:kern w:val="0"/>
          <w:szCs w:val="21"/>
        </w:rPr>
      </w:pPr>
      <w:r>
        <w:rPr>
          <w:rFonts w:ascii="宋体" w:hAnsi="宋体" w:cs="Arial"/>
          <w:b/>
          <w:iCs/>
          <w:snapToGrid w:val="0"/>
          <w:kern w:val="0"/>
          <w:szCs w:val="21"/>
        </w:rPr>
        <w:t>注：</w:t>
      </w:r>
      <w:r>
        <w:rPr>
          <w:rFonts w:hint="eastAsia" w:ascii="宋体" w:hAnsi="宋体" w:cs="Arial"/>
          <w:b/>
          <w:iCs/>
          <w:snapToGrid w:val="0"/>
          <w:kern w:val="0"/>
          <w:szCs w:val="21"/>
        </w:rPr>
        <w:t xml:space="preserve"> 1.本表人员应在表七-（1）中填列并相一致，未在表七-（1）、七-（2）中填写的将不予认定。</w:t>
      </w:r>
    </w:p>
    <w:p>
      <w:pPr>
        <w:spacing w:line="380" w:lineRule="exact"/>
        <w:ind w:firstLine="411" w:firstLineChars="195"/>
        <w:rPr>
          <w:rFonts w:hint="eastAsia" w:ascii="宋体" w:hAnsi="宋体" w:cs="Arial"/>
          <w:b/>
          <w:iCs/>
          <w:snapToGrid w:val="0"/>
          <w:kern w:val="0"/>
          <w:szCs w:val="21"/>
        </w:rPr>
      </w:pPr>
      <w:r>
        <w:rPr>
          <w:rFonts w:hint="eastAsia" w:ascii="宋体" w:hAnsi="宋体" w:cs="Arial"/>
          <w:b/>
          <w:iCs/>
          <w:snapToGrid w:val="0"/>
          <w:kern w:val="0"/>
          <w:szCs w:val="21"/>
        </w:rPr>
        <w:t>2.本表人员资格证书必须在本单位注册。</w:t>
      </w:r>
    </w:p>
    <w:p>
      <w:pPr>
        <w:spacing w:line="380" w:lineRule="exact"/>
        <w:ind w:firstLine="413" w:firstLineChars="196"/>
        <w:rPr>
          <w:rFonts w:hint="eastAsia" w:ascii="宋体" w:hAnsi="宋体" w:cs="Arial"/>
          <w:b/>
          <w:iCs/>
          <w:snapToGrid w:val="0"/>
          <w:kern w:val="0"/>
          <w:sz w:val="24"/>
        </w:rPr>
      </w:pPr>
      <w:r>
        <w:rPr>
          <w:rFonts w:hint="eastAsia" w:ascii="宋体" w:hAnsi="宋体"/>
          <w:b/>
          <w:szCs w:val="21"/>
        </w:rPr>
        <w:t>3.投标</w:t>
      </w:r>
      <w:r>
        <w:rPr>
          <w:rFonts w:hint="eastAsia" w:ascii="宋体" w:hAnsi="宋体" w:cs="Arial"/>
          <w:b/>
          <w:iCs/>
          <w:snapToGrid w:val="0"/>
          <w:kern w:val="0"/>
          <w:szCs w:val="21"/>
        </w:rPr>
        <w:t>人</w:t>
      </w:r>
      <w:r>
        <w:rPr>
          <w:rFonts w:ascii="宋体" w:hAnsi="宋体" w:cs="Arial"/>
          <w:b/>
          <w:iCs/>
          <w:snapToGrid w:val="0"/>
          <w:kern w:val="0"/>
          <w:szCs w:val="21"/>
        </w:rPr>
        <w:t>如不满足上述强制性资格</w:t>
      </w:r>
      <w:r>
        <w:rPr>
          <w:rFonts w:hint="eastAsia" w:ascii="宋体" w:hAnsi="宋体" w:cs="Arial"/>
          <w:b/>
          <w:iCs/>
          <w:snapToGrid w:val="0"/>
          <w:kern w:val="0"/>
          <w:szCs w:val="21"/>
        </w:rPr>
        <w:t>标准</w:t>
      </w:r>
      <w:r>
        <w:rPr>
          <w:rFonts w:ascii="宋体" w:hAnsi="宋体" w:cs="Arial"/>
          <w:b/>
          <w:iCs/>
          <w:snapToGrid w:val="0"/>
          <w:kern w:val="0"/>
          <w:szCs w:val="21"/>
        </w:rPr>
        <w:t>中的任何一条，将被认为资格</w:t>
      </w:r>
      <w:r>
        <w:rPr>
          <w:rFonts w:hint="eastAsia" w:ascii="宋体" w:hAnsi="宋体" w:cs="Arial"/>
          <w:b/>
          <w:iCs/>
          <w:snapToGrid w:val="0"/>
          <w:kern w:val="0"/>
          <w:szCs w:val="21"/>
        </w:rPr>
        <w:t>审查</w:t>
      </w:r>
      <w:r>
        <w:rPr>
          <w:rFonts w:ascii="宋体" w:hAnsi="宋体" w:cs="Arial"/>
          <w:b/>
          <w:iCs/>
          <w:snapToGrid w:val="0"/>
          <w:kern w:val="0"/>
          <w:szCs w:val="21"/>
        </w:rPr>
        <w:t>不合格</w:t>
      </w:r>
      <w:r>
        <w:rPr>
          <w:rFonts w:hint="eastAsia" w:ascii="宋体" w:hAnsi="宋体" w:cs="Arial"/>
          <w:b/>
          <w:iCs/>
          <w:snapToGrid w:val="0"/>
          <w:kern w:val="0"/>
          <w:szCs w:val="21"/>
        </w:rPr>
        <w:t>。</w:t>
      </w:r>
    </w:p>
    <w:p>
      <w:pPr>
        <w:spacing w:line="400" w:lineRule="atLeast"/>
        <w:rPr>
          <w:b/>
          <w:sz w:val="28"/>
          <w:szCs w:val="28"/>
        </w:rPr>
      </w:pPr>
      <w:r>
        <w:rPr>
          <w:b/>
          <w:sz w:val="28"/>
          <w:szCs w:val="28"/>
        </w:rPr>
        <w:br w:type="page"/>
      </w:r>
      <w:r>
        <w:rPr>
          <w:rFonts w:hint="eastAsia"/>
          <w:b/>
          <w:sz w:val="28"/>
          <w:szCs w:val="28"/>
        </w:rPr>
        <w:t>三、评标办法</w:t>
      </w:r>
    </w:p>
    <w:p>
      <w:pPr>
        <w:spacing w:line="440" w:lineRule="exact"/>
        <w:jc w:val="center"/>
        <w:rPr>
          <w:rFonts w:ascii="宋体" w:hAnsi="宋体"/>
          <w:b/>
          <w:bCs/>
          <w:sz w:val="32"/>
          <w:szCs w:val="32"/>
          <w:lang w:val="zh-CN"/>
        </w:rPr>
      </w:pPr>
      <w:bookmarkStart w:id="0" w:name="_Toc450828275"/>
      <w:r>
        <w:rPr>
          <w:rFonts w:hint="eastAsia" w:ascii="宋体" w:hAnsi="宋体"/>
          <w:b/>
          <w:bCs/>
          <w:sz w:val="32"/>
          <w:szCs w:val="32"/>
          <w:lang w:val="zh-CN"/>
        </w:rPr>
        <w:t>评标办法</w:t>
      </w:r>
    </w:p>
    <w:p>
      <w:pPr>
        <w:spacing w:line="400" w:lineRule="exact"/>
        <w:jc w:val="left"/>
        <w:rPr>
          <w:rFonts w:ascii="宋体" w:hAnsi="宋体"/>
          <w:b/>
          <w:sz w:val="30"/>
          <w:szCs w:val="30"/>
        </w:rPr>
      </w:pPr>
      <w:r>
        <w:rPr>
          <w:rFonts w:ascii="宋体" w:hAnsi="宋体"/>
          <w:b/>
          <w:sz w:val="30"/>
          <w:szCs w:val="30"/>
        </w:rPr>
        <w:t>评标办法前附表</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00"/>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blHeader/>
          <w:jc w:val="center"/>
        </w:trPr>
        <w:tc>
          <w:tcPr>
            <w:tcW w:w="2006" w:type="dxa"/>
            <w:gridSpan w:val="2"/>
            <w:vAlign w:val="center"/>
          </w:tcPr>
          <w:p>
            <w:pPr>
              <w:spacing w:line="300" w:lineRule="exact"/>
              <w:jc w:val="center"/>
              <w:rPr>
                <w:rFonts w:hint="eastAsia" w:ascii="宋体" w:hAnsi="宋体"/>
                <w:b/>
                <w:szCs w:val="21"/>
              </w:rPr>
            </w:pPr>
            <w:r>
              <w:rPr>
                <w:rFonts w:hint="eastAsia" w:ascii="宋体" w:hAnsi="宋体"/>
                <w:b/>
                <w:szCs w:val="21"/>
              </w:rPr>
              <w:t>条款号</w:t>
            </w:r>
          </w:p>
        </w:tc>
        <w:tc>
          <w:tcPr>
            <w:tcW w:w="7054" w:type="dxa"/>
            <w:vAlign w:val="center"/>
          </w:tcPr>
          <w:p>
            <w:pPr>
              <w:spacing w:line="300" w:lineRule="exact"/>
              <w:jc w:val="center"/>
              <w:rPr>
                <w:rFonts w:hint="eastAsia" w:ascii="宋体" w:hAnsi="宋体"/>
                <w:b/>
                <w:szCs w:val="21"/>
              </w:rPr>
            </w:pPr>
            <w:r>
              <w:rPr>
                <w:rFonts w:ascii="宋体" w:hAnsi="宋体"/>
                <w:b/>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jc w:val="center"/>
        </w:trPr>
        <w:tc>
          <w:tcPr>
            <w:tcW w:w="906" w:type="dxa"/>
            <w:vAlign w:val="center"/>
          </w:tcPr>
          <w:p>
            <w:pPr>
              <w:spacing w:line="260" w:lineRule="exact"/>
              <w:jc w:val="center"/>
              <w:rPr>
                <w:rFonts w:hint="eastAsia" w:ascii="宋体" w:hAnsi="宋体"/>
                <w:szCs w:val="21"/>
              </w:rPr>
            </w:pPr>
            <w:r>
              <w:rPr>
                <w:rFonts w:hint="eastAsia" w:ascii="宋体" w:hAnsi="宋体"/>
                <w:szCs w:val="21"/>
              </w:rPr>
              <w:t>1</w:t>
            </w:r>
          </w:p>
        </w:tc>
        <w:tc>
          <w:tcPr>
            <w:tcW w:w="1100" w:type="dxa"/>
            <w:vAlign w:val="center"/>
          </w:tcPr>
          <w:p>
            <w:pPr>
              <w:spacing w:line="300" w:lineRule="exact"/>
              <w:jc w:val="center"/>
              <w:rPr>
                <w:rFonts w:hint="eastAsia" w:ascii="宋体" w:hAnsi="宋体"/>
                <w:bCs/>
                <w:szCs w:val="21"/>
              </w:rPr>
            </w:pPr>
            <w:r>
              <w:rPr>
                <w:rFonts w:hint="eastAsia" w:ascii="宋体" w:hAnsi="宋体"/>
                <w:bCs/>
                <w:szCs w:val="21"/>
              </w:rPr>
              <w:t>评标</w:t>
            </w:r>
          </w:p>
          <w:p>
            <w:pPr>
              <w:spacing w:line="300" w:lineRule="exact"/>
              <w:jc w:val="center"/>
              <w:rPr>
                <w:rFonts w:ascii="宋体" w:hAnsi="宋体"/>
                <w:bCs/>
                <w:szCs w:val="21"/>
              </w:rPr>
            </w:pPr>
            <w:r>
              <w:rPr>
                <w:rFonts w:hint="eastAsia" w:ascii="宋体" w:hAnsi="宋体"/>
                <w:bCs/>
                <w:szCs w:val="21"/>
              </w:rPr>
              <w:t>方法</w:t>
            </w:r>
          </w:p>
        </w:tc>
        <w:tc>
          <w:tcPr>
            <w:tcW w:w="7054" w:type="dxa"/>
            <w:vAlign w:val="center"/>
          </w:tcPr>
          <w:p>
            <w:pPr>
              <w:spacing w:line="300" w:lineRule="exact"/>
              <w:ind w:firstLine="420"/>
              <w:jc w:val="left"/>
              <w:rPr>
                <w:rFonts w:hint="eastAsia" w:ascii="宋体" w:hAnsi="宋体" w:cs="宋体"/>
                <w:bCs/>
                <w:color w:val="000000"/>
                <w:szCs w:val="21"/>
              </w:rPr>
            </w:pPr>
            <w:r>
              <w:rPr>
                <w:rFonts w:hint="eastAsia" w:ascii="宋体" w:hAnsi="宋体"/>
                <w:bCs/>
                <w:color w:val="000000"/>
                <w:szCs w:val="21"/>
              </w:rPr>
              <w:t>技术评分最低标价法。</w:t>
            </w:r>
            <w:r>
              <w:rPr>
                <w:rFonts w:hint="eastAsia" w:ascii="宋体" w:hAnsi="宋体" w:cs="宋体"/>
                <w:bCs/>
                <w:color w:val="000000"/>
                <w:szCs w:val="21"/>
              </w:rPr>
              <w:t>技术评分最低标价法，对通过初步评审的投标人的业绩、拟投入的主要人员资历、履约信誉等客观因素进行评分，按照综合得分由高到低排名；</w:t>
            </w:r>
            <w:r>
              <w:rPr>
                <w:rFonts w:hint="eastAsia" w:ascii="宋体" w:hAnsi="宋体"/>
                <w:bCs/>
                <w:color w:val="000000"/>
                <w:szCs w:val="21"/>
              </w:rPr>
              <w:t>若综合得分相同时，以技术评分（类似业绩和技术能力分数之和）高者优先；若技术评分（类似业绩和技术能力分数之和）相同时，以技术能力评分高者优先；若技术能力得分相同时，以最终投标文件上传至电子交易平台早的投标人优先。</w:t>
            </w:r>
            <w:r>
              <w:rPr>
                <w:rFonts w:hint="eastAsia" w:ascii="宋体" w:hAnsi="宋体" w:cs="宋体"/>
                <w:bCs/>
                <w:color w:val="000000"/>
                <w:szCs w:val="21"/>
                <w:lang w:val="zh-CN"/>
              </w:rPr>
              <w:t>对综合得分排名在</w:t>
            </w:r>
            <w:r>
              <w:rPr>
                <w:rFonts w:hint="eastAsia" w:ascii="宋体" w:hAnsi="宋体" w:cs="宋体"/>
                <w:bCs/>
                <w:color w:val="000000"/>
                <w:szCs w:val="21"/>
              </w:rPr>
              <w:t>抽取</w:t>
            </w:r>
            <w:r>
              <w:rPr>
                <w:rFonts w:hint="eastAsia" w:ascii="宋体" w:hAnsi="宋体" w:cs="宋体"/>
                <w:bCs/>
                <w:color w:val="000000"/>
                <w:szCs w:val="21"/>
                <w:lang w:val="zh-CN"/>
              </w:rPr>
              <w:t>数量以内（现场随机抽取确定</w:t>
            </w:r>
            <w:r>
              <w:rPr>
                <w:rFonts w:hint="eastAsia" w:ascii="宋体" w:hAnsi="宋体" w:cs="宋体"/>
                <w:bCs/>
                <w:color w:val="000000"/>
                <w:szCs w:val="21"/>
              </w:rPr>
              <w:t>3或4或5名</w:t>
            </w:r>
            <w:r>
              <w:rPr>
                <w:rFonts w:hint="eastAsia" w:ascii="宋体" w:hAnsi="宋体" w:cs="宋体"/>
                <w:bCs/>
                <w:color w:val="000000"/>
                <w:szCs w:val="21"/>
                <w:lang w:val="zh-CN"/>
              </w:rPr>
              <w:t>）的投标人</w:t>
            </w:r>
            <w:r>
              <w:rPr>
                <w:rFonts w:hint="eastAsia" w:ascii="宋体" w:hAnsi="宋体" w:cs="宋体"/>
                <w:bCs/>
                <w:color w:val="000000"/>
                <w:szCs w:val="21"/>
              </w:rPr>
              <w:t>的报价文件进行评审，按照评标价由低到高排序，推荐中标候选人。</w:t>
            </w:r>
          </w:p>
          <w:p>
            <w:pPr>
              <w:spacing w:line="300" w:lineRule="exact"/>
              <w:ind w:firstLine="420"/>
              <w:jc w:val="left"/>
              <w:rPr>
                <w:rFonts w:hint="eastAsia" w:ascii="宋体" w:hAnsi="宋体"/>
                <w:bCs/>
                <w:szCs w:val="21"/>
              </w:rPr>
            </w:pPr>
            <w:r>
              <w:rPr>
                <w:rFonts w:hint="eastAsia" w:ascii="宋体" w:hAnsi="宋体" w:cs="宋体"/>
                <w:bCs/>
                <w:color w:val="000000"/>
                <w:szCs w:val="21"/>
              </w:rPr>
              <w:t>若多名投标人评标价相同时，</w:t>
            </w:r>
            <w:r>
              <w:rPr>
                <w:rFonts w:hint="eastAsia" w:ascii="宋体" w:hAnsi="宋体"/>
                <w:bCs/>
                <w:color w:val="000000"/>
                <w:szCs w:val="21"/>
              </w:rPr>
              <w:t>以综合得分最高者优先。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06" w:type="dxa"/>
            <w:vAlign w:val="center"/>
          </w:tcPr>
          <w:p>
            <w:pPr>
              <w:spacing w:line="260" w:lineRule="exact"/>
              <w:jc w:val="center"/>
              <w:rPr>
                <w:rFonts w:hint="eastAsia" w:ascii="宋体" w:hAnsi="宋体"/>
                <w:szCs w:val="21"/>
              </w:rPr>
            </w:pPr>
            <w:r>
              <w:rPr>
                <w:rFonts w:hint="eastAsia" w:ascii="宋体" w:hAnsi="宋体"/>
                <w:szCs w:val="21"/>
              </w:rPr>
              <w:t>2.1.1</w:t>
            </w:r>
          </w:p>
          <w:p>
            <w:pPr>
              <w:spacing w:line="260" w:lineRule="exact"/>
              <w:jc w:val="center"/>
              <w:rPr>
                <w:rFonts w:hint="eastAsia" w:ascii="宋体" w:hAnsi="宋体"/>
                <w:szCs w:val="21"/>
              </w:rPr>
            </w:pPr>
            <w:r>
              <w:rPr>
                <w:rFonts w:hint="eastAsia" w:ascii="宋体" w:hAnsi="宋体"/>
                <w:szCs w:val="21"/>
              </w:rPr>
              <w:t>2.1.3</w:t>
            </w:r>
          </w:p>
        </w:tc>
        <w:tc>
          <w:tcPr>
            <w:tcW w:w="1100" w:type="dxa"/>
            <w:vAlign w:val="center"/>
          </w:tcPr>
          <w:p>
            <w:pPr>
              <w:spacing w:line="300" w:lineRule="exact"/>
              <w:jc w:val="center"/>
              <w:rPr>
                <w:rFonts w:hint="eastAsia" w:ascii="宋体" w:hAnsi="宋体"/>
                <w:szCs w:val="21"/>
              </w:rPr>
            </w:pPr>
            <w:r>
              <w:rPr>
                <w:rFonts w:hint="eastAsia" w:ascii="宋体" w:hAnsi="宋体"/>
                <w:szCs w:val="21"/>
              </w:rPr>
              <w:t>形式评审与响应性评审标准（第一个信封）</w:t>
            </w:r>
          </w:p>
        </w:tc>
        <w:tc>
          <w:tcPr>
            <w:tcW w:w="7054" w:type="dxa"/>
            <w:vAlign w:val="center"/>
          </w:tcPr>
          <w:p>
            <w:pPr>
              <w:spacing w:line="400" w:lineRule="exact"/>
              <w:ind w:firstLine="210" w:firstLineChars="100"/>
              <w:jc w:val="left"/>
              <w:rPr>
                <w:rFonts w:hint="eastAsia" w:ascii="宋体" w:hAnsi="宋体"/>
                <w:szCs w:val="21"/>
              </w:rPr>
            </w:pPr>
            <w:r>
              <w:rPr>
                <w:rFonts w:hint="eastAsia" w:ascii="宋体" w:hAnsi="宋体"/>
                <w:szCs w:val="21"/>
              </w:rPr>
              <w:t>（1）电子投标文件满足招标文件第二章</w:t>
            </w:r>
            <w:r>
              <w:rPr>
                <w:rFonts w:ascii="宋体" w:hAnsi="宋体"/>
                <w:szCs w:val="21"/>
              </w:rPr>
              <w:t>“</w:t>
            </w:r>
            <w:r>
              <w:rPr>
                <w:rFonts w:hint="eastAsia" w:ascii="宋体" w:hAnsi="宋体"/>
                <w:szCs w:val="21"/>
              </w:rPr>
              <w:t>投标人须知</w:t>
            </w:r>
            <w:r>
              <w:rPr>
                <w:rFonts w:ascii="宋体" w:hAnsi="宋体"/>
                <w:szCs w:val="21"/>
              </w:rPr>
              <w:t>”</w:t>
            </w:r>
            <w:r>
              <w:rPr>
                <w:rFonts w:hint="eastAsia" w:ascii="宋体" w:hAnsi="宋体"/>
                <w:szCs w:val="21"/>
              </w:rPr>
              <w:t>第</w:t>
            </w:r>
            <w:r>
              <w:rPr>
                <w:rFonts w:ascii="宋体" w:hAnsi="宋体"/>
                <w:szCs w:val="21"/>
              </w:rPr>
              <w:t>3</w:t>
            </w:r>
            <w:r>
              <w:rPr>
                <w:rFonts w:hint="eastAsia" w:ascii="宋体" w:hAnsi="宋体"/>
                <w:szCs w:val="21"/>
              </w:rPr>
              <w:t>条规定；</w:t>
            </w:r>
          </w:p>
          <w:p>
            <w:pPr>
              <w:spacing w:line="400" w:lineRule="exact"/>
              <w:ind w:firstLine="210" w:firstLineChars="100"/>
              <w:jc w:val="left"/>
              <w:rPr>
                <w:rFonts w:hint="eastAsia" w:ascii="宋体" w:hAnsi="宋体"/>
                <w:szCs w:val="21"/>
              </w:rPr>
            </w:pPr>
            <w:r>
              <w:rPr>
                <w:rFonts w:hint="eastAsia" w:ascii="宋体" w:hAnsi="宋体"/>
                <w:szCs w:val="21"/>
              </w:rPr>
              <w:t>（2）投标人名称与营业执照和基本账户开户许可证或基本存款账户信息上载明的相一致，提供的复印件清晰可辨；</w:t>
            </w:r>
          </w:p>
          <w:p>
            <w:pPr>
              <w:spacing w:line="400" w:lineRule="exact"/>
              <w:ind w:firstLine="210" w:firstLineChars="100"/>
              <w:jc w:val="left"/>
              <w:rPr>
                <w:rFonts w:hint="eastAsia" w:ascii="宋体" w:hAnsi="宋体"/>
                <w:szCs w:val="21"/>
              </w:rPr>
            </w:pPr>
            <w:r>
              <w:rPr>
                <w:rFonts w:hint="eastAsia" w:ascii="宋体" w:hAnsi="宋体"/>
                <w:szCs w:val="21"/>
              </w:rPr>
              <w:t>（3）第一个信封（商务及技术文件）按照招标文件规定的格式、内容填写，字迹清晰可辨：</w:t>
            </w:r>
          </w:p>
          <w:p>
            <w:pPr>
              <w:spacing w:line="400" w:lineRule="exact"/>
              <w:ind w:firstLine="210" w:firstLineChars="100"/>
              <w:jc w:val="left"/>
              <w:rPr>
                <w:rFonts w:hint="eastAsia" w:ascii="宋体" w:hAnsi="宋体"/>
                <w:szCs w:val="21"/>
              </w:rPr>
            </w:pPr>
            <w:r>
              <w:rPr>
                <w:rFonts w:hint="eastAsia" w:ascii="宋体" w:hAnsi="宋体"/>
                <w:szCs w:val="21"/>
              </w:rPr>
              <w:t>a.投标函按招标文件规定填报了项目名称、标段号、补遗书编号（如有）、项目负责人；</w:t>
            </w:r>
          </w:p>
          <w:p>
            <w:pPr>
              <w:spacing w:line="400" w:lineRule="exact"/>
              <w:ind w:firstLine="210" w:firstLineChars="100"/>
              <w:jc w:val="left"/>
              <w:rPr>
                <w:rFonts w:hint="eastAsia" w:ascii="宋体" w:hAnsi="宋体"/>
                <w:szCs w:val="21"/>
              </w:rPr>
            </w:pPr>
            <w:r>
              <w:rPr>
                <w:rFonts w:hint="eastAsia" w:ascii="宋体" w:hAnsi="宋体"/>
                <w:szCs w:val="21"/>
              </w:rPr>
              <w:t>b.第一个信封（商务及技术文件）内容齐全完整，内容均按规定填写；</w:t>
            </w:r>
          </w:p>
          <w:p>
            <w:pPr>
              <w:spacing w:line="400" w:lineRule="exact"/>
              <w:ind w:firstLine="210" w:firstLineChars="100"/>
              <w:jc w:val="left"/>
              <w:rPr>
                <w:rFonts w:hint="eastAsia" w:ascii="宋体" w:hAnsi="宋体"/>
                <w:szCs w:val="21"/>
              </w:rPr>
            </w:pPr>
            <w:r>
              <w:rPr>
                <w:rFonts w:hint="eastAsia" w:ascii="宋体" w:hAnsi="宋体"/>
                <w:szCs w:val="21"/>
              </w:rPr>
              <w:t>c.按规定提供了拟投入主要人员的证件复印件，证件清晰可辨、有效。</w:t>
            </w:r>
          </w:p>
          <w:p>
            <w:pPr>
              <w:spacing w:line="400" w:lineRule="exact"/>
              <w:ind w:firstLine="210" w:firstLineChars="100"/>
              <w:jc w:val="left"/>
              <w:rPr>
                <w:rFonts w:hint="eastAsia" w:ascii="宋体" w:hAnsi="宋体"/>
                <w:szCs w:val="21"/>
              </w:rPr>
            </w:pPr>
            <w:r>
              <w:rPr>
                <w:rFonts w:hint="eastAsia" w:ascii="宋体" w:hAnsi="宋体"/>
                <w:szCs w:val="21"/>
              </w:rPr>
              <w:t>（4）投标文件上法定代表人的电子签名、投标人单位的电子签章齐全，符合招标文件规定；</w:t>
            </w:r>
          </w:p>
          <w:p>
            <w:pPr>
              <w:spacing w:line="400" w:lineRule="exact"/>
              <w:ind w:firstLine="210" w:firstLineChars="100"/>
              <w:jc w:val="left"/>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）提供了法定代表人身份证明；</w:t>
            </w:r>
          </w:p>
          <w:p>
            <w:pPr>
              <w:spacing w:line="400" w:lineRule="exact"/>
              <w:ind w:firstLine="210" w:firstLineChars="100"/>
              <w:jc w:val="left"/>
              <w:rPr>
                <w:rFonts w:hint="eastAsia" w:ascii="宋体" w:hAnsi="宋体"/>
                <w:szCs w:val="21"/>
              </w:rPr>
            </w:pPr>
            <w:r>
              <w:rPr>
                <w:rFonts w:hint="eastAsia" w:ascii="宋体" w:hAnsi="宋体"/>
                <w:szCs w:val="21"/>
              </w:rPr>
              <w:t>（</w:t>
            </w:r>
            <w:r>
              <w:rPr>
                <w:rFonts w:ascii="宋体" w:hAnsi="宋体"/>
                <w:szCs w:val="21"/>
              </w:rPr>
              <w:t>6</w:t>
            </w:r>
            <w:r>
              <w:rPr>
                <w:rFonts w:hint="eastAsia" w:ascii="宋体" w:hAnsi="宋体"/>
                <w:szCs w:val="21"/>
              </w:rPr>
              <w:t>）同一投标人未提交两个以上不同的投标文件；</w:t>
            </w:r>
          </w:p>
          <w:p>
            <w:pPr>
              <w:spacing w:line="400" w:lineRule="exact"/>
              <w:ind w:firstLine="210" w:firstLineChars="100"/>
              <w:jc w:val="left"/>
              <w:rPr>
                <w:rFonts w:hint="eastAsia" w:ascii="宋体" w:hAnsi="宋体"/>
                <w:szCs w:val="21"/>
              </w:rPr>
            </w:pPr>
            <w:r>
              <w:rPr>
                <w:rFonts w:hint="eastAsia" w:ascii="宋体" w:hAnsi="宋体"/>
                <w:szCs w:val="21"/>
              </w:rPr>
              <w:t>（</w:t>
            </w:r>
            <w:r>
              <w:rPr>
                <w:rFonts w:ascii="宋体" w:hAnsi="宋体"/>
                <w:szCs w:val="21"/>
              </w:rPr>
              <w:t>7</w:t>
            </w:r>
            <w:r>
              <w:rPr>
                <w:rFonts w:hint="eastAsia" w:ascii="宋体" w:hAnsi="宋体"/>
                <w:szCs w:val="21"/>
              </w:rPr>
              <w:t>）第一个信封（商务及技术文件）中未出现有关投标报价的内容；</w:t>
            </w:r>
          </w:p>
          <w:p>
            <w:pPr>
              <w:spacing w:line="400" w:lineRule="exact"/>
              <w:ind w:firstLine="210" w:firstLineChars="100"/>
              <w:jc w:val="left"/>
              <w:rPr>
                <w:rFonts w:hint="eastAsia" w:ascii="宋体" w:hAnsi="宋体"/>
                <w:szCs w:val="21"/>
              </w:rPr>
            </w:pPr>
            <w:r>
              <w:rPr>
                <w:rFonts w:hint="eastAsia" w:ascii="宋体" w:hAnsi="宋体"/>
                <w:szCs w:val="21"/>
              </w:rPr>
              <w:t>（8）第一个信封（商务及技术文件）载明的服务期限与招标文件规定的时限一致；</w:t>
            </w:r>
          </w:p>
          <w:p>
            <w:pPr>
              <w:spacing w:line="400" w:lineRule="exact"/>
              <w:ind w:firstLine="210" w:firstLineChars="100"/>
              <w:jc w:val="left"/>
              <w:rPr>
                <w:rFonts w:hint="eastAsia" w:ascii="宋体" w:hAnsi="宋体"/>
                <w:szCs w:val="21"/>
              </w:rPr>
            </w:pPr>
            <w:r>
              <w:rPr>
                <w:rFonts w:hint="eastAsia" w:ascii="宋体" w:hAnsi="宋体"/>
                <w:szCs w:val="21"/>
              </w:rPr>
              <w:t>（</w:t>
            </w:r>
            <w:r>
              <w:rPr>
                <w:rFonts w:ascii="宋体" w:hAnsi="宋体"/>
                <w:szCs w:val="21"/>
              </w:rPr>
              <w:t>9</w:t>
            </w:r>
            <w:r>
              <w:rPr>
                <w:rFonts w:hint="eastAsia" w:ascii="宋体" w:hAnsi="宋体"/>
                <w:szCs w:val="21"/>
              </w:rPr>
              <w:t>）第一个信封（商务及技术文件）对招标文件的实质性要求和条件作出响应；</w:t>
            </w:r>
          </w:p>
          <w:p>
            <w:pPr>
              <w:spacing w:line="400" w:lineRule="exact"/>
              <w:ind w:firstLine="210" w:firstLineChars="100"/>
              <w:jc w:val="left"/>
              <w:rPr>
                <w:rFonts w:hint="eastAsia" w:ascii="宋体" w:hAnsi="宋体"/>
                <w:szCs w:val="21"/>
              </w:rPr>
            </w:pPr>
            <w:r>
              <w:rPr>
                <w:rFonts w:hint="eastAsia" w:ascii="宋体" w:hAnsi="宋体"/>
                <w:szCs w:val="21"/>
              </w:rPr>
              <w:t>（1</w:t>
            </w:r>
            <w:r>
              <w:rPr>
                <w:rFonts w:ascii="宋体" w:hAnsi="宋体"/>
                <w:szCs w:val="21"/>
              </w:rPr>
              <w:t>0</w:t>
            </w:r>
            <w:r>
              <w:rPr>
                <w:rFonts w:hint="eastAsia" w:ascii="宋体" w:hAnsi="宋体"/>
                <w:szCs w:val="21"/>
              </w:rPr>
              <w:t>）权利义务符合招标文件规定：</w:t>
            </w:r>
          </w:p>
          <w:p>
            <w:pPr>
              <w:spacing w:line="400" w:lineRule="exact"/>
              <w:ind w:firstLine="210" w:firstLineChars="100"/>
              <w:jc w:val="left"/>
              <w:rPr>
                <w:rFonts w:hint="eastAsia" w:ascii="宋体" w:hAnsi="宋体"/>
                <w:szCs w:val="21"/>
              </w:rPr>
            </w:pPr>
            <w:r>
              <w:rPr>
                <w:rFonts w:hint="eastAsia" w:ascii="宋体" w:hAnsi="宋体"/>
                <w:szCs w:val="21"/>
              </w:rPr>
              <w:t>a.投标人应接受招标文件规定的风险划分原则，未提出新的风险划分办法；</w:t>
            </w:r>
          </w:p>
          <w:p>
            <w:pPr>
              <w:spacing w:line="400" w:lineRule="exact"/>
              <w:ind w:firstLine="210" w:firstLineChars="100"/>
              <w:jc w:val="left"/>
              <w:rPr>
                <w:rFonts w:hint="eastAsia" w:ascii="宋体" w:hAnsi="宋体"/>
                <w:szCs w:val="21"/>
              </w:rPr>
            </w:pPr>
            <w:r>
              <w:rPr>
                <w:rFonts w:hint="eastAsia" w:ascii="宋体" w:hAnsi="宋体"/>
                <w:szCs w:val="21"/>
              </w:rPr>
              <w:t>b.投标人未增加发包人的责任范围，或减少投标人义务；</w:t>
            </w:r>
          </w:p>
          <w:p>
            <w:pPr>
              <w:spacing w:line="400" w:lineRule="exact"/>
              <w:ind w:firstLine="210" w:firstLineChars="100"/>
              <w:jc w:val="left"/>
              <w:rPr>
                <w:rFonts w:hint="eastAsia" w:ascii="宋体" w:hAnsi="宋体"/>
                <w:szCs w:val="21"/>
              </w:rPr>
            </w:pPr>
            <w:r>
              <w:rPr>
                <w:rFonts w:hint="eastAsia" w:ascii="宋体" w:hAnsi="宋体"/>
                <w:szCs w:val="21"/>
              </w:rPr>
              <w:t>c.投标人未提出不同的支付办法；</w:t>
            </w:r>
          </w:p>
          <w:p>
            <w:pPr>
              <w:spacing w:line="400" w:lineRule="exact"/>
              <w:ind w:firstLine="210" w:firstLineChars="100"/>
              <w:jc w:val="left"/>
              <w:rPr>
                <w:rFonts w:hint="eastAsia" w:ascii="宋体" w:hAnsi="宋体"/>
                <w:szCs w:val="21"/>
              </w:rPr>
            </w:pPr>
            <w:r>
              <w:rPr>
                <w:rFonts w:hint="eastAsia" w:ascii="宋体" w:hAnsi="宋体"/>
                <w:szCs w:val="21"/>
              </w:rPr>
              <w:t>d.投标人对合同纠纷、事故处理办法未提出异议；</w:t>
            </w:r>
          </w:p>
          <w:p>
            <w:pPr>
              <w:spacing w:line="400" w:lineRule="exact"/>
              <w:ind w:firstLine="210" w:firstLineChars="100"/>
              <w:jc w:val="left"/>
              <w:rPr>
                <w:rFonts w:hint="eastAsia" w:ascii="宋体" w:hAnsi="宋体"/>
                <w:szCs w:val="21"/>
              </w:rPr>
            </w:pPr>
            <w:r>
              <w:rPr>
                <w:rFonts w:hint="eastAsia" w:ascii="宋体" w:hAnsi="宋体"/>
                <w:szCs w:val="21"/>
              </w:rPr>
              <w:t>e.投标人在投标活动中无欺诈行为；</w:t>
            </w:r>
          </w:p>
          <w:p>
            <w:pPr>
              <w:spacing w:line="400" w:lineRule="exact"/>
              <w:ind w:firstLine="210" w:firstLineChars="100"/>
              <w:jc w:val="left"/>
              <w:rPr>
                <w:rFonts w:hint="eastAsia" w:ascii="宋体" w:hAnsi="宋体"/>
                <w:szCs w:val="21"/>
              </w:rPr>
            </w:pPr>
            <w:r>
              <w:rPr>
                <w:rFonts w:hint="eastAsia" w:ascii="宋体" w:hAnsi="宋体"/>
                <w:szCs w:val="21"/>
              </w:rPr>
              <w:t>f.投标人未对合同条款有重要保留。</w:t>
            </w:r>
          </w:p>
          <w:p>
            <w:pPr>
              <w:spacing w:line="400" w:lineRule="exact"/>
              <w:ind w:firstLine="210" w:firstLineChars="100"/>
              <w:jc w:val="left"/>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）投标人技术能力和以往履约信誉符合招标文件的规定，不得存在以下问题。存在以下问题之一的，属于重大偏差：</w:t>
            </w:r>
          </w:p>
          <w:p>
            <w:pPr>
              <w:spacing w:line="400" w:lineRule="exact"/>
              <w:ind w:firstLine="210" w:firstLineChars="100"/>
              <w:jc w:val="left"/>
              <w:rPr>
                <w:rFonts w:hint="eastAsia" w:ascii="宋体" w:hAnsi="宋体"/>
                <w:szCs w:val="21"/>
              </w:rPr>
            </w:pPr>
            <w:r>
              <w:rPr>
                <w:rFonts w:hint="eastAsia" w:ascii="宋体" w:hAnsi="宋体"/>
                <w:szCs w:val="21"/>
              </w:rPr>
              <w:t>a.承诺的服务质量低于招标人要求；</w:t>
            </w:r>
          </w:p>
          <w:p>
            <w:pPr>
              <w:spacing w:line="400" w:lineRule="exact"/>
              <w:ind w:firstLine="210" w:firstLineChars="100"/>
              <w:jc w:val="left"/>
              <w:rPr>
                <w:rFonts w:hint="eastAsia" w:ascii="宋体" w:hAnsi="宋体"/>
                <w:szCs w:val="21"/>
              </w:rPr>
            </w:pPr>
            <w:r>
              <w:rPr>
                <w:rFonts w:hint="eastAsia" w:ascii="宋体" w:hAnsi="宋体"/>
                <w:szCs w:val="21"/>
              </w:rPr>
              <w:t>b.业绩、人员、财务及履约信誉等证明材料存在虚假。</w:t>
            </w:r>
          </w:p>
          <w:p>
            <w:pPr>
              <w:spacing w:line="400" w:lineRule="exact"/>
              <w:ind w:firstLine="210" w:firstLineChars="100"/>
              <w:jc w:val="left"/>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）不同投标人间投标人未存在下列情形：</w:t>
            </w:r>
          </w:p>
          <w:p>
            <w:pPr>
              <w:spacing w:line="400" w:lineRule="exact"/>
              <w:ind w:firstLine="210" w:firstLineChars="100"/>
              <w:jc w:val="left"/>
              <w:rPr>
                <w:rFonts w:hint="eastAsia" w:ascii="宋体" w:hAnsi="宋体"/>
                <w:szCs w:val="21"/>
              </w:rPr>
            </w:pPr>
            <w:r>
              <w:rPr>
                <w:rFonts w:hint="eastAsia" w:ascii="宋体" w:hAnsi="宋体"/>
                <w:szCs w:val="21"/>
              </w:rPr>
              <w:t>a.不同投标人的投标文件由同一电子设备编制、打印加密或者上传；</w:t>
            </w:r>
          </w:p>
          <w:p>
            <w:pPr>
              <w:spacing w:line="400" w:lineRule="exact"/>
              <w:ind w:firstLine="210" w:firstLineChars="100"/>
              <w:jc w:val="left"/>
              <w:rPr>
                <w:rFonts w:hint="eastAsia" w:ascii="宋体" w:hAnsi="宋体"/>
                <w:szCs w:val="21"/>
              </w:rPr>
            </w:pPr>
            <w:r>
              <w:rPr>
                <w:rFonts w:hint="eastAsia" w:ascii="宋体" w:hAnsi="宋体"/>
                <w:szCs w:val="21"/>
              </w:rPr>
              <w:t>b.不同投标人的投标文件的实质性内容存在两处以上细节错误一致；</w:t>
            </w:r>
          </w:p>
          <w:p>
            <w:pPr>
              <w:spacing w:line="400" w:lineRule="exact"/>
              <w:ind w:firstLine="210" w:firstLineChars="100"/>
              <w:jc w:val="left"/>
              <w:rPr>
                <w:rFonts w:hint="eastAsia" w:ascii="宋体" w:hAnsi="宋体"/>
                <w:szCs w:val="21"/>
              </w:rPr>
            </w:pPr>
            <w:r>
              <w:rPr>
                <w:rFonts w:hint="eastAsia" w:ascii="宋体" w:hAnsi="宋体"/>
                <w:szCs w:val="21"/>
              </w:rPr>
              <w:t>c.电子投标文件记录的MAC地址、硬盘序列号等硬件信息出现任一相同情况，包含不同投标人在不同批次投标活动中信息相同情况；</w:t>
            </w:r>
          </w:p>
          <w:p>
            <w:pPr>
              <w:spacing w:line="400" w:lineRule="exact"/>
              <w:ind w:firstLine="210" w:firstLineChars="100"/>
              <w:jc w:val="left"/>
              <w:rPr>
                <w:rFonts w:hint="eastAsia" w:ascii="宋体" w:hAnsi="宋体"/>
                <w:szCs w:val="21"/>
              </w:rPr>
            </w:pPr>
            <w:r>
              <w:rPr>
                <w:rFonts w:hint="eastAsia" w:ascii="宋体" w:hAnsi="宋体"/>
                <w:szCs w:val="21"/>
              </w:rPr>
              <w:t>d.投标文件的制作、记录上传IP地址，投标人购买招标文件IP地址等信息出现任一相同情况。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jc w:val="center"/>
        </w:trPr>
        <w:tc>
          <w:tcPr>
            <w:tcW w:w="906" w:type="dxa"/>
            <w:vAlign w:val="center"/>
          </w:tcPr>
          <w:p>
            <w:pPr>
              <w:spacing w:line="260" w:lineRule="exact"/>
              <w:jc w:val="center"/>
              <w:rPr>
                <w:rFonts w:ascii="宋体" w:hAnsi="宋体"/>
                <w:szCs w:val="21"/>
              </w:rPr>
            </w:pPr>
            <w:r>
              <w:rPr>
                <w:rFonts w:ascii="宋体" w:hAnsi="宋体"/>
                <w:szCs w:val="21"/>
              </w:rPr>
              <w:t>2.1.2</w:t>
            </w:r>
          </w:p>
        </w:tc>
        <w:tc>
          <w:tcPr>
            <w:tcW w:w="1100" w:type="dxa"/>
            <w:vAlign w:val="center"/>
          </w:tcPr>
          <w:p>
            <w:pPr>
              <w:spacing w:line="260" w:lineRule="exact"/>
              <w:jc w:val="center"/>
              <w:rPr>
                <w:rFonts w:ascii="宋体" w:hAnsi="宋体"/>
                <w:szCs w:val="21"/>
              </w:rPr>
            </w:pPr>
            <w:r>
              <w:rPr>
                <w:rFonts w:hint="eastAsia" w:ascii="宋体" w:hAnsi="宋体"/>
                <w:szCs w:val="21"/>
              </w:rPr>
              <w:t>资格评审标准</w:t>
            </w:r>
          </w:p>
        </w:tc>
        <w:tc>
          <w:tcPr>
            <w:tcW w:w="7054" w:type="dxa"/>
            <w:vAlign w:val="center"/>
          </w:tcPr>
          <w:p>
            <w:pPr>
              <w:spacing w:line="300" w:lineRule="exact"/>
              <w:jc w:val="left"/>
              <w:rPr>
                <w:rFonts w:ascii="宋体" w:hAnsi="宋体"/>
                <w:szCs w:val="21"/>
              </w:rPr>
            </w:pPr>
            <w:r>
              <w:rPr>
                <w:rFonts w:hint="eastAsia" w:ascii="宋体" w:hAnsi="宋体"/>
                <w:szCs w:val="21"/>
              </w:rPr>
              <w:t>（1）投标人的基本资格符合招标文件投标人须知附录1要求；</w:t>
            </w:r>
          </w:p>
          <w:p>
            <w:pPr>
              <w:spacing w:line="300" w:lineRule="exact"/>
              <w:jc w:val="left"/>
              <w:rPr>
                <w:rFonts w:ascii="宋体" w:hAnsi="宋体"/>
                <w:szCs w:val="21"/>
              </w:rPr>
            </w:pPr>
            <w:r>
              <w:rPr>
                <w:rFonts w:hint="eastAsia" w:ascii="宋体" w:hAnsi="宋体"/>
                <w:szCs w:val="21"/>
              </w:rPr>
              <w:t>（2）投标人的财务状况应符合招标文件投标人须知附录2要求；</w:t>
            </w:r>
          </w:p>
          <w:p>
            <w:pPr>
              <w:spacing w:line="300" w:lineRule="exact"/>
              <w:jc w:val="left"/>
              <w:rPr>
                <w:rFonts w:ascii="宋体" w:hAnsi="宋体"/>
                <w:szCs w:val="21"/>
              </w:rPr>
            </w:pPr>
            <w:r>
              <w:rPr>
                <w:rFonts w:hint="eastAsia" w:ascii="宋体" w:hAnsi="宋体"/>
                <w:szCs w:val="21"/>
              </w:rPr>
              <w:t>（3）投标人的类似项目业绩符合招标文件投标人须知附录3要求；</w:t>
            </w:r>
          </w:p>
          <w:p>
            <w:pPr>
              <w:spacing w:line="300" w:lineRule="exact"/>
              <w:jc w:val="left"/>
              <w:rPr>
                <w:rFonts w:ascii="宋体" w:hAnsi="宋体"/>
                <w:szCs w:val="21"/>
              </w:rPr>
            </w:pPr>
            <w:r>
              <w:rPr>
                <w:rFonts w:hint="eastAsia" w:ascii="宋体" w:hAnsi="宋体"/>
                <w:szCs w:val="21"/>
              </w:rPr>
              <w:t>（4）投标人的信誉符合招标文件投标人须知附录4要求；</w:t>
            </w:r>
          </w:p>
          <w:p>
            <w:pPr>
              <w:spacing w:line="300" w:lineRule="exact"/>
              <w:jc w:val="left"/>
              <w:rPr>
                <w:rFonts w:ascii="宋体" w:hAnsi="宋体"/>
                <w:szCs w:val="21"/>
              </w:rPr>
            </w:pPr>
            <w:r>
              <w:rPr>
                <w:rFonts w:hint="eastAsia" w:ascii="宋体" w:hAnsi="宋体"/>
                <w:szCs w:val="21"/>
              </w:rPr>
              <w:t>（5）投标人的人员符合招标文件投标人须知附录5要求；</w:t>
            </w:r>
          </w:p>
          <w:p>
            <w:pPr>
              <w:spacing w:line="300" w:lineRule="exact"/>
              <w:jc w:val="left"/>
              <w:rPr>
                <w:rFonts w:ascii="宋体" w:hAnsi="宋体"/>
                <w:szCs w:val="21"/>
              </w:rPr>
            </w:pPr>
            <w:r>
              <w:rPr>
                <w:rFonts w:hint="eastAsia" w:ascii="宋体" w:hAnsi="宋体"/>
                <w:szCs w:val="21"/>
              </w:rPr>
              <w:t>（6）投标人不存在第二章</w:t>
            </w:r>
            <w:r>
              <w:rPr>
                <w:rFonts w:ascii="宋体" w:hAnsi="宋体"/>
                <w:szCs w:val="21"/>
              </w:rPr>
              <w:t>“</w:t>
            </w:r>
            <w:r>
              <w:rPr>
                <w:rFonts w:hint="eastAsia" w:ascii="宋体" w:hAnsi="宋体"/>
                <w:szCs w:val="21"/>
              </w:rPr>
              <w:t>投标人须知</w:t>
            </w:r>
            <w:r>
              <w:rPr>
                <w:rFonts w:ascii="宋体" w:hAnsi="宋体"/>
                <w:szCs w:val="21"/>
              </w:rPr>
              <w:t>”</w:t>
            </w:r>
            <w:r>
              <w:rPr>
                <w:rFonts w:hint="eastAsia" w:ascii="宋体" w:hAnsi="宋体"/>
                <w:szCs w:val="21"/>
              </w:rPr>
              <w:t>第</w:t>
            </w:r>
            <w:r>
              <w:rPr>
                <w:rFonts w:ascii="宋体" w:hAnsi="宋体"/>
                <w:szCs w:val="21"/>
              </w:rPr>
              <w:t>1.4.3</w:t>
            </w:r>
            <w:r>
              <w:rPr>
                <w:rFonts w:hint="eastAsia" w:ascii="宋体" w:hAnsi="宋体"/>
                <w:szCs w:val="21"/>
              </w:rPr>
              <w:t>项或第1.4.4规定的任何一种情形。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7" w:hRule="atLeast"/>
          <w:jc w:val="center"/>
        </w:trPr>
        <w:tc>
          <w:tcPr>
            <w:tcW w:w="906" w:type="dxa"/>
            <w:vAlign w:val="center"/>
          </w:tcPr>
          <w:p>
            <w:pPr>
              <w:spacing w:line="260" w:lineRule="exact"/>
              <w:jc w:val="center"/>
              <w:rPr>
                <w:rFonts w:hint="eastAsia" w:ascii="宋体" w:hAnsi="宋体"/>
                <w:szCs w:val="21"/>
              </w:rPr>
            </w:pPr>
            <w:r>
              <w:rPr>
                <w:rFonts w:hint="eastAsia" w:ascii="宋体" w:hAnsi="宋体"/>
                <w:szCs w:val="21"/>
              </w:rPr>
              <w:t>2.1.1</w:t>
            </w:r>
          </w:p>
          <w:p>
            <w:pPr>
              <w:spacing w:line="260" w:lineRule="exact"/>
              <w:jc w:val="center"/>
              <w:rPr>
                <w:rFonts w:hint="eastAsia" w:ascii="宋体" w:hAnsi="宋体"/>
                <w:szCs w:val="21"/>
              </w:rPr>
            </w:pPr>
            <w:r>
              <w:rPr>
                <w:rFonts w:hint="eastAsia" w:ascii="宋体" w:hAnsi="宋体"/>
                <w:szCs w:val="21"/>
              </w:rPr>
              <w:t>2.1.3</w:t>
            </w:r>
          </w:p>
        </w:tc>
        <w:tc>
          <w:tcPr>
            <w:tcW w:w="1100" w:type="dxa"/>
            <w:vAlign w:val="center"/>
          </w:tcPr>
          <w:p>
            <w:pPr>
              <w:spacing w:line="300" w:lineRule="exact"/>
              <w:jc w:val="center"/>
              <w:rPr>
                <w:rFonts w:hint="eastAsia" w:ascii="宋体" w:hAnsi="宋体"/>
                <w:szCs w:val="21"/>
              </w:rPr>
            </w:pPr>
            <w:r>
              <w:rPr>
                <w:rFonts w:hint="eastAsia" w:ascii="宋体" w:hAnsi="宋体"/>
                <w:szCs w:val="21"/>
              </w:rPr>
              <w:t>形式评审与响应性评审标准(第二个信封)</w:t>
            </w:r>
          </w:p>
        </w:tc>
        <w:tc>
          <w:tcPr>
            <w:tcW w:w="7054" w:type="dxa"/>
            <w:vAlign w:val="center"/>
          </w:tcPr>
          <w:p>
            <w:pPr>
              <w:spacing w:line="300" w:lineRule="exact"/>
              <w:jc w:val="left"/>
              <w:rPr>
                <w:rFonts w:hint="eastAsia" w:ascii="宋体" w:hAnsi="宋体"/>
                <w:szCs w:val="21"/>
              </w:rPr>
            </w:pPr>
            <w:r>
              <w:rPr>
                <w:rFonts w:hint="eastAsia" w:ascii="宋体" w:hAnsi="宋体"/>
                <w:szCs w:val="21"/>
              </w:rPr>
              <w:t>（1）第二个信封（报价文件）电子投标文件满足招标文件第二章“投标人须知”第3条规定；</w:t>
            </w:r>
          </w:p>
          <w:p>
            <w:pPr>
              <w:spacing w:line="300" w:lineRule="exact"/>
              <w:jc w:val="left"/>
              <w:rPr>
                <w:rFonts w:hint="eastAsia" w:ascii="宋体" w:hAnsi="宋体"/>
                <w:szCs w:val="21"/>
              </w:rPr>
            </w:pPr>
            <w:r>
              <w:rPr>
                <w:rFonts w:hint="eastAsia" w:ascii="宋体" w:hAnsi="宋体"/>
                <w:szCs w:val="21"/>
              </w:rPr>
              <w:t>（2）第二个信封（报价文件）按照招标文件规定的格式、内容填写，字迹清晰可辨，内容齐全完整：</w:t>
            </w:r>
          </w:p>
          <w:p>
            <w:pPr>
              <w:spacing w:line="300" w:lineRule="exact"/>
              <w:ind w:firstLine="210" w:firstLineChars="100"/>
              <w:jc w:val="left"/>
              <w:rPr>
                <w:rFonts w:hint="eastAsia" w:ascii="宋体" w:hAnsi="宋体"/>
                <w:szCs w:val="21"/>
              </w:rPr>
            </w:pPr>
            <w:r>
              <w:rPr>
                <w:rFonts w:hint="eastAsia" w:ascii="宋体" w:hAnsi="宋体"/>
                <w:szCs w:val="21"/>
              </w:rPr>
              <w:t>a.投标函按招标文件规定填报了项目名称、标段号、补遗书编号（如有）、投标价（包括大写金额和小写金额）；</w:t>
            </w:r>
          </w:p>
          <w:p>
            <w:pPr>
              <w:spacing w:line="300" w:lineRule="exact"/>
              <w:ind w:firstLine="210" w:firstLineChars="100"/>
              <w:jc w:val="left"/>
              <w:rPr>
                <w:rFonts w:hint="eastAsia" w:ascii="宋体" w:hAnsi="宋体"/>
                <w:szCs w:val="21"/>
              </w:rPr>
            </w:pPr>
            <w:r>
              <w:rPr>
                <w:rFonts w:hint="eastAsia" w:ascii="宋体" w:hAnsi="宋体"/>
                <w:szCs w:val="21"/>
              </w:rPr>
              <w:t xml:space="preserve">b.投标文件组成齐全完整，内容均按规定填写; </w:t>
            </w:r>
          </w:p>
          <w:p>
            <w:pPr>
              <w:spacing w:line="300" w:lineRule="exact"/>
              <w:jc w:val="left"/>
              <w:rPr>
                <w:rFonts w:hint="eastAsia" w:ascii="宋体" w:hAnsi="宋体"/>
                <w:szCs w:val="21"/>
              </w:rPr>
            </w:pPr>
            <w:r>
              <w:rPr>
                <w:rFonts w:hint="eastAsia" w:ascii="宋体" w:hAnsi="宋体"/>
                <w:szCs w:val="21"/>
              </w:rPr>
              <w:t>第二个信封（报价文件）上法定代表人的电子签名、投标人单位的电子签章齐全，符合招标文件规定；</w:t>
            </w:r>
          </w:p>
          <w:p>
            <w:pPr>
              <w:spacing w:line="300" w:lineRule="exact"/>
              <w:jc w:val="left"/>
              <w:rPr>
                <w:rFonts w:hint="eastAsia" w:ascii="宋体" w:hAnsi="宋体"/>
                <w:szCs w:val="21"/>
              </w:rPr>
            </w:pPr>
            <w:r>
              <w:rPr>
                <w:rFonts w:hint="eastAsia" w:ascii="宋体" w:hAnsi="宋体"/>
                <w:szCs w:val="21"/>
              </w:rPr>
              <w:t>（3）投标报价的大写金额能够确定具体数值；</w:t>
            </w:r>
          </w:p>
          <w:p>
            <w:pPr>
              <w:spacing w:line="300" w:lineRule="exact"/>
              <w:jc w:val="left"/>
              <w:rPr>
                <w:rFonts w:hint="eastAsia" w:ascii="宋体" w:hAnsi="宋体"/>
                <w:szCs w:val="21"/>
              </w:rPr>
            </w:pPr>
            <w:r>
              <w:rPr>
                <w:rFonts w:hint="eastAsia" w:ascii="宋体" w:hAnsi="宋体"/>
                <w:szCs w:val="21"/>
              </w:rPr>
              <w:t>（4）同一投标人未提交两个以上不同的投标报价；</w:t>
            </w:r>
          </w:p>
          <w:p>
            <w:pPr>
              <w:spacing w:line="300" w:lineRule="exact"/>
              <w:jc w:val="left"/>
              <w:rPr>
                <w:rFonts w:hint="eastAsia" w:ascii="宋体" w:hAnsi="宋体"/>
                <w:b/>
                <w:szCs w:val="21"/>
              </w:rPr>
            </w:pPr>
            <w:r>
              <w:rPr>
                <w:rFonts w:hint="eastAsia" w:ascii="宋体" w:hAnsi="宋体"/>
                <w:szCs w:val="21"/>
              </w:rPr>
              <w:t>（5）投标报价未超过招标文件设定的最高投标限价。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906" w:type="dxa"/>
            <w:vAlign w:val="center"/>
          </w:tcPr>
          <w:p>
            <w:pPr>
              <w:spacing w:line="260" w:lineRule="exact"/>
              <w:jc w:val="center"/>
              <w:rPr>
                <w:rFonts w:hint="eastAsia" w:ascii="宋体" w:hAnsi="宋体"/>
                <w:b/>
                <w:szCs w:val="21"/>
              </w:rPr>
            </w:pPr>
            <w:r>
              <w:rPr>
                <w:rFonts w:hint="eastAsia" w:ascii="宋体" w:hAnsi="宋体"/>
                <w:bCs/>
                <w:szCs w:val="21"/>
              </w:rPr>
              <w:t>2.2.1</w:t>
            </w:r>
          </w:p>
        </w:tc>
        <w:tc>
          <w:tcPr>
            <w:tcW w:w="1100" w:type="dxa"/>
            <w:vAlign w:val="center"/>
          </w:tcPr>
          <w:p>
            <w:pPr>
              <w:spacing w:line="300" w:lineRule="exact"/>
              <w:jc w:val="center"/>
              <w:rPr>
                <w:rFonts w:hint="eastAsia" w:ascii="宋体" w:hAnsi="宋体"/>
                <w:szCs w:val="21"/>
              </w:rPr>
            </w:pPr>
            <w:r>
              <w:rPr>
                <w:rFonts w:hint="eastAsia" w:ascii="宋体" w:hAnsi="宋体"/>
                <w:szCs w:val="21"/>
              </w:rPr>
              <w:t>第一个信封详细评审标准</w:t>
            </w:r>
          </w:p>
        </w:tc>
        <w:tc>
          <w:tcPr>
            <w:tcW w:w="7054" w:type="dxa"/>
            <w:vAlign w:val="center"/>
          </w:tcPr>
          <w:p>
            <w:pPr>
              <w:spacing w:line="300" w:lineRule="exact"/>
              <w:jc w:val="left"/>
              <w:rPr>
                <w:rFonts w:hint="eastAsia"/>
              </w:rPr>
            </w:pPr>
            <w:r>
              <w:rPr>
                <w:rFonts w:hint="eastAsia"/>
              </w:rPr>
              <w:t>第一个信封总分100分，评审因素为：</w:t>
            </w:r>
          </w:p>
          <w:p>
            <w:pPr>
              <w:autoSpaceDE w:val="0"/>
              <w:autoSpaceDN w:val="0"/>
              <w:adjustRightInd w:val="0"/>
              <w:spacing w:line="300" w:lineRule="exact"/>
              <w:ind w:right="122" w:rightChars="58"/>
              <w:rPr>
                <w:rFonts w:hint="eastAsia" w:ascii="宋体" w:hAnsi="宋体"/>
                <w:szCs w:val="21"/>
              </w:rPr>
            </w:pPr>
            <w:r>
              <w:rPr>
                <w:rFonts w:hint="eastAsia" w:ascii="宋体" w:hAnsi="宋体"/>
                <w:szCs w:val="21"/>
              </w:rPr>
              <w:t>(1)投标文件第一个信封（基本资格、财务能力）：                1</w:t>
            </w:r>
            <w:r>
              <w:rPr>
                <w:rFonts w:ascii="宋体" w:hAnsi="宋体"/>
                <w:szCs w:val="21"/>
              </w:rPr>
              <w:t>0</w:t>
            </w:r>
            <w:r>
              <w:rPr>
                <w:rFonts w:hint="eastAsia" w:ascii="宋体" w:hAnsi="宋体"/>
                <w:szCs w:val="21"/>
              </w:rPr>
              <w:t>分</w:t>
            </w:r>
          </w:p>
          <w:p>
            <w:pPr>
              <w:autoSpaceDE w:val="0"/>
              <w:autoSpaceDN w:val="0"/>
              <w:adjustRightInd w:val="0"/>
              <w:spacing w:line="300" w:lineRule="exact"/>
              <w:ind w:right="122" w:rightChars="58"/>
              <w:rPr>
                <w:rFonts w:hint="eastAsia" w:ascii="宋体" w:hAnsi="宋体"/>
                <w:szCs w:val="21"/>
              </w:rPr>
            </w:pPr>
            <w:r>
              <w:rPr>
                <w:rFonts w:hint="eastAsia" w:ascii="宋体" w:hAnsi="宋体"/>
                <w:szCs w:val="21"/>
              </w:rPr>
              <w:t>(2)投标文件第一个信封（类似业绩）：                          40分</w:t>
            </w:r>
          </w:p>
          <w:p>
            <w:pPr>
              <w:autoSpaceDE w:val="0"/>
              <w:autoSpaceDN w:val="0"/>
              <w:adjustRightInd w:val="0"/>
              <w:spacing w:line="300" w:lineRule="exact"/>
              <w:ind w:right="122" w:rightChars="58"/>
              <w:rPr>
                <w:rFonts w:hint="eastAsia" w:ascii="宋体" w:hAnsi="宋体"/>
                <w:szCs w:val="21"/>
              </w:rPr>
            </w:pPr>
            <w:r>
              <w:rPr>
                <w:rFonts w:hint="eastAsia" w:ascii="宋体" w:hAnsi="宋体"/>
                <w:szCs w:val="21"/>
              </w:rPr>
              <w:t>(3)投标文件第一个信封（技术能力）：                          35分</w:t>
            </w:r>
          </w:p>
          <w:p>
            <w:pPr>
              <w:spacing w:line="300" w:lineRule="exact"/>
              <w:jc w:val="left"/>
              <w:rPr>
                <w:rFonts w:hint="eastAsia" w:ascii="宋体" w:hAnsi="宋体"/>
                <w:szCs w:val="21"/>
              </w:rPr>
            </w:pPr>
            <w:r>
              <w:rPr>
                <w:rFonts w:hint="eastAsia" w:ascii="宋体" w:hAnsi="宋体"/>
                <w:szCs w:val="21"/>
              </w:rPr>
              <w:t>(4)投标文件第一个信封（履约信誉）：                          1</w:t>
            </w:r>
            <w:r>
              <w:rPr>
                <w:rFonts w:ascii="宋体" w:hAnsi="宋体"/>
                <w:szCs w:val="21"/>
              </w:rPr>
              <w:t>5</w:t>
            </w:r>
            <w:r>
              <w:rPr>
                <w:rFonts w:hint="eastAsia" w:ascii="宋体" w:hAnsi="宋体"/>
                <w:szCs w:val="21"/>
              </w:rPr>
              <w:t>分</w:t>
            </w:r>
          </w:p>
          <w:p>
            <w:pPr>
              <w:spacing w:line="300" w:lineRule="exact"/>
              <w:jc w:val="left"/>
              <w:rPr>
                <w:rFonts w:hint="eastAsia"/>
              </w:rPr>
            </w:pPr>
            <w:r>
              <w:rPr>
                <w:rFonts w:hint="eastAsia"/>
              </w:rPr>
              <w:t>备注：评分标准详见“技术评审因素及评分标准”。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06" w:type="dxa"/>
            <w:vAlign w:val="center"/>
          </w:tcPr>
          <w:p>
            <w:pPr>
              <w:spacing w:line="260" w:lineRule="exact"/>
              <w:jc w:val="center"/>
              <w:rPr>
                <w:szCs w:val="21"/>
              </w:rPr>
            </w:pPr>
            <w:r>
              <w:rPr>
                <w:rFonts w:hint="eastAsia" w:ascii="宋体" w:hAnsi="宋体"/>
                <w:bCs/>
                <w:szCs w:val="21"/>
              </w:rPr>
              <w:t>2.2.2</w:t>
            </w:r>
          </w:p>
        </w:tc>
        <w:tc>
          <w:tcPr>
            <w:tcW w:w="1100" w:type="dxa"/>
            <w:vAlign w:val="center"/>
          </w:tcPr>
          <w:p>
            <w:pPr>
              <w:spacing w:line="340" w:lineRule="exact"/>
              <w:jc w:val="center"/>
              <w:rPr>
                <w:rFonts w:hint="eastAsia"/>
                <w:szCs w:val="21"/>
              </w:rPr>
            </w:pPr>
            <w:r>
              <w:rPr>
                <w:rFonts w:hint="eastAsia"/>
                <w:szCs w:val="21"/>
              </w:rPr>
              <w:t>第二个信封详细评审标准</w:t>
            </w:r>
          </w:p>
        </w:tc>
        <w:tc>
          <w:tcPr>
            <w:tcW w:w="7054" w:type="dxa"/>
            <w:vAlign w:val="center"/>
          </w:tcPr>
          <w:p>
            <w:pPr>
              <w:autoSpaceDE w:val="0"/>
              <w:autoSpaceDN w:val="0"/>
              <w:adjustRightInd w:val="0"/>
              <w:spacing w:line="300" w:lineRule="exact"/>
              <w:ind w:right="122" w:rightChars="58"/>
              <w:rPr>
                <w:rFonts w:hint="eastAsia" w:ascii="宋体" w:hAnsi="宋体"/>
                <w:b/>
                <w:szCs w:val="21"/>
              </w:rPr>
            </w:pPr>
            <w:r>
              <w:rPr>
                <w:rFonts w:hint="eastAsia" w:ascii="宋体" w:hAnsi="宋体"/>
                <w:b/>
                <w:szCs w:val="21"/>
              </w:rPr>
              <w:t>1．评标价</w:t>
            </w:r>
            <w:r>
              <w:rPr>
                <w:rFonts w:ascii="宋体" w:hAnsi="宋体"/>
                <w:b/>
                <w:szCs w:val="21"/>
              </w:rPr>
              <w:t>=</w:t>
            </w:r>
            <w:r>
              <w:rPr>
                <w:rFonts w:hint="eastAsia" w:ascii="宋体" w:hAnsi="宋体"/>
                <w:b/>
                <w:szCs w:val="21"/>
              </w:rPr>
              <w:t>有效的投标报价函大写文字报价。</w:t>
            </w:r>
          </w:p>
          <w:p>
            <w:pPr>
              <w:autoSpaceDE w:val="0"/>
              <w:autoSpaceDN w:val="0"/>
              <w:adjustRightInd w:val="0"/>
              <w:spacing w:line="300" w:lineRule="exact"/>
              <w:ind w:right="122" w:rightChars="58"/>
              <w:rPr>
                <w:rFonts w:hint="eastAsia" w:ascii="宋体" w:hAnsi="宋体"/>
                <w:szCs w:val="21"/>
              </w:rPr>
            </w:pPr>
            <w:r>
              <w:rPr>
                <w:rFonts w:hint="eastAsia" w:ascii="宋体" w:hAnsi="宋体"/>
                <w:szCs w:val="21"/>
              </w:rPr>
              <w:t>2．理论成本价=[最高投标限价*50%+评标价算术平均值*50%]*0.85（当评标价个数大于或等于5家时去掉其中的一个最高值和一个最低值，再进行算术平均值计算，计算后的结果换算为百分数，百分号前保留三位小数，第四位“四舍五入”）；</w:t>
            </w:r>
          </w:p>
          <w:p>
            <w:pPr>
              <w:autoSpaceDE w:val="0"/>
              <w:autoSpaceDN w:val="0"/>
              <w:adjustRightInd w:val="0"/>
              <w:spacing w:line="300" w:lineRule="exact"/>
              <w:ind w:right="122" w:rightChars="58"/>
              <w:rPr>
                <w:rFonts w:hint="eastAsia" w:ascii="宋体" w:hAnsi="宋体"/>
                <w:szCs w:val="21"/>
              </w:rPr>
            </w:pPr>
            <w:r>
              <w:rPr>
                <w:rFonts w:hint="eastAsia" w:ascii="宋体" w:hAnsi="宋体"/>
                <w:szCs w:val="21"/>
              </w:rPr>
              <w:t>3．评标价低于理论成本价的，不参与后续评审；</w:t>
            </w:r>
          </w:p>
          <w:p>
            <w:pPr>
              <w:autoSpaceDE w:val="0"/>
              <w:autoSpaceDN w:val="0"/>
              <w:adjustRightInd w:val="0"/>
              <w:spacing w:line="300" w:lineRule="exact"/>
              <w:ind w:right="122" w:rightChars="58"/>
              <w:rPr>
                <w:rFonts w:hint="eastAsia"/>
                <w:b/>
                <w:szCs w:val="21"/>
              </w:rPr>
            </w:pPr>
            <w:r>
              <w:rPr>
                <w:rFonts w:hint="eastAsia" w:ascii="宋体" w:hAnsi="宋体"/>
                <w:szCs w:val="21"/>
              </w:rPr>
              <w:t>4．不低于理论成本价的评标价中的最低价为中标价。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060" w:type="dxa"/>
            <w:gridSpan w:val="3"/>
            <w:vAlign w:val="center"/>
          </w:tcPr>
          <w:p>
            <w:pPr>
              <w:spacing w:line="340" w:lineRule="exact"/>
              <w:jc w:val="left"/>
              <w:rPr>
                <w:szCs w:val="21"/>
              </w:rPr>
            </w:pPr>
            <w:r>
              <w:rPr>
                <w:rFonts w:hint="eastAsia"/>
                <w:szCs w:val="21"/>
              </w:rPr>
              <w:t>评标程序的有关内容细化如下：</w:t>
            </w:r>
          </w:p>
          <w:p>
            <w:pPr>
              <w:spacing w:line="340" w:lineRule="exact"/>
              <w:ind w:firstLine="420" w:firstLineChars="200"/>
              <w:jc w:val="left"/>
              <w:rPr>
                <w:szCs w:val="21"/>
              </w:rPr>
            </w:pPr>
            <w:r>
              <w:rPr>
                <w:rFonts w:hint="eastAsia"/>
                <w:szCs w:val="21"/>
              </w:rPr>
              <w:t>本项目采用技术评分最低标价法进行评标，评标办法正文第</w:t>
            </w:r>
            <w:r>
              <w:rPr>
                <w:szCs w:val="21"/>
              </w:rPr>
              <w:t>3</w:t>
            </w:r>
            <w:r>
              <w:rPr>
                <w:rFonts w:hint="eastAsia"/>
                <w:szCs w:val="21"/>
              </w:rPr>
              <w:t>条内容细化如下：</w:t>
            </w:r>
          </w:p>
          <w:p>
            <w:pPr>
              <w:spacing w:line="420" w:lineRule="atLeast"/>
              <w:ind w:firstLine="422" w:firstLineChars="200"/>
              <w:rPr>
                <w:rFonts w:hint="eastAsia" w:ascii="宋体" w:hAnsi="宋体" w:cs="宋体"/>
                <w:b/>
                <w:szCs w:val="21"/>
              </w:rPr>
            </w:pPr>
            <w:r>
              <w:rPr>
                <w:rFonts w:hint="eastAsia" w:ascii="宋体" w:hAnsi="宋体" w:cs="宋体"/>
                <w:b/>
                <w:szCs w:val="21"/>
              </w:rPr>
              <w:t>3.评标程序</w:t>
            </w:r>
          </w:p>
          <w:p>
            <w:pPr>
              <w:tabs>
                <w:tab w:val="left" w:pos="510"/>
                <w:tab w:val="left" w:pos="690"/>
              </w:tabs>
              <w:spacing w:line="300" w:lineRule="auto"/>
              <w:ind w:firstLine="420" w:firstLineChars="200"/>
              <w:rPr>
                <w:rFonts w:hint="eastAsia"/>
                <w:szCs w:val="21"/>
              </w:rPr>
            </w:pPr>
            <w:r>
              <w:rPr>
                <w:rFonts w:hint="eastAsia"/>
                <w:szCs w:val="21"/>
              </w:rPr>
              <w:t>评标工作按以下程序进行：</w:t>
            </w:r>
          </w:p>
          <w:p>
            <w:pPr>
              <w:spacing w:line="420" w:lineRule="atLeast"/>
              <w:ind w:firstLine="422" w:firstLineChars="200"/>
              <w:rPr>
                <w:rFonts w:hint="eastAsia" w:ascii="宋体" w:hAnsi="宋体" w:cs="宋体"/>
                <w:b/>
                <w:bCs/>
                <w:szCs w:val="21"/>
              </w:rPr>
            </w:pPr>
            <w:r>
              <w:rPr>
                <w:rFonts w:eastAsia="黑体"/>
                <w:b/>
                <w:bCs/>
                <w:szCs w:val="21"/>
              </w:rPr>
              <w:t xml:space="preserve">3.1 </w:t>
            </w:r>
            <w:r>
              <w:rPr>
                <w:rFonts w:hint="eastAsia" w:ascii="宋体" w:hAnsi="宋体" w:cs="宋体"/>
                <w:b/>
                <w:bCs/>
                <w:szCs w:val="21"/>
              </w:rPr>
              <w:t>第一个信封初步评审</w:t>
            </w:r>
          </w:p>
          <w:p>
            <w:pPr>
              <w:spacing w:line="420" w:lineRule="atLeast"/>
              <w:ind w:firstLine="420" w:firstLineChars="200"/>
              <w:rPr>
                <w:szCs w:val="21"/>
              </w:rPr>
            </w:pPr>
            <w:r>
              <w:rPr>
                <w:rFonts w:hint="eastAsia" w:ascii="宋体" w:hAnsi="宋体" w:cs="宋体"/>
                <w:szCs w:val="21"/>
              </w:rPr>
              <w:t>3.1.1</w:t>
            </w:r>
            <w:r>
              <w:rPr>
                <w:rFonts w:hint="eastAsia"/>
                <w:szCs w:val="21"/>
              </w:rPr>
              <w:t>评标委员会依据本章第</w:t>
            </w:r>
            <w:r>
              <w:rPr>
                <w:szCs w:val="21"/>
              </w:rPr>
              <w:t>2.1</w:t>
            </w:r>
            <w:r>
              <w:rPr>
                <w:rFonts w:hint="eastAsia"/>
                <w:szCs w:val="21"/>
              </w:rPr>
              <w:t>款规定的标准对投标文件第一个信封（商务及技术文件）进行初步评审。有一项不符合评审标准的，评标委员会应否决其投标。</w:t>
            </w:r>
          </w:p>
          <w:p>
            <w:pPr>
              <w:spacing w:line="420" w:lineRule="atLeast"/>
              <w:ind w:firstLine="420" w:firstLineChars="200"/>
              <w:rPr>
                <w:rFonts w:hint="eastAsia"/>
                <w:szCs w:val="21"/>
              </w:rPr>
            </w:pPr>
            <w:r>
              <w:rPr>
                <w:rFonts w:hint="eastAsia" w:ascii="宋体" w:hAnsi="宋体" w:cs="宋体"/>
                <w:szCs w:val="21"/>
              </w:rPr>
              <w:t>3.1.2</w:t>
            </w:r>
            <w:r>
              <w:rPr>
                <w:rFonts w:hint="eastAsia"/>
                <w:szCs w:val="21"/>
              </w:rPr>
              <w:t>通过第一个信封评审的投标人不足</w:t>
            </w:r>
            <w:r>
              <w:rPr>
                <w:szCs w:val="21"/>
              </w:rPr>
              <w:t>3</w:t>
            </w:r>
            <w:r>
              <w:rPr>
                <w:rFonts w:hint="eastAsia"/>
                <w:szCs w:val="21"/>
              </w:rPr>
              <w:t>个时，所有投标人的第二个信封均不予开标，招标人将重新组织招标。</w:t>
            </w:r>
          </w:p>
          <w:p>
            <w:pPr>
              <w:spacing w:line="440" w:lineRule="exact"/>
              <w:ind w:firstLine="422" w:firstLineChars="200"/>
              <w:jc w:val="left"/>
              <w:rPr>
                <w:rFonts w:hint="eastAsia" w:ascii="宋体" w:hAnsi="宋体"/>
                <w:b/>
                <w:szCs w:val="21"/>
              </w:rPr>
            </w:pPr>
            <w:r>
              <w:rPr>
                <w:rFonts w:hint="eastAsia" w:ascii="宋体" w:hAnsi="宋体"/>
                <w:b/>
                <w:szCs w:val="21"/>
              </w:rPr>
              <w:t>3.2 第一个信封详细评审</w:t>
            </w:r>
          </w:p>
          <w:p>
            <w:pPr>
              <w:spacing w:line="440" w:lineRule="exact"/>
              <w:ind w:firstLine="420" w:firstLineChars="200"/>
              <w:jc w:val="left"/>
              <w:rPr>
                <w:rFonts w:hint="eastAsia" w:ascii="宋体" w:hAnsi="宋体"/>
                <w:szCs w:val="21"/>
              </w:rPr>
            </w:pPr>
            <w:r>
              <w:rPr>
                <w:rFonts w:hint="eastAsia" w:ascii="宋体" w:hAnsi="宋体"/>
                <w:szCs w:val="21"/>
              </w:rPr>
              <w:t>3.2.1评标委员会只对通过第一个信封初步评审的投标人的投标文件第一个信封（商务及技术文件）进行详细评审。评标委员会按“评标办法前附表”规定的评审因素和评分值进行评分，计算出各投标人的综合得分，并按其得分由高到低的顺序依次排名。</w:t>
            </w:r>
            <w:r>
              <w:rPr>
                <w:rFonts w:hint="eastAsia" w:ascii="宋体" w:hAnsi="宋体"/>
                <w:bCs/>
                <w:color w:val="000000"/>
                <w:szCs w:val="21"/>
              </w:rPr>
              <w:t>若</w:t>
            </w:r>
            <w:r>
              <w:rPr>
                <w:rFonts w:hint="eastAsia" w:ascii="宋体" w:hAnsi="宋体"/>
                <w:bCs/>
                <w:szCs w:val="21"/>
              </w:rPr>
              <w:t>出现名次并列时</w:t>
            </w:r>
            <w:r>
              <w:rPr>
                <w:rFonts w:hint="eastAsia" w:ascii="宋体" w:hAnsi="宋体"/>
                <w:bCs/>
                <w:color w:val="000000"/>
                <w:szCs w:val="21"/>
              </w:rPr>
              <w:t>，以技术评分（类似业绩和技术能力分数之和）高者优先；若技术评分（类似业绩和技术能力分数之和）相同时，以技术能力评分高者优先；当技术能力得分相同时，以最终投标文件上传至电子交易平台早的投标人优先。</w:t>
            </w:r>
          </w:p>
          <w:p>
            <w:pPr>
              <w:spacing w:line="440" w:lineRule="exact"/>
              <w:ind w:firstLine="420" w:firstLineChars="200"/>
              <w:jc w:val="left"/>
              <w:rPr>
                <w:rFonts w:hint="eastAsia" w:ascii="宋体" w:hAnsi="宋体"/>
                <w:szCs w:val="21"/>
              </w:rPr>
            </w:pPr>
            <w:r>
              <w:rPr>
                <w:rFonts w:hint="eastAsia" w:ascii="宋体" w:hAnsi="宋体"/>
                <w:szCs w:val="21"/>
              </w:rPr>
              <w:t>3.2.2投标人得分分值计算保留小数点后两位，小数点后第三位“四舍五入”。</w:t>
            </w:r>
          </w:p>
          <w:p>
            <w:pPr>
              <w:spacing w:line="440" w:lineRule="exact"/>
              <w:ind w:firstLine="422" w:firstLineChars="200"/>
              <w:jc w:val="left"/>
              <w:rPr>
                <w:rFonts w:hint="eastAsia" w:ascii="宋体" w:hAnsi="宋体"/>
                <w:b/>
                <w:szCs w:val="21"/>
              </w:rPr>
            </w:pPr>
            <w:r>
              <w:rPr>
                <w:rFonts w:hint="eastAsia" w:ascii="宋体" w:hAnsi="宋体"/>
                <w:b/>
                <w:szCs w:val="21"/>
              </w:rPr>
              <w:t>3.3第二个信封开标</w:t>
            </w:r>
          </w:p>
          <w:p>
            <w:pPr>
              <w:spacing w:line="440" w:lineRule="exact"/>
              <w:ind w:firstLine="420" w:firstLineChars="200"/>
              <w:jc w:val="left"/>
              <w:rPr>
                <w:rFonts w:hint="eastAsia" w:ascii="宋体" w:hAnsi="宋体"/>
                <w:color w:val="000000"/>
                <w:szCs w:val="21"/>
              </w:rPr>
            </w:pPr>
            <w:r>
              <w:rPr>
                <w:rFonts w:hint="eastAsia" w:ascii="宋体" w:hAnsi="宋体"/>
                <w:bCs/>
                <w:color w:val="000000"/>
                <w:szCs w:val="21"/>
              </w:rPr>
              <w:t>3.3.1</w:t>
            </w:r>
            <w:r>
              <w:rPr>
                <w:rFonts w:hint="eastAsia" w:ascii="宋体" w:hAnsi="宋体"/>
                <w:color w:val="000000"/>
                <w:szCs w:val="21"/>
              </w:rPr>
              <w:t>第一个信封（商务及技术文件）评审结束后，招标人将按照第二章“投标人须知”第5.1款规定的时间和地点对通过投标文件第一个信封（商务及技术文件）评审且排名在抽取数字以内的投标人的投标文件第二个信封（报价文件）进行开标。</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3.3.2抽取数字确定开启第二个信封的投标人数量：当通过第一个信封评审的投标人数量大于等于5家时，从3、4、5三个数字中随机抽取；当通过</w:t>
            </w:r>
            <w:r>
              <w:rPr>
                <w:rFonts w:hint="eastAsia" w:ascii="宋体" w:hAnsi="宋体"/>
                <w:szCs w:val="21"/>
              </w:rPr>
              <w:t>第一个信封评审</w:t>
            </w:r>
            <w:r>
              <w:rPr>
                <w:rFonts w:hint="eastAsia" w:ascii="宋体" w:hAnsi="宋体"/>
                <w:color w:val="000000"/>
                <w:szCs w:val="21"/>
              </w:rPr>
              <w:t>的投标人数量等于4家时，从3、4两个数字中随机抽取；当通过</w:t>
            </w:r>
            <w:r>
              <w:rPr>
                <w:rFonts w:hint="eastAsia" w:ascii="宋体" w:hAnsi="宋体"/>
                <w:szCs w:val="21"/>
              </w:rPr>
              <w:t>第一个信封评审</w:t>
            </w:r>
            <w:r>
              <w:rPr>
                <w:rFonts w:hint="eastAsia" w:ascii="宋体" w:hAnsi="宋体"/>
                <w:color w:val="000000"/>
                <w:szCs w:val="21"/>
              </w:rPr>
              <w:t>的投标人数量等于3家时，不再抽取。</w:t>
            </w:r>
          </w:p>
          <w:p>
            <w:pPr>
              <w:spacing w:line="440" w:lineRule="exact"/>
              <w:ind w:firstLine="422" w:firstLineChars="200"/>
              <w:jc w:val="left"/>
              <w:rPr>
                <w:rFonts w:hint="eastAsia" w:ascii="宋体" w:hAnsi="宋体"/>
                <w:b/>
                <w:szCs w:val="21"/>
              </w:rPr>
            </w:pPr>
            <w:r>
              <w:rPr>
                <w:rFonts w:hint="eastAsia" w:ascii="宋体" w:hAnsi="宋体"/>
                <w:b/>
                <w:szCs w:val="21"/>
              </w:rPr>
              <w:t>3.4 第二个信封初步评审</w:t>
            </w:r>
          </w:p>
          <w:p>
            <w:pPr>
              <w:spacing w:line="440" w:lineRule="exact"/>
              <w:ind w:firstLine="420" w:firstLineChars="200"/>
              <w:jc w:val="left"/>
              <w:rPr>
                <w:rFonts w:hint="eastAsia" w:ascii="宋体" w:hAnsi="宋体"/>
                <w:szCs w:val="21"/>
              </w:rPr>
            </w:pPr>
            <w:r>
              <w:rPr>
                <w:rFonts w:hint="eastAsia" w:ascii="宋体" w:hAnsi="宋体"/>
                <w:szCs w:val="21"/>
              </w:rPr>
              <w:t>3.4.1评标委员会依据本章第2.1.1项、第2.1.3项规定的评审标准对投标文件第二个信封（报价文件）进行初步评审。有一项不符合评审标准的，评标委员会应否决其投标。</w:t>
            </w:r>
          </w:p>
          <w:p>
            <w:pPr>
              <w:spacing w:line="440" w:lineRule="exact"/>
              <w:ind w:firstLine="420" w:firstLineChars="200"/>
              <w:jc w:val="left"/>
              <w:rPr>
                <w:rFonts w:hint="eastAsia" w:ascii="宋体" w:hAnsi="宋体"/>
                <w:szCs w:val="21"/>
              </w:rPr>
            </w:pPr>
            <w:r>
              <w:rPr>
                <w:rFonts w:hint="eastAsia" w:ascii="宋体" w:hAnsi="宋体"/>
                <w:szCs w:val="21"/>
              </w:rPr>
              <w:t>3.4.2投标文件中的大写金额与小写金额不一致的，以大写金额为准，若最终投标报价超过最高投标限价（如有），评标委员会应否决其投标。</w:t>
            </w:r>
          </w:p>
          <w:p>
            <w:pPr>
              <w:spacing w:line="440" w:lineRule="exact"/>
              <w:ind w:firstLine="420" w:firstLineChars="200"/>
              <w:jc w:val="left"/>
              <w:rPr>
                <w:rFonts w:hint="eastAsia" w:ascii="宋体" w:hAnsi="宋体"/>
                <w:szCs w:val="21"/>
              </w:rPr>
            </w:pPr>
            <w:r>
              <w:rPr>
                <w:rFonts w:hint="eastAsia" w:ascii="宋体" w:hAnsi="宋体"/>
                <w:szCs w:val="21"/>
              </w:rPr>
              <w:t>3.4.3当投标人的第二个信封（投标报价）数量由于否决投标而不足三份时，按实际投标文件数量评审。</w:t>
            </w:r>
          </w:p>
          <w:p>
            <w:pPr>
              <w:spacing w:line="440" w:lineRule="exact"/>
              <w:ind w:firstLine="422" w:firstLineChars="200"/>
              <w:jc w:val="left"/>
              <w:rPr>
                <w:rFonts w:hint="eastAsia" w:ascii="宋体" w:hAnsi="宋体"/>
                <w:b/>
                <w:szCs w:val="21"/>
              </w:rPr>
            </w:pPr>
            <w:r>
              <w:rPr>
                <w:rFonts w:hint="eastAsia" w:ascii="宋体" w:hAnsi="宋体"/>
                <w:b/>
                <w:szCs w:val="21"/>
              </w:rPr>
              <w:t>3.5 第二个信封详细评审</w:t>
            </w:r>
          </w:p>
          <w:p>
            <w:pPr>
              <w:spacing w:line="440" w:lineRule="exact"/>
              <w:ind w:firstLine="420" w:firstLineChars="200"/>
              <w:jc w:val="left"/>
              <w:rPr>
                <w:rFonts w:ascii="宋体" w:hAnsi="宋体"/>
                <w:szCs w:val="21"/>
              </w:rPr>
            </w:pPr>
            <w:r>
              <w:rPr>
                <w:rFonts w:hint="eastAsia" w:ascii="宋体" w:hAnsi="宋体"/>
                <w:szCs w:val="21"/>
              </w:rPr>
              <w:t>3.5.1评标委员会对通过第二个信封（报价文件）的初步评审的投标人的报价进行评审；</w:t>
            </w:r>
          </w:p>
          <w:p>
            <w:pPr>
              <w:spacing w:line="440" w:lineRule="exact"/>
              <w:ind w:firstLine="420" w:firstLineChars="200"/>
              <w:jc w:val="left"/>
              <w:rPr>
                <w:rFonts w:hint="eastAsia" w:ascii="宋体" w:hAnsi="宋体"/>
                <w:szCs w:val="21"/>
              </w:rPr>
            </w:pPr>
            <w:r>
              <w:rPr>
                <w:rFonts w:hint="eastAsia" w:ascii="宋体" w:hAnsi="宋体"/>
                <w:szCs w:val="21"/>
              </w:rPr>
              <w:t>3.5.2评标价=有效的投标函大写文字报价；</w:t>
            </w:r>
          </w:p>
          <w:p>
            <w:pPr>
              <w:spacing w:line="440" w:lineRule="exact"/>
              <w:ind w:firstLine="420" w:firstLineChars="200"/>
              <w:jc w:val="left"/>
              <w:rPr>
                <w:rFonts w:hint="eastAsia" w:ascii="宋体" w:hAnsi="宋体" w:cs="宋体"/>
                <w:sz w:val="16"/>
                <w:szCs w:val="16"/>
              </w:rPr>
            </w:pPr>
            <w:r>
              <w:rPr>
                <w:rFonts w:hint="eastAsia" w:ascii="宋体" w:hAnsi="宋体"/>
                <w:color w:val="000000"/>
                <w:szCs w:val="21"/>
              </w:rPr>
              <w:t>3.5.3理论成本价=[最高投标限价*50%+评标价算术平均值*5</w:t>
            </w:r>
            <w:r>
              <w:rPr>
                <w:rFonts w:hint="eastAsia" w:ascii="宋体" w:hAnsi="宋体"/>
                <w:szCs w:val="21"/>
              </w:rPr>
              <w:t>0%]*0.85（</w:t>
            </w:r>
            <w:r>
              <w:rPr>
                <w:rFonts w:hint="eastAsia" w:ascii="宋体" w:hAnsi="宋体" w:cs="宋体"/>
                <w:szCs w:val="21"/>
              </w:rPr>
              <w:t>当评标价个数大于或等于5家时去掉其中的一个最高值和一个最低值，再进行算术平均值计算，计算后的结果</w:t>
            </w:r>
            <w:r>
              <w:rPr>
                <w:rFonts w:hint="eastAsia" w:ascii="宋体" w:hAnsi="宋体"/>
                <w:szCs w:val="21"/>
              </w:rPr>
              <w:t>换算为百分数，百分号前保留三位小数，第四位“四舍五入”</w:t>
            </w:r>
            <w:r>
              <w:rPr>
                <w:rFonts w:hint="eastAsia" w:ascii="宋体" w:hAnsi="宋体" w:cs="宋体"/>
                <w:szCs w:val="21"/>
              </w:rPr>
              <w:t>）；</w:t>
            </w:r>
          </w:p>
          <w:p>
            <w:pPr>
              <w:spacing w:line="440" w:lineRule="exact"/>
              <w:ind w:firstLine="420" w:firstLineChars="200"/>
              <w:jc w:val="left"/>
              <w:rPr>
                <w:rFonts w:hint="eastAsia" w:ascii="宋体" w:hAnsi="宋体"/>
                <w:szCs w:val="21"/>
              </w:rPr>
            </w:pPr>
            <w:r>
              <w:rPr>
                <w:rFonts w:hint="eastAsia" w:ascii="宋体" w:hAnsi="宋体"/>
                <w:szCs w:val="21"/>
              </w:rPr>
              <w:t>3.5.4评标价低于理论成本价的，不参与后续评审。</w:t>
            </w:r>
          </w:p>
          <w:p>
            <w:pPr>
              <w:spacing w:line="440" w:lineRule="exact"/>
              <w:ind w:firstLine="422" w:firstLineChars="200"/>
              <w:jc w:val="left"/>
              <w:rPr>
                <w:rFonts w:hint="eastAsia" w:ascii="宋体" w:hAnsi="宋体"/>
                <w:b/>
                <w:szCs w:val="21"/>
              </w:rPr>
            </w:pPr>
            <w:r>
              <w:rPr>
                <w:rFonts w:hint="eastAsia" w:ascii="宋体" w:hAnsi="宋体"/>
                <w:b/>
                <w:szCs w:val="21"/>
              </w:rPr>
              <w:t>3.6 投标文件相关信息的核查</w:t>
            </w:r>
          </w:p>
          <w:p>
            <w:pPr>
              <w:spacing w:line="440" w:lineRule="exact"/>
              <w:ind w:firstLine="420" w:firstLineChars="200"/>
              <w:jc w:val="left"/>
              <w:rPr>
                <w:rFonts w:hint="eastAsia" w:ascii="宋体" w:hAnsi="宋体"/>
                <w:szCs w:val="21"/>
              </w:rPr>
            </w:pPr>
            <w:r>
              <w:rPr>
                <w:rFonts w:hint="eastAsia" w:ascii="宋体" w:hAnsi="宋体"/>
                <w:szCs w:val="21"/>
              </w:rPr>
              <w:t>3.6.1 在评标过程中，评标委员会应查询规定网站，对投标人的资质、业绩、主要人员资历等信息进行核实。若投标文件载明的信息与规定网站发布的信息不符，使得投标人的资格条件不符合招标文件规定的，评标委员会应否决其投标。</w:t>
            </w:r>
          </w:p>
          <w:p>
            <w:pPr>
              <w:spacing w:line="440" w:lineRule="exact"/>
              <w:ind w:firstLine="420" w:firstLineChars="200"/>
              <w:jc w:val="left"/>
              <w:rPr>
                <w:rFonts w:hint="eastAsia" w:ascii="宋体" w:hAnsi="宋体"/>
                <w:szCs w:val="21"/>
              </w:rPr>
            </w:pPr>
            <w:r>
              <w:rPr>
                <w:rFonts w:hint="eastAsia" w:ascii="宋体" w:hAnsi="宋体"/>
                <w:szCs w:val="21"/>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40" w:lineRule="exact"/>
              <w:ind w:firstLine="420" w:firstLineChars="200"/>
              <w:jc w:val="left"/>
              <w:rPr>
                <w:rFonts w:hint="eastAsia" w:ascii="宋体" w:hAnsi="宋体"/>
                <w:szCs w:val="21"/>
              </w:rPr>
            </w:pPr>
            <w:r>
              <w:rPr>
                <w:rFonts w:hint="eastAsia" w:ascii="宋体" w:hAnsi="宋体"/>
                <w:szCs w:val="21"/>
              </w:rPr>
              <w:t>（1）有下列情形之一的，属于投标人相互串通投标：</w:t>
            </w:r>
          </w:p>
          <w:p>
            <w:pPr>
              <w:spacing w:line="440" w:lineRule="exact"/>
              <w:ind w:firstLine="630" w:firstLineChars="300"/>
              <w:jc w:val="left"/>
              <w:rPr>
                <w:rFonts w:hint="eastAsia" w:ascii="宋体" w:hAnsi="宋体"/>
                <w:szCs w:val="21"/>
              </w:rPr>
            </w:pPr>
            <w:r>
              <w:rPr>
                <w:rFonts w:hint="eastAsia" w:ascii="宋体" w:hAnsi="宋体"/>
                <w:szCs w:val="21"/>
              </w:rPr>
              <w:t>a.投标人之间协商投标报价等投标文件的实质性内容；</w:t>
            </w:r>
          </w:p>
          <w:p>
            <w:pPr>
              <w:spacing w:line="440" w:lineRule="exact"/>
              <w:ind w:firstLine="630" w:firstLineChars="300"/>
              <w:jc w:val="left"/>
              <w:rPr>
                <w:rFonts w:hint="eastAsia" w:ascii="宋体" w:hAnsi="宋体"/>
                <w:szCs w:val="21"/>
              </w:rPr>
            </w:pPr>
            <w:r>
              <w:rPr>
                <w:rFonts w:hint="eastAsia" w:ascii="宋体" w:hAnsi="宋体"/>
                <w:szCs w:val="21"/>
              </w:rPr>
              <w:t>b.投标人之间约定中标人；</w:t>
            </w:r>
          </w:p>
          <w:p>
            <w:pPr>
              <w:spacing w:line="440" w:lineRule="exact"/>
              <w:ind w:firstLine="630" w:firstLineChars="300"/>
              <w:jc w:val="left"/>
              <w:rPr>
                <w:rFonts w:hint="eastAsia" w:ascii="宋体" w:hAnsi="宋体"/>
                <w:szCs w:val="21"/>
              </w:rPr>
            </w:pPr>
            <w:r>
              <w:rPr>
                <w:rFonts w:hint="eastAsia" w:ascii="宋体" w:hAnsi="宋体"/>
                <w:szCs w:val="21"/>
              </w:rPr>
              <w:t>c.投标人之间约定部分投标人放弃投标或中标；</w:t>
            </w:r>
          </w:p>
          <w:p>
            <w:pPr>
              <w:spacing w:line="440" w:lineRule="exact"/>
              <w:ind w:firstLine="630" w:firstLineChars="300"/>
              <w:jc w:val="left"/>
              <w:rPr>
                <w:rFonts w:hint="eastAsia" w:ascii="宋体" w:hAnsi="宋体"/>
                <w:szCs w:val="21"/>
              </w:rPr>
            </w:pPr>
            <w:r>
              <w:rPr>
                <w:rFonts w:hint="eastAsia" w:ascii="宋体" w:hAnsi="宋体"/>
                <w:szCs w:val="21"/>
              </w:rPr>
              <w:t>d.属于同一集团、协会、商会等组织成员的投标人按照该组织要求协同投标；</w:t>
            </w:r>
          </w:p>
          <w:p>
            <w:pPr>
              <w:spacing w:line="440" w:lineRule="exact"/>
              <w:ind w:firstLine="630" w:firstLineChars="300"/>
              <w:jc w:val="left"/>
              <w:rPr>
                <w:rFonts w:hint="eastAsia" w:ascii="宋体" w:hAnsi="宋体"/>
                <w:szCs w:val="21"/>
              </w:rPr>
            </w:pPr>
            <w:r>
              <w:rPr>
                <w:rFonts w:hint="eastAsia" w:ascii="宋体" w:hAnsi="宋体"/>
                <w:szCs w:val="21"/>
              </w:rPr>
              <w:t>e.投标人之间为谋取中标或排斥特定投标人而采取的其他联合行动。</w:t>
            </w:r>
          </w:p>
          <w:p>
            <w:pPr>
              <w:spacing w:line="440" w:lineRule="exact"/>
              <w:ind w:firstLine="420" w:firstLineChars="200"/>
              <w:jc w:val="left"/>
              <w:rPr>
                <w:rFonts w:hint="eastAsia" w:ascii="宋体" w:hAnsi="宋体"/>
                <w:szCs w:val="21"/>
              </w:rPr>
            </w:pPr>
            <w:r>
              <w:rPr>
                <w:rFonts w:hint="eastAsia" w:ascii="宋体" w:hAnsi="宋体"/>
                <w:szCs w:val="21"/>
              </w:rPr>
              <w:t>（2）有下列情形之一的，视为投标人相互串通投标：</w:t>
            </w:r>
          </w:p>
          <w:p>
            <w:pPr>
              <w:spacing w:line="440" w:lineRule="exact"/>
              <w:ind w:firstLine="630" w:firstLineChars="300"/>
              <w:jc w:val="left"/>
              <w:rPr>
                <w:rFonts w:hint="eastAsia" w:ascii="宋体" w:hAnsi="宋体"/>
                <w:szCs w:val="21"/>
              </w:rPr>
            </w:pPr>
            <w:r>
              <w:rPr>
                <w:rFonts w:hint="eastAsia" w:ascii="宋体" w:hAnsi="宋体"/>
                <w:szCs w:val="21"/>
              </w:rPr>
              <w:t>a.不同投标人的投标文件由同一单位或个人编制；</w:t>
            </w:r>
          </w:p>
          <w:p>
            <w:pPr>
              <w:spacing w:line="440" w:lineRule="exact"/>
              <w:ind w:firstLine="630" w:firstLineChars="300"/>
              <w:jc w:val="left"/>
              <w:rPr>
                <w:rFonts w:hint="eastAsia" w:ascii="宋体" w:hAnsi="宋体"/>
                <w:szCs w:val="21"/>
              </w:rPr>
            </w:pPr>
            <w:r>
              <w:rPr>
                <w:rFonts w:hint="eastAsia" w:ascii="宋体" w:hAnsi="宋体"/>
                <w:szCs w:val="21"/>
              </w:rPr>
              <w:t>b.不同投标人委托同一单位或个人办理投标事宜；</w:t>
            </w:r>
          </w:p>
          <w:p>
            <w:pPr>
              <w:spacing w:line="440" w:lineRule="exact"/>
              <w:ind w:firstLine="630" w:firstLineChars="300"/>
              <w:jc w:val="left"/>
              <w:rPr>
                <w:rFonts w:hint="eastAsia" w:ascii="宋体" w:hAnsi="宋体"/>
                <w:szCs w:val="21"/>
              </w:rPr>
            </w:pPr>
            <w:r>
              <w:rPr>
                <w:rFonts w:hint="eastAsia" w:ascii="宋体" w:hAnsi="宋体"/>
                <w:szCs w:val="21"/>
              </w:rPr>
              <w:t>c.不同投标人的投标文件载明的项目管理成员为同一人；</w:t>
            </w:r>
          </w:p>
          <w:p>
            <w:pPr>
              <w:spacing w:line="440" w:lineRule="exact"/>
              <w:ind w:firstLine="630" w:firstLineChars="300"/>
              <w:jc w:val="left"/>
              <w:rPr>
                <w:rFonts w:hint="eastAsia" w:ascii="宋体" w:hAnsi="宋体"/>
                <w:szCs w:val="21"/>
              </w:rPr>
            </w:pPr>
            <w:r>
              <w:rPr>
                <w:rFonts w:hint="eastAsia" w:ascii="宋体" w:hAnsi="宋体"/>
                <w:szCs w:val="21"/>
              </w:rPr>
              <w:t>d.不同投标人的投标文件异常一致或投标报价呈规律性差异；</w:t>
            </w:r>
          </w:p>
          <w:p>
            <w:pPr>
              <w:spacing w:line="440" w:lineRule="exact"/>
              <w:ind w:firstLine="630" w:firstLineChars="300"/>
              <w:jc w:val="left"/>
              <w:rPr>
                <w:rFonts w:hint="eastAsia" w:ascii="宋体" w:hAnsi="宋体"/>
                <w:szCs w:val="21"/>
              </w:rPr>
            </w:pPr>
            <w:r>
              <w:rPr>
                <w:rFonts w:hint="eastAsia" w:ascii="宋体" w:hAnsi="宋体"/>
                <w:szCs w:val="21"/>
              </w:rPr>
              <w:t>e.不同投标人的投标文件相互混装；</w:t>
            </w:r>
          </w:p>
          <w:p>
            <w:pPr>
              <w:spacing w:line="440" w:lineRule="exact"/>
              <w:ind w:firstLine="630" w:firstLineChars="300"/>
              <w:jc w:val="left"/>
              <w:rPr>
                <w:rFonts w:hint="eastAsia" w:ascii="宋体" w:hAnsi="宋体"/>
                <w:szCs w:val="21"/>
              </w:rPr>
            </w:pPr>
            <w:r>
              <w:rPr>
                <w:rFonts w:hint="eastAsia" w:ascii="宋体" w:hAnsi="宋体"/>
                <w:szCs w:val="21"/>
              </w:rPr>
              <w:t>f.不同投标人的投标保证金从同一单位或个人的账户转出；</w:t>
            </w:r>
          </w:p>
          <w:p>
            <w:pPr>
              <w:spacing w:line="440" w:lineRule="exact"/>
              <w:ind w:firstLine="630" w:firstLineChars="300"/>
              <w:jc w:val="left"/>
              <w:rPr>
                <w:rFonts w:hint="eastAsia" w:ascii="宋体" w:hAnsi="宋体"/>
                <w:szCs w:val="21"/>
              </w:rPr>
            </w:pPr>
            <w:r>
              <w:rPr>
                <w:rFonts w:hint="eastAsia" w:ascii="宋体" w:hAnsi="宋体"/>
                <w:szCs w:val="21"/>
              </w:rPr>
              <w:t>g.不同投标人的CA数字证书混用。</w:t>
            </w:r>
          </w:p>
          <w:p>
            <w:pPr>
              <w:spacing w:line="440" w:lineRule="exact"/>
              <w:ind w:firstLine="420" w:firstLineChars="200"/>
              <w:jc w:val="left"/>
              <w:rPr>
                <w:rFonts w:hint="eastAsia" w:ascii="宋体" w:hAnsi="宋体"/>
                <w:szCs w:val="21"/>
              </w:rPr>
            </w:pPr>
            <w:r>
              <w:rPr>
                <w:rFonts w:hint="eastAsia" w:ascii="宋体" w:hAnsi="宋体"/>
                <w:szCs w:val="21"/>
              </w:rPr>
              <w:t>（3）有下列情形之一的，属于招标人与投标人串通投标：</w:t>
            </w:r>
          </w:p>
          <w:p>
            <w:pPr>
              <w:spacing w:line="440" w:lineRule="exact"/>
              <w:ind w:firstLine="630" w:firstLineChars="300"/>
              <w:jc w:val="left"/>
              <w:rPr>
                <w:rFonts w:hint="eastAsia" w:ascii="宋体" w:hAnsi="宋体"/>
                <w:szCs w:val="21"/>
              </w:rPr>
            </w:pPr>
            <w:r>
              <w:rPr>
                <w:rFonts w:hint="eastAsia" w:ascii="宋体" w:hAnsi="宋体"/>
                <w:szCs w:val="21"/>
              </w:rPr>
              <w:t>a.招标人在开标前开启投标文件并将有关信息泄露给其他投标人;</w:t>
            </w:r>
          </w:p>
          <w:p>
            <w:pPr>
              <w:spacing w:line="440" w:lineRule="exact"/>
              <w:ind w:firstLine="630" w:firstLineChars="300"/>
              <w:jc w:val="left"/>
              <w:rPr>
                <w:rFonts w:hint="eastAsia" w:ascii="宋体" w:hAnsi="宋体"/>
                <w:szCs w:val="21"/>
              </w:rPr>
            </w:pPr>
            <w:r>
              <w:rPr>
                <w:rFonts w:hint="eastAsia" w:ascii="宋体" w:hAnsi="宋体"/>
                <w:szCs w:val="21"/>
              </w:rPr>
              <w:t>b.招标人直接或间接向投标人泄露标底、评标委员会成员等信息；</w:t>
            </w:r>
          </w:p>
          <w:p>
            <w:pPr>
              <w:spacing w:line="440" w:lineRule="exact"/>
              <w:ind w:firstLine="630" w:firstLineChars="300"/>
              <w:jc w:val="left"/>
              <w:rPr>
                <w:rFonts w:hint="eastAsia" w:ascii="宋体" w:hAnsi="宋体"/>
                <w:szCs w:val="21"/>
              </w:rPr>
            </w:pPr>
            <w:r>
              <w:rPr>
                <w:rFonts w:hint="eastAsia" w:ascii="宋体" w:hAnsi="宋体"/>
                <w:szCs w:val="21"/>
              </w:rPr>
              <w:t>c.招标人明示或暗示投标人压低或抬高投标报价；</w:t>
            </w:r>
          </w:p>
          <w:p>
            <w:pPr>
              <w:spacing w:line="440" w:lineRule="exact"/>
              <w:ind w:firstLine="630" w:firstLineChars="300"/>
              <w:jc w:val="left"/>
              <w:rPr>
                <w:rFonts w:hint="eastAsia" w:ascii="宋体" w:hAnsi="宋体"/>
                <w:szCs w:val="21"/>
              </w:rPr>
            </w:pPr>
            <w:r>
              <w:rPr>
                <w:rFonts w:hint="eastAsia" w:ascii="宋体" w:hAnsi="宋体"/>
                <w:szCs w:val="21"/>
              </w:rPr>
              <w:t>d.招标人授意投标人撤换、修改投标文件；</w:t>
            </w:r>
          </w:p>
          <w:p>
            <w:pPr>
              <w:spacing w:line="440" w:lineRule="exact"/>
              <w:ind w:firstLine="630" w:firstLineChars="300"/>
              <w:jc w:val="left"/>
              <w:rPr>
                <w:rFonts w:hint="eastAsia" w:ascii="宋体" w:hAnsi="宋体"/>
                <w:szCs w:val="21"/>
              </w:rPr>
            </w:pPr>
            <w:r>
              <w:rPr>
                <w:rFonts w:hint="eastAsia" w:ascii="宋体" w:hAnsi="宋体"/>
                <w:szCs w:val="21"/>
              </w:rPr>
              <w:t>e.招标人明示或暗示投标人为特定投标人中标提供方便；</w:t>
            </w:r>
          </w:p>
          <w:p>
            <w:pPr>
              <w:spacing w:line="440" w:lineRule="exact"/>
              <w:ind w:firstLine="630" w:firstLineChars="300"/>
              <w:jc w:val="left"/>
              <w:rPr>
                <w:rFonts w:hint="eastAsia" w:ascii="宋体" w:hAnsi="宋体"/>
                <w:szCs w:val="21"/>
              </w:rPr>
            </w:pPr>
            <w:r>
              <w:rPr>
                <w:rFonts w:hint="eastAsia" w:ascii="宋体" w:hAnsi="宋体"/>
                <w:szCs w:val="21"/>
              </w:rPr>
              <w:t>f.招标人与投标人为谋求特定投标人中标而采取的其他串通行为。</w:t>
            </w:r>
          </w:p>
          <w:p>
            <w:pPr>
              <w:spacing w:line="440" w:lineRule="exact"/>
              <w:ind w:firstLine="420" w:firstLineChars="200"/>
              <w:jc w:val="left"/>
              <w:rPr>
                <w:rFonts w:hint="eastAsia" w:ascii="宋体" w:hAnsi="宋体"/>
                <w:szCs w:val="21"/>
              </w:rPr>
            </w:pPr>
            <w:r>
              <w:rPr>
                <w:rFonts w:hint="eastAsia" w:ascii="宋体" w:hAnsi="宋体"/>
                <w:szCs w:val="21"/>
              </w:rPr>
              <w:t>（4）投标人有下列情形之一的，属于弄虚作假的行为：</w:t>
            </w:r>
          </w:p>
          <w:p>
            <w:pPr>
              <w:spacing w:line="440" w:lineRule="exact"/>
              <w:ind w:firstLine="630" w:firstLineChars="300"/>
              <w:jc w:val="left"/>
              <w:rPr>
                <w:rFonts w:hint="eastAsia" w:ascii="宋体" w:hAnsi="宋体"/>
                <w:szCs w:val="21"/>
              </w:rPr>
            </w:pPr>
            <w:r>
              <w:rPr>
                <w:rFonts w:hint="eastAsia" w:ascii="宋体" w:hAnsi="宋体"/>
                <w:szCs w:val="21"/>
              </w:rPr>
              <w:t>a.使用通过受让或租借等方式获取的资格、资质证书投标；</w:t>
            </w:r>
          </w:p>
          <w:p>
            <w:pPr>
              <w:spacing w:line="440" w:lineRule="exact"/>
              <w:ind w:firstLine="630" w:firstLineChars="300"/>
              <w:jc w:val="left"/>
              <w:rPr>
                <w:rFonts w:hint="eastAsia" w:ascii="宋体" w:hAnsi="宋体"/>
                <w:szCs w:val="21"/>
              </w:rPr>
            </w:pPr>
            <w:r>
              <w:rPr>
                <w:rFonts w:hint="eastAsia" w:ascii="宋体" w:hAnsi="宋体"/>
                <w:szCs w:val="21"/>
              </w:rPr>
              <w:t>b.使用伪造、变造的许可证件；</w:t>
            </w:r>
          </w:p>
          <w:p>
            <w:pPr>
              <w:spacing w:line="440" w:lineRule="exact"/>
              <w:ind w:firstLine="630" w:firstLineChars="300"/>
              <w:jc w:val="left"/>
              <w:rPr>
                <w:rFonts w:hint="eastAsia" w:ascii="宋体" w:hAnsi="宋体"/>
                <w:szCs w:val="21"/>
              </w:rPr>
            </w:pPr>
            <w:r>
              <w:rPr>
                <w:rFonts w:hint="eastAsia" w:ascii="宋体" w:hAnsi="宋体"/>
                <w:szCs w:val="21"/>
              </w:rPr>
              <w:t>c.提供虚假的财务状况或业绩；</w:t>
            </w:r>
          </w:p>
          <w:p>
            <w:pPr>
              <w:spacing w:line="400" w:lineRule="exact"/>
              <w:ind w:firstLine="630" w:firstLineChars="300"/>
              <w:jc w:val="left"/>
              <w:rPr>
                <w:rFonts w:hint="eastAsia" w:ascii="宋体" w:hAnsi="宋体"/>
                <w:szCs w:val="21"/>
              </w:rPr>
            </w:pPr>
            <w:r>
              <w:rPr>
                <w:rFonts w:hint="eastAsia" w:ascii="宋体" w:hAnsi="宋体"/>
                <w:szCs w:val="21"/>
              </w:rPr>
              <w:t>d.提供虚假的项目负责人或主要技术人员简历、劳动关系证明；</w:t>
            </w:r>
          </w:p>
          <w:p>
            <w:pPr>
              <w:spacing w:line="400" w:lineRule="exact"/>
              <w:ind w:firstLine="630" w:firstLineChars="300"/>
              <w:jc w:val="left"/>
              <w:rPr>
                <w:rFonts w:hint="eastAsia" w:ascii="宋体" w:hAnsi="宋体"/>
                <w:szCs w:val="21"/>
              </w:rPr>
            </w:pPr>
            <w:r>
              <w:rPr>
                <w:rFonts w:hint="eastAsia" w:ascii="宋体" w:hAnsi="宋体"/>
                <w:szCs w:val="21"/>
              </w:rPr>
              <w:t>e.提供虚假的信用状况；</w:t>
            </w:r>
          </w:p>
          <w:p>
            <w:pPr>
              <w:spacing w:line="400" w:lineRule="exact"/>
              <w:ind w:firstLine="630" w:firstLineChars="300"/>
              <w:jc w:val="left"/>
              <w:rPr>
                <w:rFonts w:hint="eastAsia" w:ascii="宋体" w:hAnsi="宋体"/>
                <w:szCs w:val="21"/>
              </w:rPr>
            </w:pPr>
            <w:r>
              <w:rPr>
                <w:rFonts w:hint="eastAsia" w:ascii="宋体" w:hAnsi="宋体"/>
                <w:szCs w:val="21"/>
              </w:rPr>
              <w:t>f.其他弄虚作假的行为。</w:t>
            </w:r>
          </w:p>
          <w:p>
            <w:pPr>
              <w:spacing w:line="400" w:lineRule="exact"/>
              <w:ind w:firstLine="630" w:firstLineChars="300"/>
              <w:jc w:val="left"/>
              <w:rPr>
                <w:rFonts w:hint="eastAsia" w:ascii="宋体" w:hAnsi="宋体"/>
                <w:szCs w:val="21"/>
              </w:rPr>
            </w:pPr>
            <w:r>
              <w:rPr>
                <w:rFonts w:hint="eastAsia" w:ascii="宋体" w:hAnsi="宋体"/>
                <w:szCs w:val="21"/>
              </w:rPr>
              <w:t>3.6.3投标人存在下列（1）所列情形的，否决其投标：</w:t>
            </w:r>
          </w:p>
          <w:p>
            <w:pPr>
              <w:spacing w:line="400" w:lineRule="exact"/>
              <w:ind w:firstLine="630" w:firstLineChars="300"/>
              <w:jc w:val="left"/>
              <w:rPr>
                <w:rFonts w:hint="eastAsia" w:ascii="宋体" w:hAnsi="宋体"/>
                <w:szCs w:val="21"/>
              </w:rPr>
            </w:pPr>
            <w:r>
              <w:rPr>
                <w:rFonts w:hint="eastAsia" w:ascii="宋体" w:hAnsi="宋体"/>
                <w:szCs w:val="21"/>
              </w:rPr>
              <w:t>（1）不同投标人间不得有下列情形：</w:t>
            </w:r>
          </w:p>
          <w:p>
            <w:pPr>
              <w:spacing w:line="400" w:lineRule="exact"/>
              <w:ind w:firstLine="630" w:firstLineChars="300"/>
              <w:jc w:val="left"/>
              <w:rPr>
                <w:rFonts w:hint="eastAsia" w:ascii="宋体" w:hAnsi="宋体"/>
                <w:szCs w:val="21"/>
              </w:rPr>
            </w:pPr>
            <w:r>
              <w:rPr>
                <w:rFonts w:hint="eastAsia" w:ascii="宋体" w:hAnsi="宋体"/>
                <w:szCs w:val="21"/>
              </w:rPr>
              <w:t>a.不同投标人的投标文件由同一电子设备编制、打印加密或者上传；</w:t>
            </w:r>
          </w:p>
          <w:p>
            <w:pPr>
              <w:spacing w:line="400" w:lineRule="exact"/>
              <w:ind w:firstLine="630" w:firstLineChars="300"/>
              <w:jc w:val="left"/>
              <w:rPr>
                <w:rFonts w:hint="eastAsia" w:ascii="宋体" w:hAnsi="宋体"/>
                <w:szCs w:val="21"/>
              </w:rPr>
            </w:pPr>
            <w:r>
              <w:rPr>
                <w:rFonts w:hint="eastAsia" w:ascii="宋体" w:hAnsi="宋体"/>
                <w:szCs w:val="21"/>
              </w:rPr>
              <w:t>b.不同投标人的投标文件的实质性内容存在两处以上细节错误一致；</w:t>
            </w:r>
          </w:p>
          <w:p>
            <w:pPr>
              <w:spacing w:line="400" w:lineRule="exact"/>
              <w:ind w:firstLine="630" w:firstLineChars="300"/>
              <w:jc w:val="left"/>
              <w:rPr>
                <w:rFonts w:hint="eastAsia" w:ascii="宋体" w:hAnsi="宋体"/>
                <w:szCs w:val="21"/>
              </w:rPr>
            </w:pPr>
            <w:r>
              <w:rPr>
                <w:rFonts w:hint="eastAsia" w:ascii="宋体" w:hAnsi="宋体"/>
                <w:szCs w:val="21"/>
              </w:rPr>
              <w:t>c.电子投标文件记录的MAC地址、硬盘序列号等硬件信息出现任一相同情况，包含不同投标人在不同批次投标活动中信息相同情况；</w:t>
            </w:r>
          </w:p>
          <w:p>
            <w:pPr>
              <w:spacing w:line="400" w:lineRule="exact"/>
              <w:ind w:firstLine="630" w:firstLineChars="300"/>
              <w:jc w:val="left"/>
              <w:rPr>
                <w:rFonts w:hint="eastAsia" w:ascii="宋体" w:hAnsi="宋体"/>
                <w:szCs w:val="21"/>
              </w:rPr>
            </w:pPr>
            <w:r>
              <w:rPr>
                <w:rFonts w:hint="eastAsia" w:ascii="宋体" w:hAnsi="宋体"/>
                <w:szCs w:val="21"/>
              </w:rPr>
              <w:t>d.投标文件的制作、记录上传IP地址，投标人购买招标文件IP地址等信息出现任一相同情况。</w:t>
            </w:r>
          </w:p>
          <w:p>
            <w:pPr>
              <w:spacing w:line="400" w:lineRule="exact"/>
              <w:ind w:firstLine="630" w:firstLineChars="300"/>
              <w:jc w:val="left"/>
              <w:rPr>
                <w:rFonts w:hint="eastAsia" w:ascii="宋体" w:hAnsi="宋体"/>
                <w:szCs w:val="21"/>
              </w:rPr>
            </w:pPr>
          </w:p>
          <w:p>
            <w:pPr>
              <w:spacing w:line="400" w:lineRule="exact"/>
              <w:ind w:firstLine="422" w:firstLineChars="200"/>
              <w:jc w:val="left"/>
              <w:rPr>
                <w:rFonts w:hint="eastAsia" w:ascii="宋体" w:hAnsi="宋体"/>
                <w:b/>
                <w:szCs w:val="21"/>
              </w:rPr>
            </w:pPr>
            <w:r>
              <w:rPr>
                <w:rFonts w:hint="eastAsia" w:ascii="宋体" w:hAnsi="宋体"/>
                <w:b/>
                <w:szCs w:val="21"/>
              </w:rPr>
              <w:t>3.7 投标文件的澄清和说明</w:t>
            </w:r>
          </w:p>
          <w:p>
            <w:pPr>
              <w:spacing w:line="400" w:lineRule="exact"/>
              <w:ind w:firstLine="420" w:firstLineChars="200"/>
              <w:jc w:val="left"/>
              <w:rPr>
                <w:rFonts w:hint="eastAsia" w:ascii="宋体" w:hAnsi="宋体"/>
                <w:szCs w:val="21"/>
              </w:rPr>
            </w:pPr>
            <w:r>
              <w:rPr>
                <w:rFonts w:hint="eastAsia" w:ascii="宋体" w:hAnsi="宋体"/>
                <w:szCs w:val="21"/>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20" w:firstLineChars="200"/>
              <w:jc w:val="left"/>
              <w:rPr>
                <w:rFonts w:hint="eastAsia" w:ascii="宋体" w:hAnsi="宋体"/>
                <w:szCs w:val="21"/>
              </w:rPr>
            </w:pPr>
            <w:r>
              <w:rPr>
                <w:rFonts w:hint="eastAsia" w:ascii="宋体" w:hAnsi="宋体"/>
                <w:szCs w:val="21"/>
              </w:rPr>
              <w:t>3.7.2 澄清和说明不得超出投标文件的范围或改变投标文件的实质性内容（算术性错误修正的除外）。投标人的书面澄清、说明属于投标文件的组成部分。</w:t>
            </w:r>
          </w:p>
          <w:p>
            <w:pPr>
              <w:spacing w:line="400" w:lineRule="exact"/>
              <w:ind w:firstLine="420" w:firstLineChars="200"/>
              <w:jc w:val="left"/>
              <w:rPr>
                <w:rFonts w:hint="eastAsia" w:ascii="宋体" w:hAnsi="宋体"/>
                <w:szCs w:val="21"/>
              </w:rPr>
            </w:pPr>
            <w:r>
              <w:rPr>
                <w:rFonts w:hint="eastAsia" w:ascii="宋体" w:hAnsi="宋体"/>
                <w:szCs w:val="21"/>
              </w:rPr>
              <w:t>3.7.3 评标委员会不得暗示或诱导投标人作出澄清、说明，对投标人提交的澄清、说明有疑问的，可以要求投标人进一步澄清或说明，直至满足评标委员会的要求。</w:t>
            </w:r>
          </w:p>
          <w:p>
            <w:pPr>
              <w:spacing w:line="400" w:lineRule="exact"/>
              <w:ind w:firstLine="420" w:firstLineChars="200"/>
              <w:jc w:val="left"/>
              <w:rPr>
                <w:rFonts w:hint="eastAsia" w:ascii="宋体" w:hAnsi="宋体"/>
                <w:szCs w:val="21"/>
              </w:rPr>
            </w:pPr>
            <w:r>
              <w:rPr>
                <w:rFonts w:hint="eastAsia" w:ascii="宋体" w:hAnsi="宋体"/>
                <w:szCs w:val="21"/>
              </w:rPr>
              <w:t>3.7.4凡超出招标文件规定的或给发包人带来未曾要求的利益的变化、偏差或其他因素在评标时不予考虑。</w:t>
            </w:r>
          </w:p>
          <w:p>
            <w:pPr>
              <w:spacing w:line="400" w:lineRule="exact"/>
              <w:ind w:firstLine="422" w:firstLineChars="200"/>
              <w:jc w:val="left"/>
              <w:rPr>
                <w:rFonts w:hint="eastAsia" w:ascii="宋体" w:hAnsi="宋体"/>
                <w:b/>
                <w:szCs w:val="21"/>
              </w:rPr>
            </w:pPr>
            <w:r>
              <w:rPr>
                <w:rFonts w:hint="eastAsia" w:ascii="宋体" w:hAnsi="宋体"/>
                <w:b/>
                <w:szCs w:val="21"/>
              </w:rPr>
              <w:t>3.8 不得否决投标的情形</w:t>
            </w:r>
          </w:p>
          <w:p>
            <w:pPr>
              <w:spacing w:line="400" w:lineRule="exact"/>
              <w:ind w:firstLine="420" w:firstLineChars="200"/>
              <w:jc w:val="left"/>
              <w:rPr>
                <w:rFonts w:hint="eastAsia" w:ascii="宋体" w:hAnsi="宋体"/>
                <w:szCs w:val="21"/>
              </w:rPr>
            </w:pPr>
            <w:r>
              <w:rPr>
                <w:rFonts w:hint="eastAsia" w:ascii="宋体" w:hAnsi="宋体"/>
                <w:szCs w:val="21"/>
              </w:rPr>
              <w:t>投标文件存在第二章“投标人须知”第1.9.3项所列情形的，均视为细微偏差，评标委员会不得否决投标人的投标，应按照第二章“投标人须知”第1.9.4项规定的原则处理。</w:t>
            </w:r>
          </w:p>
          <w:p>
            <w:pPr>
              <w:spacing w:line="400" w:lineRule="exact"/>
              <w:ind w:firstLine="422" w:firstLineChars="200"/>
              <w:jc w:val="left"/>
              <w:rPr>
                <w:rFonts w:hint="eastAsia" w:ascii="宋体" w:hAnsi="宋体"/>
                <w:b/>
                <w:szCs w:val="21"/>
              </w:rPr>
            </w:pPr>
            <w:r>
              <w:rPr>
                <w:rFonts w:hint="eastAsia" w:ascii="宋体" w:hAnsi="宋体"/>
                <w:b/>
                <w:szCs w:val="21"/>
              </w:rPr>
              <w:t>3.9 评标结果</w:t>
            </w:r>
          </w:p>
          <w:p>
            <w:pPr>
              <w:spacing w:line="400" w:lineRule="exact"/>
              <w:ind w:firstLine="420" w:firstLineChars="200"/>
              <w:jc w:val="left"/>
              <w:rPr>
                <w:rFonts w:hint="eastAsia" w:ascii="宋体" w:hAnsi="宋体"/>
                <w:szCs w:val="21"/>
              </w:rPr>
            </w:pPr>
            <w:r>
              <w:rPr>
                <w:rFonts w:hint="eastAsia" w:ascii="宋体" w:hAnsi="宋体"/>
                <w:szCs w:val="21"/>
              </w:rPr>
              <w:t>3.9.1 除第二章“投标人须知”前附表授权直接确定中标人外，评标委员会按照投标报价由低到高的顺序推荐一名中标候选人。</w:t>
            </w:r>
          </w:p>
          <w:p>
            <w:pPr>
              <w:spacing w:line="400" w:lineRule="exact"/>
              <w:ind w:firstLine="420" w:firstLineChars="200"/>
              <w:jc w:val="left"/>
              <w:rPr>
                <w:rFonts w:hint="eastAsia"/>
                <w:szCs w:val="21"/>
              </w:rPr>
            </w:pPr>
            <w:r>
              <w:rPr>
                <w:rFonts w:hint="eastAsia" w:ascii="宋体" w:hAnsi="宋体"/>
                <w:szCs w:val="21"/>
              </w:rPr>
              <w:t>3.9.2 评标委员会完成评标后，应当向招标人提交书面评标报告。</w:t>
            </w:r>
          </w:p>
        </w:tc>
      </w:tr>
    </w:tbl>
    <w:p>
      <w:pPr>
        <w:spacing w:line="400" w:lineRule="exact"/>
        <w:jc w:val="left"/>
        <w:rPr>
          <w:rFonts w:hint="eastAsia" w:ascii="宋体" w:hAnsi="宋体"/>
          <w:sz w:val="24"/>
        </w:rPr>
      </w:pPr>
    </w:p>
    <w:p>
      <w:pPr>
        <w:autoSpaceDE w:val="0"/>
        <w:autoSpaceDN w:val="0"/>
        <w:adjustRightInd w:val="0"/>
        <w:spacing w:line="440" w:lineRule="exact"/>
        <w:jc w:val="left"/>
        <w:rPr>
          <w:rFonts w:hint="eastAsia" w:ascii="黑体" w:hAnsi="黑体" w:eastAsia="黑体"/>
          <w:b/>
          <w:sz w:val="24"/>
        </w:rPr>
      </w:pPr>
      <w:r>
        <w:rPr>
          <w:rFonts w:ascii="黑体" w:hAnsi="黑体" w:eastAsia="黑体"/>
          <w:bCs/>
          <w:sz w:val="24"/>
        </w:rPr>
        <w:br w:type="page"/>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666"/>
        <w:gridCol w:w="1096"/>
        <w:gridCol w:w="903"/>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452" w:hRule="atLeast"/>
          <w:tblHeader/>
          <w:jc w:val="center"/>
        </w:trPr>
        <w:tc>
          <w:tcPr>
            <w:tcW w:w="9060" w:type="dxa"/>
            <w:gridSpan w:val="4"/>
            <w:vAlign w:val="center"/>
          </w:tcPr>
          <w:p>
            <w:pPr>
              <w:pStyle w:val="7"/>
              <w:spacing w:line="300" w:lineRule="exact"/>
              <w:ind w:left="42" w:leftChars="20" w:right="69" w:rightChars="33" w:firstLine="273" w:firstLineChars="130"/>
              <w:jc w:val="center"/>
              <w:rPr>
                <w:b/>
                <w:color w:val="000000"/>
                <w:sz w:val="21"/>
                <w:szCs w:val="21"/>
              </w:rPr>
            </w:pPr>
            <w:r>
              <w:rPr>
                <w:rFonts w:hint="eastAsia"/>
                <w:b/>
                <w:color w:val="000000"/>
                <w:sz w:val="21"/>
                <w:szCs w:val="21"/>
              </w:rPr>
              <w:t>2.2.4技术评审因素与评分标准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541" w:hRule="atLeast"/>
          <w:tblHeader/>
          <w:jc w:val="center"/>
        </w:trPr>
        <w:tc>
          <w:tcPr>
            <w:tcW w:w="666" w:type="dxa"/>
            <w:vAlign w:val="center"/>
          </w:tcPr>
          <w:p>
            <w:pPr>
              <w:spacing w:line="280" w:lineRule="exact"/>
              <w:jc w:val="center"/>
              <w:rPr>
                <w:rFonts w:ascii="宋体" w:hAnsi="宋体"/>
                <w:b/>
                <w:color w:val="000000"/>
                <w:sz w:val="18"/>
                <w:szCs w:val="18"/>
              </w:rPr>
            </w:pPr>
            <w:r>
              <w:rPr>
                <w:rFonts w:hint="eastAsia" w:ascii="宋体" w:hAnsi="宋体"/>
                <w:b/>
                <w:color w:val="000000"/>
                <w:sz w:val="18"/>
                <w:szCs w:val="18"/>
              </w:rPr>
              <w:t>序号</w:t>
            </w:r>
          </w:p>
        </w:tc>
        <w:tc>
          <w:tcPr>
            <w:tcW w:w="1096" w:type="dxa"/>
            <w:vAlign w:val="center"/>
          </w:tcPr>
          <w:p>
            <w:pPr>
              <w:spacing w:line="280" w:lineRule="exact"/>
              <w:rPr>
                <w:rFonts w:ascii="宋体" w:hAnsi="宋体"/>
                <w:b/>
                <w:color w:val="000000"/>
                <w:sz w:val="18"/>
                <w:szCs w:val="18"/>
              </w:rPr>
            </w:pPr>
            <w:r>
              <w:rPr>
                <w:rFonts w:hint="eastAsia" w:ascii="宋体" w:hAnsi="宋体"/>
                <w:b/>
                <w:color w:val="000000"/>
                <w:sz w:val="18"/>
                <w:szCs w:val="18"/>
              </w:rPr>
              <w:t>评审因素</w:t>
            </w:r>
          </w:p>
        </w:tc>
        <w:tc>
          <w:tcPr>
            <w:tcW w:w="903" w:type="dxa"/>
            <w:vAlign w:val="center"/>
          </w:tcPr>
          <w:p>
            <w:pPr>
              <w:spacing w:line="280" w:lineRule="exact"/>
              <w:jc w:val="center"/>
              <w:rPr>
                <w:rFonts w:ascii="宋体" w:hAnsi="宋体"/>
                <w:b/>
                <w:color w:val="000000"/>
                <w:sz w:val="18"/>
                <w:szCs w:val="18"/>
              </w:rPr>
            </w:pPr>
            <w:r>
              <w:rPr>
                <w:rFonts w:hint="eastAsia" w:ascii="宋体" w:hAnsi="宋体"/>
                <w:b/>
                <w:color w:val="000000"/>
                <w:sz w:val="18"/>
                <w:szCs w:val="18"/>
              </w:rPr>
              <w:t>评审因素评分值</w:t>
            </w:r>
          </w:p>
        </w:tc>
        <w:tc>
          <w:tcPr>
            <w:tcW w:w="6395" w:type="dxa"/>
            <w:vAlign w:val="center"/>
          </w:tcPr>
          <w:p>
            <w:pPr>
              <w:spacing w:line="280" w:lineRule="exact"/>
              <w:jc w:val="center"/>
              <w:rPr>
                <w:rFonts w:ascii="宋体" w:hAnsi="宋体"/>
                <w:b/>
                <w:color w:val="000000"/>
                <w:sz w:val="18"/>
                <w:szCs w:val="18"/>
              </w:rPr>
            </w:pPr>
            <w:r>
              <w:rPr>
                <w:rFonts w:hint="eastAsia" w:ascii="宋体" w:hAnsi="宋体"/>
                <w:b/>
                <w:color w:val="000000"/>
                <w:sz w:val="18"/>
                <w:szCs w:val="18"/>
              </w:rPr>
              <w:t>各评审因素细分项</w:t>
            </w:r>
          </w:p>
          <w:p>
            <w:pPr>
              <w:spacing w:line="280" w:lineRule="exact"/>
              <w:jc w:val="center"/>
              <w:rPr>
                <w:rFonts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443" w:hRule="atLeast"/>
          <w:jc w:val="center"/>
        </w:trPr>
        <w:tc>
          <w:tcPr>
            <w:tcW w:w="666"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（1）</w:t>
            </w:r>
          </w:p>
        </w:tc>
        <w:tc>
          <w:tcPr>
            <w:tcW w:w="1096" w:type="dxa"/>
            <w:vMerge w:val="restart"/>
            <w:vAlign w:val="center"/>
          </w:tcPr>
          <w:p>
            <w:pPr>
              <w:spacing w:line="280" w:lineRule="exact"/>
              <w:jc w:val="center"/>
              <w:rPr>
                <w:rFonts w:hint="eastAsia" w:ascii="宋体" w:hAnsi="宋体"/>
                <w:color w:val="000000"/>
                <w:sz w:val="18"/>
                <w:szCs w:val="18"/>
              </w:rPr>
            </w:pPr>
            <w:r>
              <w:rPr>
                <w:rFonts w:hint="eastAsia" w:ascii="宋体" w:hAnsi="宋体"/>
                <w:color w:val="000000"/>
                <w:sz w:val="18"/>
                <w:szCs w:val="18"/>
              </w:rPr>
              <w:t>基本资格、</w:t>
            </w:r>
          </w:p>
          <w:p>
            <w:pPr>
              <w:spacing w:line="280" w:lineRule="exact"/>
              <w:jc w:val="center"/>
              <w:rPr>
                <w:color w:val="000000"/>
                <w:sz w:val="18"/>
                <w:szCs w:val="18"/>
              </w:rPr>
            </w:pPr>
            <w:r>
              <w:rPr>
                <w:rFonts w:hint="eastAsia" w:ascii="宋体" w:hAnsi="宋体"/>
                <w:color w:val="000000"/>
                <w:sz w:val="18"/>
                <w:szCs w:val="18"/>
              </w:rPr>
              <w:t>财务能力</w:t>
            </w:r>
          </w:p>
        </w:tc>
        <w:tc>
          <w:tcPr>
            <w:tcW w:w="903" w:type="dxa"/>
            <w:vMerge w:val="restart"/>
            <w:vAlign w:val="center"/>
          </w:tcPr>
          <w:p>
            <w:pPr>
              <w:spacing w:line="280" w:lineRule="exact"/>
              <w:jc w:val="center"/>
              <w:rPr>
                <w:rFonts w:ascii="宋体" w:hAnsi="宋体"/>
                <w:color w:val="000000"/>
                <w:sz w:val="18"/>
                <w:szCs w:val="18"/>
              </w:rPr>
            </w:pPr>
            <w:r>
              <w:rPr>
                <w:rFonts w:ascii="宋体" w:hAnsi="宋体"/>
                <w:color w:val="000000"/>
                <w:sz w:val="18"/>
                <w:szCs w:val="18"/>
              </w:rPr>
              <w:t>10</w:t>
            </w:r>
            <w:r>
              <w:rPr>
                <w:rFonts w:hint="eastAsia" w:ascii="宋体" w:hAnsi="宋体"/>
                <w:color w:val="000000"/>
                <w:sz w:val="18"/>
                <w:szCs w:val="18"/>
              </w:rPr>
              <w:t>分</w:t>
            </w:r>
          </w:p>
        </w:tc>
        <w:tc>
          <w:tcPr>
            <w:tcW w:w="6395" w:type="dxa"/>
            <w:vAlign w:val="center"/>
          </w:tcPr>
          <w:p>
            <w:pPr>
              <w:spacing w:line="280" w:lineRule="exact"/>
              <w:jc w:val="left"/>
              <w:rPr>
                <w:rFonts w:hint="eastAsia" w:ascii="宋体" w:hAnsi="宋体"/>
                <w:color w:val="000000"/>
                <w:sz w:val="18"/>
                <w:szCs w:val="18"/>
                <w:lang w:val="zh-CN"/>
              </w:rPr>
            </w:pPr>
            <w:r>
              <w:rPr>
                <w:rFonts w:hint="eastAsia" w:ascii="宋体" w:hAnsi="宋体"/>
                <w:color w:val="000000"/>
                <w:sz w:val="18"/>
                <w:szCs w:val="18"/>
              </w:rPr>
              <w:t>满足附录1资格审查条件最低要求得5分；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601" w:hRule="atLeast"/>
          <w:jc w:val="center"/>
        </w:trPr>
        <w:tc>
          <w:tcPr>
            <w:tcW w:w="666" w:type="dxa"/>
            <w:vMerge w:val="continue"/>
            <w:vAlign w:val="center"/>
          </w:tcPr>
          <w:p>
            <w:pPr>
              <w:spacing w:line="280" w:lineRule="exact"/>
              <w:jc w:val="center"/>
              <w:rPr>
                <w:rFonts w:hint="eastAsia" w:ascii="宋体" w:hAnsi="宋体"/>
                <w:color w:val="000000"/>
                <w:sz w:val="18"/>
                <w:szCs w:val="18"/>
              </w:rPr>
            </w:pPr>
          </w:p>
        </w:tc>
        <w:tc>
          <w:tcPr>
            <w:tcW w:w="1096" w:type="dxa"/>
            <w:vMerge w:val="continue"/>
            <w:vAlign w:val="center"/>
          </w:tcPr>
          <w:p>
            <w:pPr>
              <w:spacing w:line="280" w:lineRule="exact"/>
              <w:jc w:val="center"/>
              <w:rPr>
                <w:rFonts w:hint="eastAsia" w:ascii="宋体" w:hAnsi="宋体"/>
                <w:color w:val="000000"/>
                <w:sz w:val="18"/>
                <w:szCs w:val="18"/>
              </w:rPr>
            </w:pPr>
          </w:p>
        </w:tc>
        <w:tc>
          <w:tcPr>
            <w:tcW w:w="903" w:type="dxa"/>
            <w:vMerge w:val="continue"/>
            <w:vAlign w:val="center"/>
          </w:tcPr>
          <w:p>
            <w:pPr>
              <w:spacing w:line="280" w:lineRule="exact"/>
              <w:jc w:val="center"/>
              <w:rPr>
                <w:rFonts w:hint="eastAsia" w:ascii="宋体" w:hAnsi="宋体"/>
                <w:color w:val="000000"/>
                <w:sz w:val="18"/>
                <w:szCs w:val="18"/>
              </w:rPr>
            </w:pPr>
          </w:p>
        </w:tc>
        <w:tc>
          <w:tcPr>
            <w:tcW w:w="6395" w:type="dxa"/>
            <w:vAlign w:val="center"/>
          </w:tcPr>
          <w:p>
            <w:pPr>
              <w:spacing w:line="280" w:lineRule="exact"/>
              <w:jc w:val="left"/>
              <w:rPr>
                <w:rFonts w:hint="eastAsia" w:ascii="宋体" w:hAnsi="宋体"/>
                <w:color w:val="000000"/>
                <w:sz w:val="18"/>
                <w:szCs w:val="18"/>
              </w:rPr>
            </w:pPr>
            <w:r>
              <w:rPr>
                <w:rFonts w:hint="eastAsia" w:ascii="宋体" w:hAnsi="宋体"/>
                <w:color w:val="000000"/>
                <w:sz w:val="18"/>
                <w:szCs w:val="18"/>
              </w:rPr>
              <w:t>满足附录2资格审查条件最低要求得5分；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409" w:hRule="atLeast"/>
          <w:jc w:val="center"/>
        </w:trPr>
        <w:tc>
          <w:tcPr>
            <w:tcW w:w="666"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（2）</w:t>
            </w:r>
          </w:p>
        </w:tc>
        <w:tc>
          <w:tcPr>
            <w:tcW w:w="1096"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类似业绩</w:t>
            </w:r>
          </w:p>
        </w:tc>
        <w:tc>
          <w:tcPr>
            <w:tcW w:w="903"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40分</w:t>
            </w:r>
          </w:p>
        </w:tc>
        <w:tc>
          <w:tcPr>
            <w:tcW w:w="6395" w:type="dxa"/>
            <w:vAlign w:val="center"/>
          </w:tcPr>
          <w:p>
            <w:pPr>
              <w:spacing w:line="280" w:lineRule="exact"/>
              <w:jc w:val="left"/>
              <w:rPr>
                <w:rFonts w:hint="eastAsia" w:ascii="宋体" w:hAnsi="宋体"/>
                <w:color w:val="000000"/>
                <w:sz w:val="18"/>
                <w:szCs w:val="18"/>
              </w:rPr>
            </w:pPr>
            <w:r>
              <w:rPr>
                <w:rFonts w:hint="eastAsia" w:ascii="宋体" w:hAnsi="宋体"/>
                <w:color w:val="000000"/>
                <w:sz w:val="18"/>
                <w:szCs w:val="18"/>
              </w:rPr>
              <w:t>满足附录3资格审查条件最低要求得24分；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487" w:hRule="atLeast"/>
          <w:jc w:val="center"/>
        </w:trPr>
        <w:tc>
          <w:tcPr>
            <w:tcW w:w="666" w:type="dxa"/>
            <w:vMerge w:val="continue"/>
            <w:vAlign w:val="center"/>
          </w:tcPr>
          <w:p>
            <w:pPr>
              <w:spacing w:line="300" w:lineRule="exact"/>
              <w:ind w:right="69" w:rightChars="33"/>
              <w:rPr>
                <w:color w:val="000000"/>
                <w:sz w:val="18"/>
                <w:szCs w:val="18"/>
              </w:rPr>
            </w:pPr>
          </w:p>
        </w:tc>
        <w:tc>
          <w:tcPr>
            <w:tcW w:w="1096" w:type="dxa"/>
            <w:vMerge w:val="continue"/>
            <w:vAlign w:val="center"/>
          </w:tcPr>
          <w:p>
            <w:pPr>
              <w:spacing w:line="300" w:lineRule="exact"/>
              <w:ind w:right="69" w:rightChars="33"/>
              <w:rPr>
                <w:color w:val="000000"/>
                <w:sz w:val="18"/>
                <w:szCs w:val="18"/>
              </w:rPr>
            </w:pPr>
          </w:p>
        </w:tc>
        <w:tc>
          <w:tcPr>
            <w:tcW w:w="903" w:type="dxa"/>
            <w:vMerge w:val="continue"/>
            <w:vAlign w:val="center"/>
          </w:tcPr>
          <w:p>
            <w:pPr>
              <w:spacing w:line="300" w:lineRule="exact"/>
              <w:ind w:right="69" w:rightChars="33"/>
              <w:rPr>
                <w:color w:val="000000"/>
                <w:sz w:val="18"/>
                <w:szCs w:val="18"/>
              </w:rPr>
            </w:pPr>
          </w:p>
        </w:tc>
        <w:tc>
          <w:tcPr>
            <w:tcW w:w="6395" w:type="dxa"/>
            <w:vAlign w:val="center"/>
          </w:tcPr>
          <w:p>
            <w:pPr>
              <w:spacing w:line="300" w:lineRule="exact"/>
              <w:ind w:right="69" w:rightChars="33"/>
              <w:rPr>
                <w:rFonts w:hint="eastAsia" w:ascii="宋体" w:hAnsi="宋体"/>
                <w:color w:val="000000"/>
                <w:sz w:val="18"/>
                <w:szCs w:val="18"/>
              </w:rPr>
            </w:pPr>
            <w:r>
              <w:rPr>
                <w:rFonts w:hint="eastAsia" w:ascii="宋体" w:hAnsi="宋体"/>
                <w:color w:val="000000"/>
                <w:sz w:val="18"/>
                <w:szCs w:val="18"/>
              </w:rPr>
              <w:t>近3年（2018年1月1日至投标截止日）每增加1项新（改、扩）建高速公路工程相关招标代理业绩加1分，最高加</w:t>
            </w:r>
            <w:r>
              <w:rPr>
                <w:rFonts w:ascii="宋体" w:hAnsi="宋体"/>
                <w:color w:val="000000"/>
                <w:sz w:val="18"/>
                <w:szCs w:val="18"/>
              </w:rPr>
              <w:t>6</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474" w:hRule="atLeast"/>
          <w:jc w:val="center"/>
        </w:trPr>
        <w:tc>
          <w:tcPr>
            <w:tcW w:w="666" w:type="dxa"/>
            <w:vMerge w:val="continue"/>
            <w:vAlign w:val="center"/>
          </w:tcPr>
          <w:p>
            <w:pPr>
              <w:spacing w:line="300" w:lineRule="exact"/>
              <w:ind w:right="69" w:rightChars="33"/>
              <w:rPr>
                <w:color w:val="000000"/>
                <w:sz w:val="18"/>
                <w:szCs w:val="18"/>
              </w:rPr>
            </w:pPr>
          </w:p>
        </w:tc>
        <w:tc>
          <w:tcPr>
            <w:tcW w:w="1096" w:type="dxa"/>
            <w:vMerge w:val="continue"/>
            <w:vAlign w:val="center"/>
          </w:tcPr>
          <w:p>
            <w:pPr>
              <w:spacing w:line="300" w:lineRule="exact"/>
              <w:ind w:right="69" w:rightChars="33"/>
              <w:rPr>
                <w:color w:val="000000"/>
                <w:sz w:val="18"/>
                <w:szCs w:val="18"/>
              </w:rPr>
            </w:pPr>
          </w:p>
        </w:tc>
        <w:tc>
          <w:tcPr>
            <w:tcW w:w="903" w:type="dxa"/>
            <w:vMerge w:val="continue"/>
            <w:vAlign w:val="center"/>
          </w:tcPr>
          <w:p>
            <w:pPr>
              <w:spacing w:line="300" w:lineRule="exact"/>
              <w:ind w:right="69" w:rightChars="33"/>
              <w:rPr>
                <w:color w:val="000000"/>
                <w:sz w:val="18"/>
                <w:szCs w:val="18"/>
              </w:rPr>
            </w:pPr>
          </w:p>
        </w:tc>
        <w:tc>
          <w:tcPr>
            <w:tcW w:w="6395" w:type="dxa"/>
            <w:vAlign w:val="center"/>
          </w:tcPr>
          <w:p>
            <w:pPr>
              <w:spacing w:line="300" w:lineRule="exact"/>
              <w:ind w:right="69" w:rightChars="33"/>
              <w:rPr>
                <w:rFonts w:hint="eastAsia" w:ascii="宋体" w:hAnsi="宋体"/>
                <w:color w:val="000000"/>
                <w:sz w:val="18"/>
                <w:szCs w:val="18"/>
              </w:rPr>
            </w:pPr>
            <w:r>
              <w:rPr>
                <w:rFonts w:hint="eastAsia" w:ascii="宋体" w:hAnsi="宋体"/>
                <w:color w:val="000000"/>
                <w:sz w:val="18"/>
                <w:szCs w:val="18"/>
              </w:rPr>
              <w:t>近3年（2018年1月1日至投标截止日）每增加1项政府采购服务类代理业绩加1分，最高加</w:t>
            </w:r>
            <w:r>
              <w:rPr>
                <w:rFonts w:ascii="宋体" w:hAnsi="宋体"/>
                <w:color w:val="000000"/>
                <w:sz w:val="18"/>
                <w:szCs w:val="18"/>
              </w:rPr>
              <w:t>5</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1414" w:hRule="atLeast"/>
          <w:jc w:val="center"/>
        </w:trPr>
        <w:tc>
          <w:tcPr>
            <w:tcW w:w="666" w:type="dxa"/>
            <w:vMerge w:val="continue"/>
            <w:vAlign w:val="center"/>
          </w:tcPr>
          <w:p>
            <w:pPr>
              <w:spacing w:line="300" w:lineRule="exact"/>
              <w:ind w:right="69" w:rightChars="33"/>
              <w:rPr>
                <w:color w:val="000000"/>
                <w:sz w:val="18"/>
                <w:szCs w:val="18"/>
              </w:rPr>
            </w:pPr>
          </w:p>
        </w:tc>
        <w:tc>
          <w:tcPr>
            <w:tcW w:w="1096" w:type="dxa"/>
            <w:vMerge w:val="continue"/>
            <w:vAlign w:val="center"/>
          </w:tcPr>
          <w:p>
            <w:pPr>
              <w:spacing w:line="300" w:lineRule="exact"/>
              <w:ind w:right="69" w:rightChars="33"/>
              <w:rPr>
                <w:color w:val="000000"/>
                <w:sz w:val="18"/>
                <w:szCs w:val="18"/>
              </w:rPr>
            </w:pPr>
          </w:p>
        </w:tc>
        <w:tc>
          <w:tcPr>
            <w:tcW w:w="903" w:type="dxa"/>
            <w:vMerge w:val="continue"/>
            <w:vAlign w:val="center"/>
          </w:tcPr>
          <w:p>
            <w:pPr>
              <w:spacing w:line="300" w:lineRule="exact"/>
              <w:ind w:right="69" w:rightChars="33"/>
              <w:rPr>
                <w:color w:val="000000"/>
                <w:sz w:val="18"/>
                <w:szCs w:val="18"/>
              </w:rPr>
            </w:pPr>
          </w:p>
        </w:tc>
        <w:tc>
          <w:tcPr>
            <w:tcW w:w="6395" w:type="dxa"/>
            <w:vAlign w:val="center"/>
          </w:tcPr>
          <w:p>
            <w:pPr>
              <w:spacing w:line="300" w:lineRule="exact"/>
              <w:ind w:right="69" w:rightChars="33"/>
              <w:rPr>
                <w:rFonts w:hint="eastAsia" w:ascii="宋体" w:hAnsi="宋体"/>
                <w:color w:val="000000"/>
                <w:sz w:val="18"/>
                <w:szCs w:val="18"/>
              </w:rPr>
            </w:pPr>
            <w:r>
              <w:rPr>
                <w:rFonts w:hint="eastAsia" w:ascii="宋体" w:hAnsi="宋体"/>
                <w:color w:val="000000"/>
                <w:sz w:val="18"/>
                <w:szCs w:val="18"/>
              </w:rPr>
              <w:t>近3年（2018年1月1日至投标截止日）每增加1项新（改、扩）建高速公路项目咨询类(如：可行性报告编制或审查咨询、工程造价咨询、P</w:t>
            </w:r>
            <w:r>
              <w:rPr>
                <w:rFonts w:ascii="宋体" w:hAnsi="宋体"/>
                <w:color w:val="000000"/>
                <w:sz w:val="18"/>
                <w:szCs w:val="18"/>
              </w:rPr>
              <w:t>PP</w:t>
            </w:r>
            <w:r>
              <w:rPr>
                <w:rFonts w:hint="eastAsia" w:ascii="宋体" w:hAnsi="宋体"/>
                <w:color w:val="000000"/>
                <w:sz w:val="18"/>
                <w:szCs w:val="18"/>
              </w:rPr>
              <w:t>项目前期咨询、环境影响评价、水土保持、项目建议书、社会稳定风险评估、土地预审与选址、土地利用总体规划、土地复垦、地质灾害危险性评估、地震安全性评价、资产评估等项目前期咨询)招标代理业务业绩加1分，本项最高加</w:t>
            </w:r>
            <w:r>
              <w:rPr>
                <w:rFonts w:ascii="宋体" w:hAnsi="宋体"/>
                <w:color w:val="000000"/>
                <w:sz w:val="18"/>
                <w:szCs w:val="18"/>
              </w:rPr>
              <w:t>5</w:t>
            </w:r>
            <w:r>
              <w:rPr>
                <w:rFonts w:hint="eastAsia" w:ascii="宋体"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690" w:hRule="atLeast"/>
          <w:jc w:val="center"/>
        </w:trPr>
        <w:tc>
          <w:tcPr>
            <w:tcW w:w="666"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（3）</w:t>
            </w:r>
          </w:p>
        </w:tc>
        <w:tc>
          <w:tcPr>
            <w:tcW w:w="1096"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技术能力</w:t>
            </w:r>
          </w:p>
        </w:tc>
        <w:tc>
          <w:tcPr>
            <w:tcW w:w="903"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35分</w:t>
            </w:r>
          </w:p>
        </w:tc>
        <w:tc>
          <w:tcPr>
            <w:tcW w:w="6395" w:type="dxa"/>
            <w:vAlign w:val="center"/>
          </w:tcPr>
          <w:p>
            <w:pPr>
              <w:spacing w:line="300" w:lineRule="exact"/>
              <w:ind w:right="69" w:rightChars="33"/>
              <w:rPr>
                <w:rFonts w:hint="eastAsia" w:ascii="宋体" w:hAnsi="宋体"/>
                <w:color w:val="000000"/>
                <w:sz w:val="18"/>
                <w:szCs w:val="18"/>
              </w:rPr>
            </w:pPr>
            <w:r>
              <w:rPr>
                <w:rFonts w:hint="eastAsia" w:ascii="宋体" w:hAnsi="宋体"/>
                <w:color w:val="000000"/>
                <w:sz w:val="18"/>
                <w:szCs w:val="18"/>
              </w:rPr>
              <w:t>（1）项目负责人满足资格审查条件要求得2分；</w:t>
            </w:r>
          </w:p>
          <w:p>
            <w:pPr>
              <w:spacing w:line="300" w:lineRule="exact"/>
              <w:ind w:right="69" w:rightChars="33"/>
              <w:rPr>
                <w:rFonts w:hint="eastAsia" w:ascii="宋体" w:hAnsi="宋体"/>
                <w:color w:val="000000"/>
                <w:sz w:val="18"/>
                <w:szCs w:val="18"/>
              </w:rPr>
            </w:pPr>
            <w:r>
              <w:rPr>
                <w:rFonts w:hint="eastAsia" w:ascii="宋体" w:hAnsi="宋体"/>
                <w:color w:val="000000"/>
                <w:sz w:val="18"/>
                <w:szCs w:val="18"/>
              </w:rPr>
              <w:t>（2) 配备技术负责人，且具备高级职称与招标师资格证的加2分；</w:t>
            </w:r>
          </w:p>
          <w:p>
            <w:pPr>
              <w:spacing w:line="300" w:lineRule="exact"/>
              <w:ind w:right="69" w:rightChars="33"/>
              <w:rPr>
                <w:rFonts w:hint="eastAsia" w:ascii="宋体" w:hAnsi="宋体"/>
                <w:color w:val="000000"/>
                <w:sz w:val="18"/>
                <w:szCs w:val="18"/>
              </w:rPr>
            </w:pPr>
            <w:r>
              <w:rPr>
                <w:rFonts w:hint="eastAsia" w:ascii="宋体" w:hAnsi="宋体"/>
                <w:color w:val="000000"/>
                <w:sz w:val="18"/>
                <w:szCs w:val="18"/>
              </w:rPr>
              <w:t>（3）配备造价工程师，且具备注册造价师执业资格证的加2分；</w:t>
            </w:r>
          </w:p>
          <w:p>
            <w:pPr>
              <w:spacing w:line="280" w:lineRule="exact"/>
              <w:jc w:val="center"/>
              <w:rPr>
                <w:rFonts w:hint="eastAsia" w:ascii="宋体" w:hAnsi="宋体"/>
                <w:color w:val="000000"/>
                <w:sz w:val="18"/>
                <w:szCs w:val="18"/>
              </w:rPr>
            </w:pPr>
            <w:r>
              <w:rPr>
                <w:rFonts w:hint="eastAsia" w:ascii="宋体" w:hAnsi="宋体"/>
                <w:color w:val="000000"/>
                <w:sz w:val="18"/>
                <w:szCs w:val="18"/>
              </w:rPr>
              <w:t>（4）配备其他人员，同时具备招标师、中级及以上职称的每有1名得1分，最高得4分；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692" w:hRule="atLeast"/>
          <w:jc w:val="center"/>
        </w:trPr>
        <w:tc>
          <w:tcPr>
            <w:tcW w:w="666" w:type="dxa"/>
            <w:vMerge w:val="continue"/>
            <w:vAlign w:val="center"/>
          </w:tcPr>
          <w:p>
            <w:pPr>
              <w:spacing w:line="280" w:lineRule="exact"/>
              <w:jc w:val="center"/>
              <w:rPr>
                <w:rFonts w:hint="eastAsia" w:ascii="宋体" w:hAnsi="宋体"/>
                <w:color w:val="000000"/>
                <w:sz w:val="18"/>
                <w:szCs w:val="18"/>
              </w:rPr>
            </w:pPr>
          </w:p>
        </w:tc>
        <w:tc>
          <w:tcPr>
            <w:tcW w:w="1096" w:type="dxa"/>
            <w:vMerge w:val="continue"/>
            <w:vAlign w:val="center"/>
          </w:tcPr>
          <w:p>
            <w:pPr>
              <w:spacing w:line="280" w:lineRule="exact"/>
              <w:jc w:val="left"/>
              <w:rPr>
                <w:rFonts w:hint="eastAsia" w:ascii="宋体" w:hAnsi="宋体"/>
                <w:color w:val="000000"/>
                <w:sz w:val="18"/>
                <w:szCs w:val="18"/>
              </w:rPr>
            </w:pPr>
          </w:p>
        </w:tc>
        <w:tc>
          <w:tcPr>
            <w:tcW w:w="903" w:type="dxa"/>
            <w:vMerge w:val="continue"/>
            <w:vAlign w:val="center"/>
          </w:tcPr>
          <w:p>
            <w:pPr>
              <w:spacing w:line="280" w:lineRule="exact"/>
              <w:jc w:val="center"/>
              <w:rPr>
                <w:rFonts w:hint="eastAsia" w:ascii="宋体" w:hAnsi="宋体"/>
                <w:color w:val="000000"/>
                <w:sz w:val="18"/>
                <w:szCs w:val="18"/>
              </w:rPr>
            </w:pPr>
          </w:p>
        </w:tc>
        <w:tc>
          <w:tcPr>
            <w:tcW w:w="6395" w:type="dxa"/>
            <w:vAlign w:val="center"/>
          </w:tcPr>
          <w:p>
            <w:pPr>
              <w:spacing w:line="280" w:lineRule="exact"/>
              <w:jc w:val="left"/>
              <w:rPr>
                <w:rFonts w:hint="eastAsia" w:ascii="宋体" w:hAnsi="宋体"/>
                <w:color w:val="000000"/>
                <w:sz w:val="18"/>
                <w:szCs w:val="18"/>
              </w:rPr>
            </w:pPr>
            <w:r>
              <w:rPr>
                <w:rFonts w:hint="eastAsia" w:ascii="宋体" w:hAnsi="宋体"/>
                <w:color w:val="000000"/>
                <w:sz w:val="18"/>
                <w:szCs w:val="18"/>
              </w:rPr>
              <w:t>(5)项目实施方案，最高得25分。对招标项目的理解得</w:t>
            </w:r>
            <w:r>
              <w:rPr>
                <w:rFonts w:ascii="宋体" w:hAnsi="宋体"/>
                <w:color w:val="000000"/>
                <w:sz w:val="18"/>
                <w:szCs w:val="18"/>
              </w:rPr>
              <w:t>3</w:t>
            </w:r>
            <w:r>
              <w:rPr>
                <w:rFonts w:hint="eastAsia" w:ascii="宋体" w:hAnsi="宋体"/>
                <w:color w:val="000000"/>
                <w:sz w:val="18"/>
                <w:szCs w:val="18"/>
              </w:rPr>
              <w:t>-</w:t>
            </w:r>
            <w:r>
              <w:rPr>
                <w:rFonts w:ascii="宋体" w:hAnsi="宋体"/>
                <w:color w:val="000000"/>
                <w:sz w:val="18"/>
                <w:szCs w:val="18"/>
              </w:rPr>
              <w:t>5</w:t>
            </w:r>
            <w:r>
              <w:rPr>
                <w:rFonts w:hint="eastAsia" w:ascii="宋体" w:hAnsi="宋体"/>
                <w:color w:val="000000"/>
                <w:sz w:val="18"/>
                <w:szCs w:val="18"/>
              </w:rPr>
              <w:t>分；服务计划编制</w:t>
            </w:r>
            <w:r>
              <w:rPr>
                <w:rFonts w:ascii="宋体" w:hAnsi="宋体"/>
                <w:color w:val="000000"/>
                <w:sz w:val="18"/>
                <w:szCs w:val="18"/>
              </w:rPr>
              <w:t>2.4</w:t>
            </w:r>
            <w:r>
              <w:rPr>
                <w:rFonts w:hint="eastAsia" w:ascii="宋体" w:hAnsi="宋体"/>
                <w:color w:val="000000"/>
                <w:sz w:val="18"/>
                <w:szCs w:val="18"/>
              </w:rPr>
              <w:t>-</w:t>
            </w:r>
            <w:r>
              <w:rPr>
                <w:rFonts w:ascii="宋体" w:hAnsi="宋体"/>
                <w:color w:val="000000"/>
                <w:sz w:val="18"/>
                <w:szCs w:val="18"/>
              </w:rPr>
              <w:t>4</w:t>
            </w:r>
            <w:r>
              <w:rPr>
                <w:rFonts w:hint="eastAsia" w:ascii="宋体" w:hAnsi="宋体"/>
                <w:color w:val="000000"/>
                <w:sz w:val="18"/>
                <w:szCs w:val="18"/>
              </w:rPr>
              <w:t>分；服务方案</w:t>
            </w:r>
            <w:r>
              <w:rPr>
                <w:rFonts w:ascii="宋体" w:hAnsi="宋体"/>
                <w:color w:val="000000"/>
                <w:sz w:val="18"/>
                <w:szCs w:val="18"/>
              </w:rPr>
              <w:t>3.6</w:t>
            </w:r>
            <w:r>
              <w:rPr>
                <w:rFonts w:hint="eastAsia" w:ascii="宋体" w:hAnsi="宋体"/>
                <w:color w:val="000000"/>
                <w:sz w:val="18"/>
                <w:szCs w:val="18"/>
              </w:rPr>
              <w:t>-6分；质量保证体系</w:t>
            </w:r>
            <w:r>
              <w:rPr>
                <w:rFonts w:ascii="宋体" w:hAnsi="宋体"/>
                <w:color w:val="000000"/>
                <w:sz w:val="18"/>
                <w:szCs w:val="18"/>
              </w:rPr>
              <w:t>2.4</w:t>
            </w:r>
            <w:r>
              <w:rPr>
                <w:rFonts w:hint="eastAsia" w:ascii="宋体" w:hAnsi="宋体"/>
                <w:color w:val="000000"/>
                <w:sz w:val="18"/>
                <w:szCs w:val="18"/>
              </w:rPr>
              <w:t>-4分；风险与廉政管理方案</w:t>
            </w:r>
            <w:r>
              <w:rPr>
                <w:rFonts w:ascii="宋体" w:hAnsi="宋体"/>
                <w:color w:val="000000"/>
                <w:sz w:val="18"/>
                <w:szCs w:val="18"/>
              </w:rPr>
              <w:t>2.4</w:t>
            </w:r>
            <w:r>
              <w:rPr>
                <w:rFonts w:hint="eastAsia" w:ascii="宋体" w:hAnsi="宋体"/>
                <w:color w:val="000000"/>
                <w:sz w:val="18"/>
                <w:szCs w:val="18"/>
              </w:rPr>
              <w:t>-4分；对业主的建议</w:t>
            </w:r>
            <w:r>
              <w:rPr>
                <w:rFonts w:ascii="宋体" w:hAnsi="宋体"/>
                <w:color w:val="000000"/>
                <w:sz w:val="18"/>
                <w:szCs w:val="18"/>
              </w:rPr>
              <w:t>1.2</w:t>
            </w:r>
            <w:r>
              <w:rPr>
                <w:rFonts w:hint="eastAsia" w:ascii="宋体" w:hAnsi="宋体"/>
                <w:color w:val="000000"/>
                <w:sz w:val="18"/>
                <w:szCs w:val="1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692" w:hRule="atLeast"/>
          <w:jc w:val="center"/>
        </w:trPr>
        <w:tc>
          <w:tcPr>
            <w:tcW w:w="666" w:type="dxa"/>
            <w:vAlign w:val="center"/>
          </w:tcPr>
          <w:p>
            <w:pPr>
              <w:spacing w:line="400" w:lineRule="exact"/>
              <w:jc w:val="center"/>
              <w:rPr>
                <w:rFonts w:ascii="宋体" w:hAnsi="宋体"/>
                <w:color w:val="000000"/>
                <w:sz w:val="18"/>
                <w:szCs w:val="18"/>
              </w:rPr>
            </w:pPr>
            <w:r>
              <w:rPr>
                <w:rFonts w:hint="eastAsia" w:ascii="宋体" w:hAnsi="宋体"/>
                <w:color w:val="000000"/>
                <w:sz w:val="18"/>
                <w:szCs w:val="18"/>
              </w:rPr>
              <w:t>（4）</w:t>
            </w:r>
          </w:p>
        </w:tc>
        <w:tc>
          <w:tcPr>
            <w:tcW w:w="1096" w:type="dxa"/>
            <w:vAlign w:val="center"/>
          </w:tcPr>
          <w:p>
            <w:pPr>
              <w:spacing w:line="400" w:lineRule="exact"/>
              <w:jc w:val="center"/>
              <w:rPr>
                <w:rFonts w:ascii="宋体" w:hAnsi="宋体"/>
                <w:color w:val="000000"/>
                <w:sz w:val="18"/>
                <w:szCs w:val="18"/>
              </w:rPr>
            </w:pPr>
            <w:r>
              <w:rPr>
                <w:rFonts w:hint="eastAsia" w:ascii="宋体" w:hAnsi="宋体"/>
                <w:color w:val="000000"/>
                <w:sz w:val="18"/>
                <w:szCs w:val="18"/>
              </w:rPr>
              <w:t>履约信誉</w:t>
            </w:r>
          </w:p>
        </w:tc>
        <w:tc>
          <w:tcPr>
            <w:tcW w:w="903" w:type="dxa"/>
            <w:vAlign w:val="center"/>
          </w:tcPr>
          <w:p>
            <w:pPr>
              <w:spacing w:line="400" w:lineRule="exact"/>
              <w:ind w:firstLine="180" w:firstLineChars="100"/>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5</w:t>
            </w:r>
            <w:r>
              <w:rPr>
                <w:rFonts w:hint="eastAsia" w:ascii="宋体" w:hAnsi="宋体"/>
                <w:color w:val="000000"/>
                <w:sz w:val="18"/>
                <w:szCs w:val="18"/>
              </w:rPr>
              <w:t>分</w:t>
            </w:r>
          </w:p>
        </w:tc>
        <w:tc>
          <w:tcPr>
            <w:tcW w:w="6395" w:type="dxa"/>
            <w:vAlign w:val="center"/>
          </w:tcPr>
          <w:p>
            <w:pPr>
              <w:spacing w:line="300" w:lineRule="exact"/>
              <w:ind w:right="69" w:rightChars="33"/>
              <w:rPr>
                <w:rFonts w:hint="eastAsia" w:hAnsi="宋体"/>
                <w:color w:val="000000"/>
                <w:sz w:val="18"/>
                <w:szCs w:val="18"/>
              </w:rPr>
            </w:pPr>
            <w:r>
              <w:rPr>
                <w:rFonts w:hint="eastAsia" w:hAnsi="宋体"/>
                <w:color w:val="000000"/>
                <w:sz w:val="18"/>
                <w:szCs w:val="18"/>
              </w:rPr>
              <w:t>(1)满足附录4资格审查条件最低要求得</w:t>
            </w:r>
            <w:r>
              <w:rPr>
                <w:rFonts w:hAnsi="宋体"/>
                <w:color w:val="000000"/>
                <w:sz w:val="18"/>
                <w:szCs w:val="18"/>
              </w:rPr>
              <w:t>9</w:t>
            </w:r>
            <w:r>
              <w:rPr>
                <w:rFonts w:hint="eastAsia" w:hAnsi="宋体"/>
                <w:color w:val="000000"/>
                <w:sz w:val="18"/>
                <w:szCs w:val="18"/>
              </w:rPr>
              <w:t>分。</w:t>
            </w:r>
          </w:p>
          <w:p>
            <w:pPr>
              <w:spacing w:line="300" w:lineRule="exact"/>
              <w:ind w:right="69" w:rightChars="33"/>
              <w:rPr>
                <w:rFonts w:hint="eastAsia" w:ascii="宋体" w:hAnsi="宋体"/>
                <w:color w:val="000000"/>
                <w:sz w:val="18"/>
                <w:szCs w:val="18"/>
              </w:rPr>
            </w:pPr>
            <w:r>
              <w:rPr>
                <w:rFonts w:hint="eastAsia" w:hAnsi="宋体"/>
                <w:color w:val="000000"/>
                <w:sz w:val="18"/>
                <w:szCs w:val="18"/>
              </w:rPr>
              <w:t>(2)获得过省级及以上招投标行业颁发的荣誉证书或奖项，每有一项得</w:t>
            </w:r>
            <w:r>
              <w:rPr>
                <w:rFonts w:hAnsi="宋体"/>
                <w:color w:val="000000"/>
                <w:sz w:val="18"/>
                <w:szCs w:val="18"/>
              </w:rPr>
              <w:t>2</w:t>
            </w:r>
            <w:r>
              <w:rPr>
                <w:rFonts w:hint="eastAsia" w:hAnsi="宋体"/>
                <w:color w:val="000000"/>
                <w:sz w:val="18"/>
                <w:szCs w:val="18"/>
              </w:rPr>
              <w:t>分，满分</w:t>
            </w:r>
            <w:r>
              <w:rPr>
                <w:rFonts w:hAnsi="宋体"/>
                <w:color w:val="000000"/>
                <w:sz w:val="18"/>
                <w:szCs w:val="18"/>
              </w:rPr>
              <w:t>6</w:t>
            </w:r>
            <w:r>
              <w:rPr>
                <w:rFonts w:hint="eastAsia" w:hAnsi="宋体"/>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1968" w:hRule="atLeast"/>
          <w:jc w:val="center"/>
        </w:trPr>
        <w:tc>
          <w:tcPr>
            <w:tcW w:w="9060" w:type="dxa"/>
            <w:gridSpan w:val="4"/>
            <w:vAlign w:val="center"/>
          </w:tcPr>
          <w:p>
            <w:pPr>
              <w:spacing w:line="300" w:lineRule="exact"/>
              <w:ind w:right="69" w:rightChars="33"/>
              <w:rPr>
                <w:rFonts w:ascii="宋体" w:hAns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.最终得分小数点后保留两位小数，后面一位小数四舍五入。</w:t>
            </w:r>
          </w:p>
          <w:p>
            <w:pPr>
              <w:autoSpaceDE w:val="0"/>
              <w:autoSpaceDN w:val="0"/>
              <w:adjustRightInd w:val="0"/>
              <w:spacing w:line="300" w:lineRule="exact"/>
              <w:ind w:left="136" w:leftChars="65" w:right="122" w:rightChars="58" w:firstLine="180" w:firstLineChars="100"/>
              <w:rPr>
                <w:rFonts w:hint="eastAsia"/>
                <w:color w:val="000000"/>
                <w:sz w:val="18"/>
                <w:szCs w:val="18"/>
              </w:rPr>
            </w:pPr>
            <w:r>
              <w:rPr>
                <w:rFonts w:ascii="宋体" w:hAnsi="宋体"/>
                <w:color w:val="000000"/>
                <w:sz w:val="18"/>
                <w:szCs w:val="18"/>
              </w:rPr>
              <w:t>2</w:t>
            </w:r>
            <w:r>
              <w:rPr>
                <w:rFonts w:hint="eastAsia" w:ascii="宋体" w:hAnsi="宋体"/>
                <w:color w:val="000000"/>
                <w:sz w:val="18"/>
                <w:szCs w:val="18"/>
              </w:rPr>
              <w:t>.</w:t>
            </w:r>
            <w:r>
              <w:rPr>
                <w:rFonts w:hint="eastAsia"/>
                <w:color w:val="000000"/>
                <w:sz w:val="18"/>
                <w:szCs w:val="18"/>
              </w:rPr>
              <w:t>投标人单位业绩，应附招标代理项目招标（或采购）公告及评审结果公示，其中招标公告与评审结果公示网站为市级及以上公共资源交易中心、省级及以上发展改革、交通运输或财政主管部门的官方网站或其指定网站（投标人应提供招标公告及评审结果公示的完整页面截图</w:t>
            </w:r>
            <w:r>
              <w:rPr>
                <w:rFonts w:hint="eastAsia"/>
                <w:color w:val="000000"/>
              </w:rPr>
              <w:t>）；</w:t>
            </w:r>
          </w:p>
          <w:p>
            <w:pPr>
              <w:spacing w:line="300" w:lineRule="exact"/>
              <w:ind w:right="69" w:rightChars="33" w:firstLine="360" w:firstLineChars="200"/>
              <w:rPr>
                <w:rFonts w:hint="eastAsia" w:ascii="宋体" w:hAnsi="宋体"/>
                <w:color w:val="000000"/>
                <w:sz w:val="18"/>
                <w:szCs w:val="18"/>
              </w:rPr>
            </w:pPr>
            <w:r>
              <w:rPr>
                <w:rFonts w:hint="eastAsia" w:ascii="宋体" w:hAnsi="宋体"/>
                <w:color w:val="000000"/>
                <w:sz w:val="18"/>
                <w:szCs w:val="18"/>
              </w:rPr>
              <w:t>3.项目负责人业绩以合同协议书或业主出具的证明材料为准。</w:t>
            </w:r>
          </w:p>
        </w:tc>
      </w:tr>
    </w:tbl>
    <w:p>
      <w:pPr>
        <w:autoSpaceDE w:val="0"/>
        <w:autoSpaceDN w:val="0"/>
        <w:adjustRightInd w:val="0"/>
        <w:spacing w:line="440" w:lineRule="exact"/>
        <w:jc w:val="left"/>
        <w:rPr>
          <w:rFonts w:hint="eastAsia" w:ascii="黑体" w:hAnsi="黑体" w:eastAsia="黑体"/>
          <w:b/>
          <w:sz w:val="24"/>
        </w:rPr>
      </w:pPr>
    </w:p>
    <w:p>
      <w:pPr>
        <w:spacing w:line="440" w:lineRule="exact"/>
        <w:ind w:firstLine="482" w:firstLineChars="200"/>
        <w:jc w:val="left"/>
        <w:rPr>
          <w:rFonts w:hint="eastAsia" w:ascii="宋体" w:hAnsi="宋体"/>
          <w:b/>
          <w:sz w:val="24"/>
        </w:rPr>
      </w:pPr>
      <w:r>
        <w:rPr>
          <w:rFonts w:hint="eastAsia" w:ascii="黑体" w:hAnsi="黑体" w:eastAsia="黑体"/>
          <w:b/>
          <w:sz w:val="24"/>
        </w:rPr>
        <w:br w:type="page"/>
      </w:r>
      <w:r>
        <w:rPr>
          <w:rFonts w:hint="eastAsia" w:ascii="宋体" w:hAnsi="宋体"/>
          <w:b/>
          <w:sz w:val="24"/>
        </w:rPr>
        <w:t>1.总则</w:t>
      </w:r>
    </w:p>
    <w:p>
      <w:pPr>
        <w:spacing w:line="440" w:lineRule="exact"/>
        <w:ind w:firstLine="480" w:firstLineChars="200"/>
        <w:jc w:val="left"/>
        <w:rPr>
          <w:rFonts w:hint="eastAsia" w:ascii="宋体" w:hAnsi="宋体"/>
          <w:sz w:val="24"/>
        </w:rPr>
      </w:pPr>
      <w:r>
        <w:rPr>
          <w:rFonts w:hint="eastAsia" w:ascii="宋体" w:hAnsi="宋体"/>
          <w:sz w:val="24"/>
        </w:rPr>
        <w:t>本次评标采用技术评分最低标价法。评标委员会对第一个信封（商务与技术文件）进行初步评审，若通过第一个信封的初步评审的投标人不足3家，招标人将重新招标。</w:t>
      </w:r>
      <w:r>
        <w:rPr>
          <w:rFonts w:hint="eastAsia" w:ascii="宋体" w:hAnsi="宋体" w:cs="宋体"/>
          <w:sz w:val="24"/>
        </w:rPr>
        <w:t>评标委员会对通过初步评审的投标人，按照</w:t>
      </w:r>
      <w:r>
        <w:rPr>
          <w:rFonts w:hint="eastAsia" w:ascii="宋体" w:hAnsi="宋体"/>
          <w:sz w:val="24"/>
        </w:rPr>
        <w:t>本章第2条规定的评审程序及评分标准进行评审，并按得分由高到低的顺序排序。</w:t>
      </w:r>
    </w:p>
    <w:p>
      <w:pPr>
        <w:spacing w:line="440" w:lineRule="exact"/>
        <w:ind w:firstLine="482" w:firstLineChars="200"/>
        <w:jc w:val="left"/>
        <w:rPr>
          <w:rFonts w:hint="eastAsia" w:ascii="宋体" w:hAnsi="宋体"/>
          <w:b/>
          <w:sz w:val="24"/>
        </w:rPr>
      </w:pPr>
      <w:r>
        <w:rPr>
          <w:rFonts w:hint="eastAsia" w:ascii="宋体" w:hAnsi="宋体"/>
          <w:b/>
          <w:sz w:val="24"/>
        </w:rPr>
        <w:t>2.评审标准</w:t>
      </w:r>
    </w:p>
    <w:p>
      <w:pPr>
        <w:spacing w:line="440" w:lineRule="exact"/>
        <w:ind w:firstLine="482" w:firstLineChars="200"/>
        <w:jc w:val="left"/>
        <w:rPr>
          <w:rFonts w:hint="eastAsia" w:ascii="宋体" w:hAnsi="宋体"/>
          <w:b/>
          <w:sz w:val="24"/>
        </w:rPr>
      </w:pPr>
      <w:r>
        <w:rPr>
          <w:rFonts w:hint="eastAsia" w:ascii="宋体" w:hAnsi="宋体"/>
          <w:b/>
          <w:sz w:val="24"/>
        </w:rPr>
        <w:t>2.1 初步评审标准</w:t>
      </w:r>
    </w:p>
    <w:p>
      <w:pPr>
        <w:spacing w:line="440" w:lineRule="exact"/>
        <w:ind w:firstLine="480" w:firstLineChars="200"/>
        <w:jc w:val="left"/>
        <w:rPr>
          <w:rFonts w:hint="eastAsia" w:ascii="宋体" w:hAnsi="宋体"/>
          <w:sz w:val="24"/>
        </w:rPr>
      </w:pPr>
      <w:r>
        <w:rPr>
          <w:rFonts w:hint="eastAsia" w:ascii="宋体" w:hAnsi="宋体"/>
          <w:sz w:val="24"/>
        </w:rPr>
        <w:t>2.1.1 形式评审标准：见评标办法前附表。</w:t>
      </w:r>
    </w:p>
    <w:p>
      <w:pPr>
        <w:spacing w:line="440" w:lineRule="exact"/>
        <w:ind w:firstLine="480" w:firstLineChars="200"/>
        <w:jc w:val="left"/>
        <w:rPr>
          <w:rFonts w:hint="eastAsia" w:ascii="宋体" w:hAnsi="宋体"/>
          <w:sz w:val="24"/>
        </w:rPr>
      </w:pPr>
      <w:r>
        <w:rPr>
          <w:rFonts w:hint="eastAsia" w:ascii="宋体" w:hAnsi="宋体"/>
          <w:sz w:val="24"/>
        </w:rPr>
        <w:t>2.1.2 资格评审标准：见评标办法前附表。</w:t>
      </w:r>
    </w:p>
    <w:p>
      <w:pPr>
        <w:spacing w:line="440" w:lineRule="exact"/>
        <w:ind w:firstLine="480" w:firstLineChars="200"/>
        <w:jc w:val="left"/>
        <w:rPr>
          <w:rFonts w:hint="eastAsia" w:ascii="宋体" w:hAnsi="宋体"/>
          <w:sz w:val="24"/>
        </w:rPr>
      </w:pPr>
      <w:r>
        <w:rPr>
          <w:rFonts w:hint="eastAsia" w:ascii="宋体" w:hAnsi="宋体"/>
          <w:sz w:val="24"/>
        </w:rPr>
        <w:t>2.1.3 响应性评审标准：见评标办法前附表。</w:t>
      </w:r>
    </w:p>
    <w:p>
      <w:pPr>
        <w:spacing w:line="440" w:lineRule="exact"/>
        <w:ind w:firstLine="480" w:firstLineChars="200"/>
        <w:jc w:val="left"/>
        <w:rPr>
          <w:rFonts w:hint="eastAsia"/>
        </w:rPr>
      </w:pPr>
      <w:r>
        <w:rPr>
          <w:rFonts w:hint="eastAsia" w:ascii="宋体" w:hAnsi="宋体"/>
          <w:sz w:val="24"/>
        </w:rPr>
        <w:t>2.1.4 服务方案及主要人员评审标准：见评标办法前附表。</w:t>
      </w:r>
    </w:p>
    <w:p>
      <w:pPr>
        <w:spacing w:line="440" w:lineRule="exact"/>
        <w:ind w:firstLine="482" w:firstLineChars="200"/>
        <w:jc w:val="left"/>
        <w:rPr>
          <w:rFonts w:hint="eastAsia" w:ascii="宋体" w:hAnsi="宋体"/>
          <w:b/>
          <w:sz w:val="24"/>
        </w:rPr>
      </w:pPr>
      <w:r>
        <w:rPr>
          <w:rFonts w:hint="eastAsia" w:ascii="宋体" w:hAnsi="宋体"/>
          <w:b/>
          <w:sz w:val="24"/>
        </w:rPr>
        <w:t>2.2 详细评审标准</w:t>
      </w:r>
    </w:p>
    <w:p>
      <w:pPr>
        <w:spacing w:line="440" w:lineRule="exact"/>
        <w:ind w:firstLine="480" w:firstLineChars="200"/>
        <w:jc w:val="left"/>
        <w:rPr>
          <w:rFonts w:hint="eastAsia" w:ascii="宋体" w:hAnsi="宋体"/>
          <w:b/>
          <w:sz w:val="24"/>
        </w:rPr>
      </w:pPr>
      <w:r>
        <w:rPr>
          <w:rFonts w:hint="eastAsia" w:ascii="宋体" w:hAnsi="宋体"/>
          <w:bCs/>
          <w:sz w:val="24"/>
        </w:rPr>
        <w:t xml:space="preserve">    详细评审标准：见评标办法前附表。</w:t>
      </w:r>
    </w:p>
    <w:p>
      <w:pPr>
        <w:spacing w:line="440" w:lineRule="exact"/>
        <w:ind w:firstLine="482" w:firstLineChars="200"/>
        <w:jc w:val="left"/>
        <w:rPr>
          <w:rFonts w:hint="eastAsia" w:ascii="宋体" w:hAnsi="宋体"/>
          <w:b/>
          <w:sz w:val="24"/>
        </w:rPr>
      </w:pPr>
      <w:r>
        <w:rPr>
          <w:rFonts w:hint="eastAsia" w:ascii="宋体" w:hAnsi="宋体"/>
          <w:b/>
          <w:sz w:val="24"/>
        </w:rPr>
        <w:t>3. 评标程序</w:t>
      </w:r>
    </w:p>
    <w:p>
      <w:pPr>
        <w:spacing w:line="440" w:lineRule="exact"/>
        <w:ind w:firstLine="482" w:firstLineChars="200"/>
        <w:jc w:val="left"/>
        <w:rPr>
          <w:rFonts w:hint="eastAsia" w:ascii="宋体" w:hAnsi="宋体"/>
          <w:b/>
          <w:sz w:val="24"/>
        </w:rPr>
      </w:pPr>
      <w:r>
        <w:rPr>
          <w:rFonts w:hint="eastAsia" w:ascii="宋体" w:hAnsi="宋体"/>
          <w:b/>
          <w:sz w:val="24"/>
        </w:rPr>
        <w:t>评标工作按以下程序进行：</w:t>
      </w:r>
    </w:p>
    <w:p>
      <w:pPr>
        <w:spacing w:line="440" w:lineRule="exact"/>
        <w:ind w:firstLine="482" w:firstLineChars="200"/>
        <w:jc w:val="left"/>
        <w:rPr>
          <w:rFonts w:hint="eastAsia" w:ascii="宋体" w:hAnsi="宋体"/>
          <w:b/>
          <w:sz w:val="24"/>
        </w:rPr>
      </w:pPr>
      <w:r>
        <w:rPr>
          <w:rFonts w:hint="eastAsia" w:ascii="宋体" w:hAnsi="宋体"/>
          <w:b/>
          <w:sz w:val="24"/>
        </w:rPr>
        <w:t>3.1 第一个信封初步评审</w:t>
      </w:r>
    </w:p>
    <w:p>
      <w:pPr>
        <w:spacing w:line="440" w:lineRule="exact"/>
        <w:ind w:firstLine="480" w:firstLineChars="200"/>
        <w:jc w:val="left"/>
        <w:rPr>
          <w:rFonts w:hint="eastAsia" w:ascii="宋体" w:hAnsi="宋体"/>
          <w:sz w:val="24"/>
        </w:rPr>
      </w:pPr>
      <w:r>
        <w:rPr>
          <w:rFonts w:hint="eastAsia" w:ascii="宋体" w:hAnsi="宋体"/>
          <w:sz w:val="24"/>
        </w:rPr>
        <w:t>3.1.1评标委员会依据本章第2.1款规定的标准对投标文件第一个信封（商务及技术文件）进行初步评审。有一项不符合评审标准的，评标委员会应否决其投标。</w:t>
      </w:r>
    </w:p>
    <w:p>
      <w:pPr>
        <w:spacing w:line="440" w:lineRule="exact"/>
        <w:ind w:firstLine="480" w:firstLineChars="200"/>
        <w:jc w:val="left"/>
        <w:rPr>
          <w:rFonts w:hint="eastAsia" w:ascii="宋体" w:hAnsi="宋体"/>
          <w:sz w:val="24"/>
        </w:rPr>
      </w:pPr>
      <w:r>
        <w:rPr>
          <w:rFonts w:hint="eastAsia" w:ascii="宋体" w:hAnsi="宋体"/>
          <w:sz w:val="24"/>
        </w:rPr>
        <w:t>3.1.2通过第一个信封评审的投标人不足3个时，所有投标人的第二个信封均不予开标，招标人将重新组织招标。</w:t>
      </w:r>
    </w:p>
    <w:p>
      <w:pPr>
        <w:spacing w:line="440" w:lineRule="exact"/>
        <w:ind w:firstLine="482" w:firstLineChars="200"/>
        <w:jc w:val="left"/>
        <w:rPr>
          <w:rFonts w:hint="eastAsia" w:ascii="宋体" w:hAnsi="宋体"/>
          <w:b/>
          <w:sz w:val="24"/>
        </w:rPr>
      </w:pPr>
      <w:r>
        <w:rPr>
          <w:rFonts w:hint="eastAsia" w:ascii="宋体" w:hAnsi="宋体"/>
          <w:b/>
          <w:sz w:val="24"/>
        </w:rPr>
        <w:t>3.2 第一个信封详细评审</w:t>
      </w:r>
    </w:p>
    <w:p>
      <w:pPr>
        <w:spacing w:line="440" w:lineRule="exact"/>
        <w:ind w:firstLine="480" w:firstLineChars="200"/>
        <w:jc w:val="left"/>
        <w:rPr>
          <w:rFonts w:hint="eastAsia" w:ascii="宋体" w:hAnsi="宋体"/>
          <w:sz w:val="24"/>
        </w:rPr>
      </w:pPr>
      <w:r>
        <w:rPr>
          <w:rFonts w:hint="eastAsia" w:ascii="宋体" w:hAnsi="宋体"/>
          <w:sz w:val="24"/>
        </w:rPr>
        <w:t>3.2.1评标委员会只对通过第一个信封初步评审的投标人的投标文件第一个信封（商务及技术文件）进行详细评审。评标委员会按“评标办法前附表”规定的评审因素和评分值进行评分，计算出各投标人的综合得分，并按其得分由高到低的顺序依次排名。若综合得分相同时，以技术评分（类似业绩和技术能力分数之和）高者优先；若技术评分（类似业绩和技术能力分数之和）相同时，以技术能力评分高者优先；</w:t>
      </w:r>
      <w:r>
        <w:rPr>
          <w:rFonts w:hint="eastAsia" w:ascii="宋体" w:hAnsi="宋体"/>
          <w:bCs/>
          <w:szCs w:val="21"/>
        </w:rPr>
        <w:t>若</w:t>
      </w:r>
      <w:r>
        <w:rPr>
          <w:rFonts w:hint="eastAsia" w:ascii="宋体" w:hAnsi="宋体"/>
          <w:sz w:val="24"/>
        </w:rPr>
        <w:t>技术能力得分相同时，以最终投标文件上传至电子交易平台早的投标人优先。</w:t>
      </w:r>
    </w:p>
    <w:p>
      <w:pPr>
        <w:spacing w:line="440" w:lineRule="exact"/>
        <w:ind w:firstLine="480" w:firstLineChars="200"/>
        <w:jc w:val="left"/>
        <w:rPr>
          <w:rFonts w:hint="eastAsia" w:ascii="宋体" w:hAnsi="宋体"/>
          <w:sz w:val="24"/>
        </w:rPr>
      </w:pPr>
      <w:r>
        <w:rPr>
          <w:rFonts w:hint="eastAsia" w:ascii="宋体" w:hAnsi="宋体"/>
          <w:sz w:val="24"/>
        </w:rPr>
        <w:t>3.2.2投标人得分分值计算保留小数点后两位，小数点后第三位“四舍五入”。</w:t>
      </w:r>
    </w:p>
    <w:p>
      <w:pPr>
        <w:spacing w:line="440" w:lineRule="exact"/>
        <w:ind w:firstLine="482" w:firstLineChars="200"/>
        <w:jc w:val="left"/>
        <w:rPr>
          <w:rFonts w:hint="eastAsia" w:ascii="宋体" w:hAnsi="宋体"/>
          <w:b/>
          <w:sz w:val="24"/>
        </w:rPr>
      </w:pPr>
      <w:r>
        <w:rPr>
          <w:rFonts w:hint="eastAsia" w:ascii="宋体" w:hAnsi="宋体"/>
          <w:b/>
          <w:sz w:val="24"/>
        </w:rPr>
        <w:t>3.3第二个信封开标</w:t>
      </w:r>
    </w:p>
    <w:p>
      <w:pPr>
        <w:spacing w:line="440" w:lineRule="exact"/>
        <w:ind w:firstLine="480" w:firstLineChars="200"/>
        <w:jc w:val="left"/>
        <w:rPr>
          <w:rFonts w:hint="eastAsia" w:ascii="宋体" w:hAnsi="宋体"/>
          <w:color w:val="000000"/>
          <w:sz w:val="24"/>
        </w:rPr>
      </w:pPr>
      <w:r>
        <w:rPr>
          <w:rFonts w:hint="eastAsia" w:ascii="宋体" w:hAnsi="宋体"/>
          <w:bCs/>
          <w:color w:val="000000"/>
          <w:sz w:val="24"/>
        </w:rPr>
        <w:t>3.3.1</w:t>
      </w:r>
      <w:r>
        <w:rPr>
          <w:rFonts w:hint="eastAsia" w:ascii="宋体" w:hAnsi="宋体"/>
          <w:color w:val="000000"/>
          <w:sz w:val="24"/>
        </w:rPr>
        <w:t>第一个信封（商务及技术文件）评审结束后，招标人将按照第二章“投标人须知”第5.1款规定的时间和地点对通过投标文件第一个信封（商务及技术文件）评审且排名在抽取数字以内的投标人的投标文件第二个信封（报价文件）进行开标。</w:t>
      </w:r>
    </w:p>
    <w:p>
      <w:pPr>
        <w:spacing w:line="440" w:lineRule="exact"/>
        <w:ind w:firstLine="480" w:firstLineChars="200"/>
        <w:jc w:val="left"/>
        <w:rPr>
          <w:rFonts w:hint="eastAsia" w:ascii="宋体" w:hAnsi="宋体"/>
          <w:color w:val="000000"/>
          <w:sz w:val="24"/>
        </w:rPr>
      </w:pPr>
      <w:r>
        <w:rPr>
          <w:rFonts w:hint="eastAsia" w:ascii="宋体" w:hAnsi="宋体"/>
          <w:color w:val="000000"/>
          <w:sz w:val="24"/>
        </w:rPr>
        <w:t>3.3.2抽取数字：当通过第一个信封评审的投标人数量大于等于5家时，从3、4、5三个数字中随机抽取；当通过</w:t>
      </w:r>
      <w:r>
        <w:rPr>
          <w:rFonts w:hint="eastAsia" w:ascii="宋体" w:hAnsi="宋体"/>
          <w:sz w:val="24"/>
        </w:rPr>
        <w:t>第一个信封评审</w:t>
      </w:r>
      <w:r>
        <w:rPr>
          <w:rFonts w:hint="eastAsia" w:ascii="宋体" w:hAnsi="宋体"/>
          <w:color w:val="000000"/>
          <w:sz w:val="24"/>
        </w:rPr>
        <w:t>的投标人数量等于4家时，从3、4两个数字中随机抽取；当通过</w:t>
      </w:r>
      <w:r>
        <w:rPr>
          <w:rFonts w:hint="eastAsia" w:ascii="宋体" w:hAnsi="宋体"/>
          <w:sz w:val="24"/>
        </w:rPr>
        <w:t>第一个信封评审</w:t>
      </w:r>
      <w:r>
        <w:rPr>
          <w:rFonts w:hint="eastAsia" w:ascii="宋体" w:hAnsi="宋体"/>
          <w:color w:val="000000"/>
          <w:sz w:val="24"/>
        </w:rPr>
        <w:t>的投标人数量等于3家时，不再抽取（抽取数字为参与第二个信封开标的最后名次）。</w:t>
      </w:r>
    </w:p>
    <w:p>
      <w:pPr>
        <w:spacing w:line="440" w:lineRule="exact"/>
        <w:ind w:firstLine="482" w:firstLineChars="200"/>
        <w:jc w:val="left"/>
        <w:rPr>
          <w:rFonts w:hint="eastAsia" w:ascii="宋体" w:hAnsi="宋体"/>
          <w:b/>
          <w:sz w:val="24"/>
        </w:rPr>
      </w:pPr>
      <w:r>
        <w:rPr>
          <w:rFonts w:hint="eastAsia" w:ascii="宋体" w:hAnsi="宋体"/>
          <w:b/>
          <w:sz w:val="24"/>
        </w:rPr>
        <w:t>3.4 第二个信封初步评审</w:t>
      </w:r>
    </w:p>
    <w:p>
      <w:pPr>
        <w:spacing w:line="440" w:lineRule="exact"/>
        <w:ind w:firstLine="480" w:firstLineChars="200"/>
        <w:jc w:val="left"/>
        <w:rPr>
          <w:rFonts w:hint="eastAsia" w:ascii="宋体" w:hAnsi="宋体"/>
          <w:sz w:val="24"/>
        </w:rPr>
      </w:pPr>
      <w:r>
        <w:rPr>
          <w:rFonts w:hint="eastAsia" w:ascii="宋体" w:hAnsi="宋体"/>
          <w:sz w:val="24"/>
        </w:rPr>
        <w:t>3.4.1评标委员会依据本章第2.1.1项、第2.1.3项规定的评审标准对投标文件第二个信封（报价文件）进行初步评审。有一项不符合评审标准的，评标委员会应否决其投标。</w:t>
      </w:r>
    </w:p>
    <w:p>
      <w:pPr>
        <w:spacing w:line="440" w:lineRule="exact"/>
        <w:ind w:firstLine="480" w:firstLineChars="200"/>
        <w:jc w:val="left"/>
        <w:rPr>
          <w:rFonts w:hint="eastAsia" w:ascii="宋体" w:hAnsi="宋体"/>
          <w:sz w:val="24"/>
        </w:rPr>
      </w:pPr>
      <w:r>
        <w:rPr>
          <w:rFonts w:hint="eastAsia" w:ascii="宋体" w:hAnsi="宋体"/>
          <w:sz w:val="24"/>
        </w:rPr>
        <w:t>3.4.2投标文件中的大写金额与小写金额不一致的，以大写金额为准，若最终投标报价超过最高投标限价（如有），评标委员会应否决其投标。</w:t>
      </w:r>
    </w:p>
    <w:p>
      <w:pPr>
        <w:spacing w:line="440" w:lineRule="exact"/>
        <w:ind w:firstLine="480" w:firstLineChars="200"/>
        <w:jc w:val="left"/>
        <w:rPr>
          <w:rFonts w:hint="eastAsia" w:ascii="宋体" w:hAnsi="宋体"/>
          <w:sz w:val="24"/>
        </w:rPr>
      </w:pPr>
      <w:r>
        <w:rPr>
          <w:rFonts w:hint="eastAsia" w:ascii="宋体" w:hAnsi="宋体"/>
          <w:sz w:val="24"/>
        </w:rPr>
        <w:t>3.4.3当投标人的第二封信封（投标报价）数量由于否决投标而不足三份时，按实际投标文件数量评审。</w:t>
      </w:r>
    </w:p>
    <w:p>
      <w:pPr>
        <w:spacing w:line="440" w:lineRule="exact"/>
        <w:ind w:firstLine="482" w:firstLineChars="200"/>
        <w:jc w:val="left"/>
        <w:rPr>
          <w:rFonts w:hint="eastAsia" w:ascii="宋体" w:hAnsi="宋体"/>
          <w:b/>
          <w:sz w:val="24"/>
        </w:rPr>
      </w:pPr>
      <w:r>
        <w:rPr>
          <w:rFonts w:hint="eastAsia" w:ascii="宋体" w:hAnsi="宋体"/>
          <w:b/>
          <w:sz w:val="24"/>
        </w:rPr>
        <w:t>3.5 第二个信封详细评审</w:t>
      </w:r>
    </w:p>
    <w:p>
      <w:pPr>
        <w:spacing w:line="440" w:lineRule="exact"/>
        <w:ind w:firstLine="480" w:firstLineChars="200"/>
        <w:jc w:val="left"/>
        <w:rPr>
          <w:rFonts w:ascii="宋体" w:hAnsi="宋体"/>
          <w:sz w:val="24"/>
        </w:rPr>
      </w:pPr>
      <w:r>
        <w:rPr>
          <w:rFonts w:hint="eastAsia" w:ascii="宋体" w:hAnsi="宋体"/>
          <w:sz w:val="24"/>
        </w:rPr>
        <w:t>3.5.1评标委员会对通过第二个信封（报价文件）的初步评审的投标人的报价进行评审；</w:t>
      </w:r>
    </w:p>
    <w:p>
      <w:pPr>
        <w:spacing w:line="440" w:lineRule="exact"/>
        <w:ind w:firstLine="480" w:firstLineChars="200"/>
        <w:jc w:val="left"/>
        <w:rPr>
          <w:rFonts w:hint="eastAsia" w:ascii="宋体" w:hAnsi="宋体"/>
          <w:sz w:val="24"/>
        </w:rPr>
      </w:pPr>
      <w:r>
        <w:rPr>
          <w:rFonts w:hint="eastAsia" w:ascii="宋体" w:hAnsi="宋体"/>
          <w:sz w:val="24"/>
        </w:rPr>
        <w:t>3.5.2评标价=有效的投标函大写文字报价；</w:t>
      </w:r>
    </w:p>
    <w:p>
      <w:pPr>
        <w:spacing w:line="440" w:lineRule="exact"/>
        <w:ind w:firstLine="480" w:firstLineChars="200"/>
        <w:jc w:val="left"/>
        <w:rPr>
          <w:rFonts w:hint="eastAsia" w:ascii="宋体" w:hAnsi="宋体"/>
          <w:color w:val="FF0000"/>
          <w:sz w:val="24"/>
        </w:rPr>
      </w:pPr>
      <w:r>
        <w:rPr>
          <w:rFonts w:hint="eastAsia" w:ascii="宋体" w:hAnsi="宋体"/>
          <w:sz w:val="24"/>
        </w:rPr>
        <w:t>3.5.3理论成本价=[最高投标限价*50%+评标价算术平均值*50%]*0.85（当评标价个数大于或等于5家时，去掉其中的一个最高值和一个最低值，再进行算术平均值计算。计算后的结果换算为百分数，百分号前保留三位小数，第四位“四舍五入”；</w:t>
      </w:r>
    </w:p>
    <w:p>
      <w:pPr>
        <w:spacing w:line="440" w:lineRule="exact"/>
        <w:ind w:firstLine="480" w:firstLineChars="200"/>
        <w:jc w:val="left"/>
        <w:rPr>
          <w:rFonts w:hint="eastAsia" w:ascii="宋体" w:hAnsi="宋体"/>
          <w:sz w:val="24"/>
        </w:rPr>
      </w:pPr>
      <w:r>
        <w:rPr>
          <w:rFonts w:hint="eastAsia" w:ascii="宋体" w:hAnsi="宋体"/>
          <w:sz w:val="24"/>
        </w:rPr>
        <w:t>3.5.4评标价低于理论成本价的，不参与后续评审。</w:t>
      </w:r>
    </w:p>
    <w:p>
      <w:pPr>
        <w:spacing w:line="440" w:lineRule="exact"/>
        <w:ind w:firstLine="482" w:firstLineChars="200"/>
        <w:jc w:val="left"/>
        <w:rPr>
          <w:rFonts w:hint="eastAsia" w:ascii="宋体" w:hAnsi="宋体"/>
          <w:b/>
          <w:sz w:val="24"/>
        </w:rPr>
      </w:pPr>
      <w:r>
        <w:rPr>
          <w:rFonts w:hint="eastAsia" w:ascii="宋体" w:hAnsi="宋体"/>
          <w:b/>
          <w:sz w:val="24"/>
        </w:rPr>
        <w:t>3.6 投标文件相关信息的核查</w:t>
      </w:r>
    </w:p>
    <w:p>
      <w:pPr>
        <w:spacing w:line="440" w:lineRule="exact"/>
        <w:ind w:firstLine="480" w:firstLineChars="200"/>
        <w:jc w:val="left"/>
        <w:rPr>
          <w:rFonts w:hint="eastAsia" w:ascii="宋体" w:hAnsi="宋体"/>
          <w:sz w:val="24"/>
        </w:rPr>
      </w:pPr>
      <w:r>
        <w:rPr>
          <w:rFonts w:hint="eastAsia" w:ascii="宋体" w:hAnsi="宋体"/>
          <w:sz w:val="24"/>
        </w:rPr>
        <w:t>3.6.1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spacing w:line="440" w:lineRule="exact"/>
        <w:ind w:firstLine="480" w:firstLineChars="200"/>
        <w:jc w:val="left"/>
        <w:rPr>
          <w:rFonts w:hint="eastAsia" w:ascii="宋体" w:hAnsi="宋体"/>
          <w:sz w:val="24"/>
        </w:rPr>
      </w:pPr>
      <w:r>
        <w:rPr>
          <w:rFonts w:hint="eastAsia" w:ascii="宋体" w:hAnsi="宋体"/>
          <w:sz w:val="24"/>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40" w:lineRule="exact"/>
        <w:ind w:firstLine="480" w:firstLineChars="200"/>
        <w:jc w:val="left"/>
        <w:rPr>
          <w:rFonts w:hint="eastAsia" w:ascii="宋体" w:hAnsi="宋体"/>
          <w:sz w:val="24"/>
        </w:rPr>
      </w:pPr>
      <w:r>
        <w:rPr>
          <w:rFonts w:hint="eastAsia" w:ascii="宋体" w:hAnsi="宋体"/>
          <w:sz w:val="24"/>
        </w:rPr>
        <w:t>（1）有下列情形之一的，属于投标人相互串通投标；</w:t>
      </w:r>
    </w:p>
    <w:p>
      <w:pPr>
        <w:spacing w:line="440" w:lineRule="exact"/>
        <w:ind w:firstLine="720" w:firstLineChars="300"/>
        <w:jc w:val="left"/>
        <w:rPr>
          <w:rFonts w:hint="eastAsia" w:ascii="宋体" w:hAnsi="宋体"/>
          <w:sz w:val="24"/>
        </w:rPr>
      </w:pPr>
      <w:r>
        <w:rPr>
          <w:rFonts w:hint="eastAsia" w:ascii="宋体" w:hAnsi="宋体"/>
          <w:sz w:val="24"/>
        </w:rPr>
        <w:t>a.投标人之间协商投标报价等投标文件的实质性内容；</w:t>
      </w:r>
    </w:p>
    <w:p>
      <w:pPr>
        <w:spacing w:line="440" w:lineRule="exact"/>
        <w:ind w:firstLine="720" w:firstLineChars="300"/>
        <w:jc w:val="left"/>
        <w:rPr>
          <w:rFonts w:hint="eastAsia" w:ascii="宋体" w:hAnsi="宋体"/>
          <w:sz w:val="24"/>
        </w:rPr>
      </w:pPr>
      <w:r>
        <w:rPr>
          <w:rFonts w:hint="eastAsia" w:ascii="宋体" w:hAnsi="宋体"/>
          <w:sz w:val="24"/>
        </w:rPr>
        <w:t>b.投标人之间约定中标人；</w:t>
      </w:r>
    </w:p>
    <w:p>
      <w:pPr>
        <w:spacing w:line="440" w:lineRule="exact"/>
        <w:ind w:firstLine="720" w:firstLineChars="300"/>
        <w:jc w:val="left"/>
        <w:rPr>
          <w:rFonts w:hint="eastAsia" w:ascii="宋体" w:hAnsi="宋体"/>
          <w:sz w:val="24"/>
        </w:rPr>
      </w:pPr>
      <w:r>
        <w:rPr>
          <w:rFonts w:hint="eastAsia" w:ascii="宋体" w:hAnsi="宋体"/>
          <w:sz w:val="24"/>
        </w:rPr>
        <w:t>c.投标人之间约定部分投标人放弃投标或中标；</w:t>
      </w:r>
    </w:p>
    <w:p>
      <w:pPr>
        <w:spacing w:line="440" w:lineRule="exact"/>
        <w:ind w:firstLine="720" w:firstLineChars="300"/>
        <w:jc w:val="left"/>
        <w:rPr>
          <w:rFonts w:hint="eastAsia" w:ascii="宋体" w:hAnsi="宋体"/>
          <w:sz w:val="24"/>
        </w:rPr>
      </w:pPr>
      <w:r>
        <w:rPr>
          <w:rFonts w:hint="eastAsia" w:ascii="宋体" w:hAnsi="宋体"/>
          <w:sz w:val="24"/>
        </w:rPr>
        <w:t>d.属于同一集团、协会、商会等组织成员的投标人按照该组织要求协同投标；</w:t>
      </w:r>
    </w:p>
    <w:p>
      <w:pPr>
        <w:spacing w:line="440" w:lineRule="exact"/>
        <w:ind w:firstLine="720" w:firstLineChars="300"/>
        <w:jc w:val="left"/>
        <w:rPr>
          <w:rFonts w:hint="eastAsia" w:ascii="宋体" w:hAnsi="宋体"/>
          <w:sz w:val="24"/>
        </w:rPr>
      </w:pPr>
      <w:r>
        <w:rPr>
          <w:rFonts w:hint="eastAsia" w:ascii="宋体" w:hAnsi="宋体"/>
          <w:sz w:val="24"/>
        </w:rPr>
        <w:t>e.投标人之间为谋取中标或排斥特定投标人而采取的其他联合行动。</w:t>
      </w:r>
    </w:p>
    <w:p>
      <w:pPr>
        <w:spacing w:line="440" w:lineRule="exact"/>
        <w:ind w:firstLine="480" w:firstLineChars="200"/>
        <w:jc w:val="left"/>
        <w:rPr>
          <w:rFonts w:hint="eastAsia" w:ascii="宋体" w:hAnsi="宋体"/>
          <w:sz w:val="24"/>
        </w:rPr>
      </w:pPr>
      <w:r>
        <w:rPr>
          <w:rFonts w:hint="eastAsia" w:ascii="宋体" w:hAnsi="宋体"/>
          <w:sz w:val="24"/>
        </w:rPr>
        <w:t>（2）有下列情形之一的，视为投标人相互串通投标：</w:t>
      </w:r>
    </w:p>
    <w:p>
      <w:pPr>
        <w:spacing w:line="440" w:lineRule="exact"/>
        <w:ind w:firstLine="720" w:firstLineChars="300"/>
        <w:jc w:val="left"/>
        <w:rPr>
          <w:rFonts w:hint="eastAsia" w:ascii="宋体" w:hAnsi="宋体"/>
          <w:sz w:val="24"/>
        </w:rPr>
      </w:pPr>
      <w:r>
        <w:rPr>
          <w:rFonts w:hint="eastAsia" w:ascii="宋体" w:hAnsi="宋体"/>
          <w:sz w:val="24"/>
        </w:rPr>
        <w:t>a.不同投标人的投标文件由同一单位或个人编制；</w:t>
      </w:r>
    </w:p>
    <w:p>
      <w:pPr>
        <w:spacing w:line="440" w:lineRule="exact"/>
        <w:ind w:firstLine="720" w:firstLineChars="300"/>
        <w:jc w:val="left"/>
        <w:rPr>
          <w:rFonts w:hint="eastAsia" w:ascii="宋体" w:hAnsi="宋体"/>
          <w:sz w:val="24"/>
        </w:rPr>
      </w:pPr>
      <w:r>
        <w:rPr>
          <w:rFonts w:hint="eastAsia" w:ascii="宋体" w:hAnsi="宋体"/>
          <w:sz w:val="24"/>
        </w:rPr>
        <w:t>b.不同投标人委托同一单位或个人办理投标事宜；</w:t>
      </w:r>
    </w:p>
    <w:p>
      <w:pPr>
        <w:spacing w:line="440" w:lineRule="exact"/>
        <w:ind w:firstLine="720" w:firstLineChars="300"/>
        <w:jc w:val="left"/>
        <w:rPr>
          <w:rFonts w:hint="eastAsia" w:ascii="宋体" w:hAnsi="宋体"/>
          <w:sz w:val="24"/>
        </w:rPr>
      </w:pPr>
      <w:r>
        <w:rPr>
          <w:rFonts w:hint="eastAsia" w:ascii="宋体" w:hAnsi="宋体"/>
          <w:sz w:val="24"/>
        </w:rPr>
        <w:t>c.不同投标人的投标文件载明的项目管理成员为同一人；</w:t>
      </w:r>
    </w:p>
    <w:p>
      <w:pPr>
        <w:spacing w:line="440" w:lineRule="exact"/>
        <w:ind w:firstLine="720" w:firstLineChars="300"/>
        <w:jc w:val="left"/>
        <w:rPr>
          <w:rFonts w:hint="eastAsia" w:ascii="宋体" w:hAnsi="宋体"/>
          <w:sz w:val="24"/>
        </w:rPr>
      </w:pPr>
      <w:r>
        <w:rPr>
          <w:rFonts w:hint="eastAsia" w:ascii="宋体" w:hAnsi="宋体"/>
          <w:sz w:val="24"/>
        </w:rPr>
        <w:t>d.不同投标人的投标文件异常一致或投标报价呈规律性差异；</w:t>
      </w:r>
    </w:p>
    <w:p>
      <w:pPr>
        <w:spacing w:line="440" w:lineRule="exact"/>
        <w:ind w:firstLine="720" w:firstLineChars="300"/>
        <w:jc w:val="left"/>
        <w:rPr>
          <w:rFonts w:hint="eastAsia" w:ascii="宋体" w:hAnsi="宋体"/>
          <w:sz w:val="24"/>
        </w:rPr>
      </w:pPr>
      <w:r>
        <w:rPr>
          <w:rFonts w:hint="eastAsia" w:ascii="宋体" w:hAnsi="宋体"/>
          <w:sz w:val="24"/>
        </w:rPr>
        <w:t>e.不同投标人的投标文件相互混装；</w:t>
      </w:r>
    </w:p>
    <w:p>
      <w:pPr>
        <w:spacing w:line="440" w:lineRule="exact"/>
        <w:ind w:firstLine="720" w:firstLineChars="300"/>
        <w:jc w:val="left"/>
        <w:rPr>
          <w:rFonts w:hint="eastAsia" w:ascii="宋体" w:hAnsi="宋体"/>
          <w:sz w:val="24"/>
        </w:rPr>
      </w:pPr>
      <w:r>
        <w:rPr>
          <w:rFonts w:hint="eastAsia" w:ascii="宋体" w:hAnsi="宋体"/>
          <w:sz w:val="24"/>
        </w:rPr>
        <w:t>f.不同投标人的投标保证金从同一单位或个人的账户转出；</w:t>
      </w:r>
    </w:p>
    <w:p>
      <w:pPr>
        <w:spacing w:line="440" w:lineRule="exact"/>
        <w:ind w:firstLine="720" w:firstLineChars="300"/>
        <w:jc w:val="left"/>
        <w:rPr>
          <w:rFonts w:hint="eastAsia" w:ascii="宋体" w:hAnsi="宋体"/>
          <w:sz w:val="24"/>
        </w:rPr>
      </w:pPr>
      <w:r>
        <w:rPr>
          <w:rFonts w:hint="eastAsia" w:ascii="宋体" w:hAnsi="宋体"/>
          <w:sz w:val="24"/>
        </w:rPr>
        <w:t>g.不同投标人的CA数字证书混用。</w:t>
      </w:r>
    </w:p>
    <w:p>
      <w:pPr>
        <w:spacing w:line="440" w:lineRule="exact"/>
        <w:ind w:firstLine="480" w:firstLineChars="200"/>
        <w:jc w:val="left"/>
        <w:rPr>
          <w:rFonts w:hint="eastAsia" w:ascii="宋体" w:hAnsi="宋体"/>
          <w:sz w:val="24"/>
        </w:rPr>
      </w:pPr>
      <w:r>
        <w:rPr>
          <w:rFonts w:hint="eastAsia" w:ascii="宋体" w:hAnsi="宋体"/>
          <w:sz w:val="24"/>
        </w:rPr>
        <w:t>（3）有下列情形之一的，属于招标人与投标人串通投标：</w:t>
      </w:r>
    </w:p>
    <w:p>
      <w:pPr>
        <w:spacing w:line="440" w:lineRule="exact"/>
        <w:ind w:firstLine="720" w:firstLineChars="300"/>
        <w:jc w:val="left"/>
        <w:rPr>
          <w:rFonts w:hint="eastAsia" w:ascii="宋体" w:hAnsi="宋体"/>
          <w:sz w:val="24"/>
        </w:rPr>
      </w:pPr>
      <w:r>
        <w:rPr>
          <w:rFonts w:hint="eastAsia" w:ascii="宋体" w:hAnsi="宋体"/>
          <w:sz w:val="24"/>
        </w:rPr>
        <w:t>a.招标人在开标前开启投标文件并将有关信息泄露给其他投标人;</w:t>
      </w:r>
    </w:p>
    <w:p>
      <w:pPr>
        <w:spacing w:line="440" w:lineRule="exact"/>
        <w:ind w:firstLine="720" w:firstLineChars="300"/>
        <w:jc w:val="left"/>
        <w:rPr>
          <w:rFonts w:hint="eastAsia" w:ascii="宋体" w:hAnsi="宋体"/>
          <w:sz w:val="24"/>
        </w:rPr>
      </w:pPr>
      <w:r>
        <w:rPr>
          <w:rFonts w:hint="eastAsia" w:ascii="宋体" w:hAnsi="宋体"/>
          <w:sz w:val="24"/>
        </w:rPr>
        <w:t>b.招标人直接或间接向投标人泄露标底、评标委员会成员等信息；</w:t>
      </w:r>
    </w:p>
    <w:p>
      <w:pPr>
        <w:spacing w:line="440" w:lineRule="exact"/>
        <w:ind w:firstLine="720" w:firstLineChars="300"/>
        <w:jc w:val="left"/>
        <w:rPr>
          <w:rFonts w:hint="eastAsia" w:ascii="宋体" w:hAnsi="宋体"/>
          <w:sz w:val="24"/>
        </w:rPr>
      </w:pPr>
      <w:r>
        <w:rPr>
          <w:rFonts w:hint="eastAsia" w:ascii="宋体" w:hAnsi="宋体"/>
          <w:sz w:val="24"/>
        </w:rPr>
        <w:t>c.招标人明示或暗示投标人压低或抬高投标报价；</w:t>
      </w:r>
    </w:p>
    <w:p>
      <w:pPr>
        <w:spacing w:line="440" w:lineRule="exact"/>
        <w:ind w:firstLine="720" w:firstLineChars="300"/>
        <w:jc w:val="left"/>
        <w:rPr>
          <w:rFonts w:hint="eastAsia" w:ascii="宋体" w:hAnsi="宋体"/>
          <w:sz w:val="24"/>
        </w:rPr>
      </w:pPr>
      <w:r>
        <w:rPr>
          <w:rFonts w:hint="eastAsia" w:ascii="宋体" w:hAnsi="宋体"/>
          <w:sz w:val="24"/>
        </w:rPr>
        <w:t>d.招标人授意投标人撤换、修改投标文件；</w:t>
      </w:r>
    </w:p>
    <w:p>
      <w:pPr>
        <w:spacing w:line="440" w:lineRule="exact"/>
        <w:ind w:firstLine="720" w:firstLineChars="300"/>
        <w:jc w:val="left"/>
        <w:rPr>
          <w:rFonts w:hint="eastAsia" w:ascii="宋体" w:hAnsi="宋体"/>
          <w:sz w:val="24"/>
        </w:rPr>
      </w:pPr>
      <w:r>
        <w:rPr>
          <w:rFonts w:hint="eastAsia" w:ascii="宋体" w:hAnsi="宋体"/>
          <w:sz w:val="24"/>
        </w:rPr>
        <w:t>e.招标人明示或暗示投标人为特定投标人中标提供方便；</w:t>
      </w:r>
    </w:p>
    <w:p>
      <w:pPr>
        <w:spacing w:line="440" w:lineRule="exact"/>
        <w:ind w:firstLine="720" w:firstLineChars="300"/>
        <w:jc w:val="left"/>
        <w:rPr>
          <w:rFonts w:hint="eastAsia" w:ascii="宋体" w:hAnsi="宋体"/>
          <w:sz w:val="24"/>
        </w:rPr>
      </w:pPr>
      <w:r>
        <w:rPr>
          <w:rFonts w:hint="eastAsia" w:ascii="宋体" w:hAnsi="宋体"/>
          <w:sz w:val="24"/>
        </w:rPr>
        <w:t>f.招标人与投标人为谋求特定投标人中标而采取的其他串通行为。</w:t>
      </w:r>
    </w:p>
    <w:p>
      <w:pPr>
        <w:spacing w:line="440" w:lineRule="exact"/>
        <w:ind w:firstLine="480" w:firstLineChars="200"/>
        <w:jc w:val="left"/>
        <w:rPr>
          <w:rFonts w:hint="eastAsia" w:ascii="宋体" w:hAnsi="宋体"/>
          <w:sz w:val="24"/>
        </w:rPr>
      </w:pPr>
      <w:r>
        <w:rPr>
          <w:rFonts w:hint="eastAsia" w:ascii="宋体" w:hAnsi="宋体"/>
          <w:sz w:val="24"/>
        </w:rPr>
        <w:t>（4）投标人有下列情形之一的，属于弄虚作假的行为：</w:t>
      </w:r>
    </w:p>
    <w:p>
      <w:pPr>
        <w:spacing w:line="440" w:lineRule="exact"/>
        <w:ind w:firstLine="720" w:firstLineChars="300"/>
        <w:jc w:val="left"/>
        <w:rPr>
          <w:rFonts w:hint="eastAsia" w:ascii="宋体" w:hAnsi="宋体"/>
          <w:sz w:val="24"/>
        </w:rPr>
      </w:pPr>
      <w:r>
        <w:rPr>
          <w:rFonts w:hint="eastAsia" w:ascii="宋体" w:hAnsi="宋体"/>
          <w:sz w:val="24"/>
        </w:rPr>
        <w:t>a.使用通过受让或租借等方式获取的资格、资质证书投标；</w:t>
      </w:r>
    </w:p>
    <w:p>
      <w:pPr>
        <w:spacing w:line="440" w:lineRule="exact"/>
        <w:ind w:firstLine="720" w:firstLineChars="300"/>
        <w:jc w:val="left"/>
        <w:rPr>
          <w:rFonts w:hint="eastAsia" w:ascii="宋体" w:hAnsi="宋体"/>
          <w:sz w:val="24"/>
        </w:rPr>
      </w:pPr>
      <w:r>
        <w:rPr>
          <w:rFonts w:hint="eastAsia" w:ascii="宋体" w:hAnsi="宋体"/>
          <w:sz w:val="24"/>
        </w:rPr>
        <w:t>b.使用伪造、变造的许可证件；</w:t>
      </w:r>
    </w:p>
    <w:p>
      <w:pPr>
        <w:spacing w:line="440" w:lineRule="exact"/>
        <w:ind w:firstLine="720" w:firstLineChars="300"/>
        <w:jc w:val="left"/>
        <w:rPr>
          <w:rFonts w:hint="eastAsia" w:ascii="宋体" w:hAnsi="宋体"/>
          <w:sz w:val="24"/>
        </w:rPr>
      </w:pPr>
      <w:r>
        <w:rPr>
          <w:rFonts w:hint="eastAsia" w:ascii="宋体" w:hAnsi="宋体"/>
          <w:sz w:val="24"/>
        </w:rPr>
        <w:t>c.提供虚假的财务状况或业绩；</w:t>
      </w:r>
    </w:p>
    <w:p>
      <w:pPr>
        <w:spacing w:line="440" w:lineRule="exact"/>
        <w:ind w:firstLine="720" w:firstLineChars="300"/>
        <w:jc w:val="left"/>
        <w:rPr>
          <w:rFonts w:hint="eastAsia" w:ascii="宋体" w:hAnsi="宋体"/>
          <w:sz w:val="24"/>
        </w:rPr>
      </w:pPr>
      <w:r>
        <w:rPr>
          <w:rFonts w:hint="eastAsia" w:ascii="宋体" w:hAnsi="宋体"/>
          <w:sz w:val="24"/>
        </w:rPr>
        <w:t>d.提供虚假的项目负责人或主要技术人员简历、劳动关系证明；</w:t>
      </w:r>
    </w:p>
    <w:p>
      <w:pPr>
        <w:spacing w:line="440" w:lineRule="exact"/>
        <w:ind w:firstLine="720" w:firstLineChars="300"/>
        <w:jc w:val="left"/>
        <w:rPr>
          <w:rFonts w:hint="eastAsia" w:ascii="宋体" w:hAnsi="宋体"/>
          <w:sz w:val="24"/>
        </w:rPr>
      </w:pPr>
      <w:r>
        <w:rPr>
          <w:rFonts w:hint="eastAsia" w:ascii="宋体" w:hAnsi="宋体"/>
          <w:sz w:val="24"/>
        </w:rPr>
        <w:t>e.提供虚假的信用状况；</w:t>
      </w:r>
    </w:p>
    <w:p>
      <w:pPr>
        <w:spacing w:line="440" w:lineRule="exact"/>
        <w:ind w:firstLine="720" w:firstLineChars="300"/>
        <w:jc w:val="left"/>
        <w:rPr>
          <w:rFonts w:hint="eastAsia" w:ascii="宋体" w:hAnsi="宋体"/>
          <w:sz w:val="24"/>
        </w:rPr>
      </w:pPr>
      <w:r>
        <w:rPr>
          <w:rFonts w:hint="eastAsia" w:ascii="宋体" w:hAnsi="宋体"/>
          <w:sz w:val="24"/>
        </w:rPr>
        <w:t>f.其他弄虚作假的行为。</w:t>
      </w:r>
    </w:p>
    <w:p>
      <w:pPr>
        <w:tabs>
          <w:tab w:val="left" w:pos="229"/>
          <w:tab w:val="left" w:pos="4760"/>
        </w:tabs>
        <w:autoSpaceDE w:val="0"/>
        <w:autoSpaceDN w:val="0"/>
        <w:adjustRightInd w:val="0"/>
        <w:spacing w:line="440" w:lineRule="exact"/>
        <w:ind w:left="199" w:leftChars="95" w:right="156" w:firstLine="480" w:firstLineChars="200"/>
        <w:jc w:val="left"/>
        <w:rPr>
          <w:rFonts w:hint="eastAsia" w:ascii="宋体" w:hAnsi="宋体"/>
          <w:sz w:val="24"/>
        </w:rPr>
      </w:pPr>
      <w:r>
        <w:rPr>
          <w:rFonts w:hint="eastAsia" w:ascii="宋体" w:hAnsi="宋体"/>
          <w:sz w:val="24"/>
        </w:rPr>
        <w:t>3.6.3投标人存在晋交建管发【2021】2号文规定的，否决其投标：</w:t>
      </w:r>
    </w:p>
    <w:p>
      <w:pPr>
        <w:tabs>
          <w:tab w:val="left" w:pos="229"/>
          <w:tab w:val="left" w:pos="4760"/>
        </w:tabs>
        <w:autoSpaceDE w:val="0"/>
        <w:autoSpaceDN w:val="0"/>
        <w:adjustRightInd w:val="0"/>
        <w:spacing w:line="440" w:lineRule="exact"/>
        <w:ind w:left="199" w:leftChars="95" w:right="156" w:firstLine="480" w:firstLineChars="200"/>
        <w:jc w:val="left"/>
        <w:rPr>
          <w:rFonts w:hint="eastAsia" w:ascii="宋体" w:hAnsi="宋体"/>
          <w:kern w:val="0"/>
          <w:sz w:val="24"/>
        </w:rPr>
      </w:pPr>
      <w:r>
        <w:rPr>
          <w:rFonts w:hint="eastAsia" w:ascii="宋体" w:hAnsi="宋体"/>
          <w:kern w:val="0"/>
          <w:sz w:val="24"/>
        </w:rPr>
        <w:t>（1）不同投标人间不得有下列情形：</w:t>
      </w:r>
    </w:p>
    <w:p>
      <w:pPr>
        <w:tabs>
          <w:tab w:val="left" w:pos="229"/>
          <w:tab w:val="left" w:pos="4760"/>
        </w:tabs>
        <w:autoSpaceDE w:val="0"/>
        <w:autoSpaceDN w:val="0"/>
        <w:adjustRightInd w:val="0"/>
        <w:spacing w:line="440" w:lineRule="exact"/>
        <w:ind w:left="199" w:right="156" w:firstLine="480" w:firstLineChars="200"/>
        <w:jc w:val="left"/>
        <w:rPr>
          <w:rFonts w:hint="eastAsia" w:ascii="宋体" w:hAnsi="宋体"/>
          <w:kern w:val="0"/>
          <w:sz w:val="24"/>
        </w:rPr>
      </w:pPr>
      <w:r>
        <w:rPr>
          <w:rFonts w:hint="eastAsia" w:ascii="宋体" w:hAnsi="宋体"/>
          <w:kern w:val="0"/>
          <w:sz w:val="24"/>
        </w:rPr>
        <w:t>a.不同投标人的投标文件由同一电子设备编制、打印加密或者上传；</w:t>
      </w:r>
    </w:p>
    <w:p>
      <w:pPr>
        <w:tabs>
          <w:tab w:val="left" w:pos="229"/>
          <w:tab w:val="left" w:pos="4760"/>
        </w:tabs>
        <w:autoSpaceDE w:val="0"/>
        <w:autoSpaceDN w:val="0"/>
        <w:adjustRightInd w:val="0"/>
        <w:spacing w:line="440" w:lineRule="exact"/>
        <w:ind w:left="199" w:right="156" w:firstLine="480" w:firstLineChars="200"/>
        <w:jc w:val="left"/>
        <w:rPr>
          <w:rFonts w:hint="eastAsia" w:ascii="宋体" w:hAnsi="宋体"/>
          <w:kern w:val="0"/>
          <w:sz w:val="24"/>
        </w:rPr>
      </w:pPr>
      <w:r>
        <w:rPr>
          <w:rFonts w:hint="eastAsia" w:ascii="宋体" w:hAnsi="宋体"/>
          <w:kern w:val="0"/>
          <w:sz w:val="24"/>
        </w:rPr>
        <w:t>b.不同投标人的投标文件的实质性内容存在两处以上细节错误一致；</w:t>
      </w:r>
    </w:p>
    <w:p>
      <w:pPr>
        <w:tabs>
          <w:tab w:val="left" w:pos="229"/>
          <w:tab w:val="left" w:pos="4760"/>
        </w:tabs>
        <w:autoSpaceDE w:val="0"/>
        <w:autoSpaceDN w:val="0"/>
        <w:adjustRightInd w:val="0"/>
        <w:spacing w:line="440" w:lineRule="exact"/>
        <w:ind w:left="199" w:right="156" w:firstLine="480" w:firstLineChars="200"/>
        <w:jc w:val="left"/>
        <w:rPr>
          <w:rFonts w:hint="eastAsia" w:ascii="宋体" w:hAnsi="宋体"/>
          <w:kern w:val="0"/>
          <w:sz w:val="24"/>
        </w:rPr>
      </w:pPr>
      <w:r>
        <w:rPr>
          <w:rFonts w:hint="eastAsia" w:ascii="宋体" w:hAnsi="宋体"/>
          <w:kern w:val="0"/>
          <w:sz w:val="24"/>
        </w:rPr>
        <w:t>c.电子投标文件记录的MAC地址、硬盘序列号等硬件信息出现任一相同情况，包含不同投标人在不同批次投标活动中信息相同情况；</w:t>
      </w:r>
    </w:p>
    <w:p>
      <w:pPr>
        <w:tabs>
          <w:tab w:val="left" w:pos="229"/>
          <w:tab w:val="left" w:pos="4760"/>
        </w:tabs>
        <w:autoSpaceDE w:val="0"/>
        <w:autoSpaceDN w:val="0"/>
        <w:adjustRightInd w:val="0"/>
        <w:spacing w:line="440" w:lineRule="exact"/>
        <w:ind w:left="199" w:right="156" w:firstLine="480" w:firstLineChars="200"/>
        <w:jc w:val="left"/>
        <w:rPr>
          <w:rFonts w:hint="eastAsia" w:ascii="宋体" w:hAnsi="宋体"/>
          <w:kern w:val="0"/>
          <w:sz w:val="24"/>
        </w:rPr>
      </w:pPr>
      <w:r>
        <w:rPr>
          <w:rFonts w:hint="eastAsia" w:ascii="宋体" w:hAnsi="宋体"/>
          <w:kern w:val="0"/>
          <w:sz w:val="24"/>
        </w:rPr>
        <w:t>d.投标文件的制作、记录上传IP地址，投标人购买招标文件IP地址等信息出现任一相同情况。</w:t>
      </w:r>
    </w:p>
    <w:p>
      <w:pPr>
        <w:tabs>
          <w:tab w:val="left" w:pos="229"/>
          <w:tab w:val="left" w:pos="4760"/>
        </w:tabs>
        <w:autoSpaceDE w:val="0"/>
        <w:autoSpaceDN w:val="0"/>
        <w:adjustRightInd w:val="0"/>
        <w:spacing w:line="440" w:lineRule="exact"/>
        <w:ind w:right="156" w:firstLine="480" w:firstLineChars="200"/>
        <w:jc w:val="left"/>
        <w:rPr>
          <w:rFonts w:hint="eastAsia" w:ascii="宋体" w:hAnsi="宋体"/>
          <w:kern w:val="0"/>
          <w:sz w:val="24"/>
        </w:rPr>
      </w:pPr>
      <w:r>
        <w:rPr>
          <w:rFonts w:hint="eastAsia" w:ascii="宋体" w:hAnsi="宋体"/>
          <w:kern w:val="0"/>
          <w:sz w:val="24"/>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spacing w:line="440" w:lineRule="exact"/>
        <w:ind w:firstLine="480" w:firstLineChars="200"/>
        <w:jc w:val="left"/>
        <w:rPr>
          <w:rFonts w:hint="eastAsia" w:ascii="宋体" w:hAnsi="宋体"/>
          <w:szCs w:val="21"/>
        </w:rPr>
      </w:pPr>
      <w:r>
        <w:rPr>
          <w:rFonts w:hint="eastAsia" w:ascii="宋体" w:hAnsi="宋体"/>
          <w:kern w:val="0"/>
          <w:sz w:val="24"/>
        </w:rPr>
        <w:t>（3）发现（1）所列情形的，招标人在评标结束后，应就相关投标人是否涉嫌围标串标行为进行调查取证，形成明确认定意见，逐级备案制交通运输主管部门。</w:t>
      </w:r>
    </w:p>
    <w:p>
      <w:pPr>
        <w:spacing w:line="440" w:lineRule="exact"/>
        <w:ind w:firstLine="482" w:firstLineChars="200"/>
        <w:jc w:val="left"/>
        <w:rPr>
          <w:rFonts w:hint="eastAsia" w:ascii="宋体" w:hAnsi="宋体"/>
          <w:b/>
          <w:sz w:val="24"/>
        </w:rPr>
      </w:pPr>
      <w:r>
        <w:rPr>
          <w:rFonts w:hint="eastAsia" w:ascii="宋体" w:hAnsi="宋体"/>
          <w:b/>
          <w:sz w:val="24"/>
        </w:rPr>
        <w:t>3.7 投标文件的澄清和说明</w:t>
      </w:r>
    </w:p>
    <w:p>
      <w:pPr>
        <w:spacing w:line="440" w:lineRule="exact"/>
        <w:ind w:firstLine="480" w:firstLineChars="200"/>
        <w:jc w:val="left"/>
        <w:rPr>
          <w:rFonts w:hint="eastAsia" w:ascii="宋体" w:hAnsi="宋体"/>
          <w:sz w:val="24"/>
        </w:rPr>
      </w:pPr>
      <w:r>
        <w:rPr>
          <w:rFonts w:hint="eastAsia" w:ascii="宋体" w:hAnsi="宋体"/>
          <w:sz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40" w:lineRule="exact"/>
        <w:ind w:firstLine="480" w:firstLineChars="200"/>
        <w:jc w:val="left"/>
        <w:rPr>
          <w:rFonts w:hint="eastAsia" w:ascii="宋体" w:hAnsi="宋体"/>
          <w:sz w:val="24"/>
        </w:rPr>
      </w:pPr>
      <w:r>
        <w:rPr>
          <w:rFonts w:hint="eastAsia" w:ascii="宋体" w:hAnsi="宋体"/>
          <w:sz w:val="24"/>
        </w:rPr>
        <w:t>3.7.2 澄清和说明不得超出投标文件的范围或改变投标文件的实质性内容（算术性错误修正的除外）。投标人的书面澄清、说明属于投标文件的组成部分。</w:t>
      </w:r>
    </w:p>
    <w:p>
      <w:pPr>
        <w:spacing w:line="440" w:lineRule="exact"/>
        <w:ind w:firstLine="480" w:firstLineChars="200"/>
        <w:jc w:val="left"/>
        <w:rPr>
          <w:rFonts w:hint="eastAsia" w:ascii="宋体" w:hAnsi="宋体"/>
          <w:sz w:val="24"/>
        </w:rPr>
      </w:pPr>
      <w:r>
        <w:rPr>
          <w:rFonts w:hint="eastAsia" w:ascii="宋体" w:hAnsi="宋体"/>
          <w:sz w:val="24"/>
        </w:rPr>
        <w:t>3.7.3 评标委员会不得暗示或诱导投标人作出澄清、说明，对投标人提交的澄清、说明有疑问的，可以要求投标人进一步澄清或说明，直至满足评标委员会的要求。</w:t>
      </w:r>
    </w:p>
    <w:p>
      <w:pPr>
        <w:spacing w:line="440" w:lineRule="exact"/>
        <w:ind w:firstLine="480" w:firstLineChars="200"/>
        <w:jc w:val="left"/>
        <w:rPr>
          <w:rFonts w:hint="eastAsia" w:ascii="宋体" w:hAnsi="宋体"/>
          <w:sz w:val="24"/>
        </w:rPr>
      </w:pPr>
      <w:r>
        <w:rPr>
          <w:rFonts w:hint="eastAsia" w:ascii="宋体" w:hAnsi="宋体"/>
          <w:sz w:val="24"/>
        </w:rPr>
        <w:t>3.7.4凡超出招标文件规定的或给发包人带来未曾要求的利益的变化、偏差或其他因素在评标时不予考虑。</w:t>
      </w:r>
    </w:p>
    <w:p>
      <w:pPr>
        <w:spacing w:line="440" w:lineRule="exact"/>
        <w:ind w:firstLine="482" w:firstLineChars="200"/>
        <w:jc w:val="left"/>
        <w:rPr>
          <w:rFonts w:hint="eastAsia" w:ascii="宋体" w:hAnsi="宋体"/>
          <w:b/>
          <w:sz w:val="24"/>
        </w:rPr>
      </w:pPr>
      <w:r>
        <w:rPr>
          <w:rFonts w:hint="eastAsia" w:ascii="宋体" w:hAnsi="宋体"/>
          <w:b/>
          <w:sz w:val="24"/>
        </w:rPr>
        <w:t>3.8 不得否决投标的情形</w:t>
      </w:r>
    </w:p>
    <w:p>
      <w:pPr>
        <w:spacing w:line="440" w:lineRule="exact"/>
        <w:ind w:firstLine="480" w:firstLineChars="200"/>
        <w:jc w:val="left"/>
        <w:rPr>
          <w:rFonts w:hint="eastAsia" w:ascii="宋体" w:hAnsi="宋体"/>
          <w:sz w:val="24"/>
        </w:rPr>
      </w:pPr>
      <w:r>
        <w:rPr>
          <w:rFonts w:hint="eastAsia" w:ascii="宋体" w:hAnsi="宋体"/>
          <w:sz w:val="24"/>
        </w:rPr>
        <w:t>投标文件存在第二章“投标人须知”第1.12.3项所列情形的，均视为细微偏差，评标委员会不得否决投标人的投标，应按照第二章“投标人须知”第1.12.4项规定的原则处理。</w:t>
      </w:r>
    </w:p>
    <w:p>
      <w:pPr>
        <w:spacing w:line="440" w:lineRule="exact"/>
        <w:ind w:firstLine="482" w:firstLineChars="200"/>
        <w:jc w:val="left"/>
        <w:rPr>
          <w:rFonts w:hint="eastAsia" w:ascii="宋体" w:hAnsi="宋体"/>
          <w:b/>
          <w:sz w:val="24"/>
        </w:rPr>
      </w:pPr>
      <w:r>
        <w:rPr>
          <w:rFonts w:hint="eastAsia" w:ascii="宋体" w:hAnsi="宋体"/>
          <w:b/>
          <w:sz w:val="24"/>
        </w:rPr>
        <w:t>3.9 评标结果</w:t>
      </w:r>
    </w:p>
    <w:p>
      <w:pPr>
        <w:spacing w:line="440" w:lineRule="exact"/>
        <w:ind w:firstLine="480" w:firstLineChars="200"/>
        <w:jc w:val="left"/>
        <w:rPr>
          <w:rFonts w:hint="eastAsia" w:ascii="宋体" w:hAnsi="宋体"/>
          <w:sz w:val="24"/>
        </w:rPr>
      </w:pPr>
      <w:r>
        <w:rPr>
          <w:rFonts w:hint="eastAsia" w:ascii="宋体" w:hAnsi="宋体"/>
          <w:sz w:val="24"/>
        </w:rPr>
        <w:t>3.9.1 除第二章“投标人须知”前附表授权直接确定中标人外，评标委员会按照投标报价由低到高的顺序推荐1名中标候选人。</w:t>
      </w:r>
    </w:p>
    <w:p>
      <w:pPr>
        <w:spacing w:line="440" w:lineRule="exact"/>
        <w:ind w:firstLine="480" w:firstLineChars="200"/>
        <w:jc w:val="left"/>
        <w:rPr>
          <w:rFonts w:hint="eastAsia" w:ascii="宋体" w:hAnsi="宋体"/>
          <w:sz w:val="24"/>
        </w:rPr>
      </w:pPr>
      <w:r>
        <w:rPr>
          <w:rFonts w:hint="eastAsia" w:ascii="宋体" w:hAnsi="宋体"/>
          <w:sz w:val="24"/>
        </w:rPr>
        <w:t>3.9.2 评标委员会完成评标后，应当向招标人提交书面评标报告。</w:t>
      </w:r>
    </w:p>
    <w:p>
      <w:pPr>
        <w:pStyle w:val="6"/>
      </w:pPr>
    </w:p>
    <w:bookmarkEnd w:id="0"/>
    <w:p>
      <w:pPr>
        <w:rPr>
          <w:b/>
          <w:sz w:val="28"/>
          <w:szCs w:val="28"/>
        </w:rPr>
      </w:pPr>
      <w:r>
        <w:rPr>
          <w:rFonts w:hint="eastAsia"/>
          <w:b/>
          <w:sz w:val="28"/>
          <w:szCs w:val="28"/>
        </w:rPr>
        <w:t>四、其他需要公开的内容</w:t>
      </w:r>
    </w:p>
    <w:p>
      <w:pPr>
        <w:spacing w:line="360" w:lineRule="auto"/>
        <w:ind w:firstLine="420" w:firstLineChars="200"/>
        <w:rPr>
          <w:kern w:val="0"/>
          <w:szCs w:val="21"/>
        </w:rPr>
      </w:pPr>
      <w:r>
        <w:rPr>
          <w:rFonts w:hint="eastAsia"/>
          <w:kern w:val="0"/>
          <w:szCs w:val="21"/>
        </w:rPr>
        <w:t>无。</w:t>
      </w:r>
    </w:p>
    <w:p/>
    <w:sectPr>
      <w:footerReference r:id="rId4" w:type="first"/>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7793861"/>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4"/>
      </w:rPr>
      <w:fldChar w:fldCharType="begin"/>
    </w:r>
    <w:r>
      <w:rPr>
        <w:rStyle w:val="14"/>
      </w:rPr>
      <w:instrText xml:space="preserve"> PAGE </w:instrText>
    </w:r>
    <w:r>
      <w:rPr>
        <w:rStyle w:val="14"/>
      </w:rPr>
      <w:fldChar w:fldCharType="separate"/>
    </w:r>
    <w:r>
      <w:rPr>
        <w:rStyle w:val="14"/>
      </w:rPr>
      <w:t>21</w:t>
    </w:r>
    <w:r>
      <w:rPr>
        <w:rStyle w:val="1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01AB"/>
    <w:multiLevelType w:val="multilevel"/>
    <w:tmpl w:val="33C601AB"/>
    <w:lvl w:ilvl="0" w:tentative="0">
      <w:start w:val="1"/>
      <w:numFmt w:val="upperLetter"/>
      <w:pStyle w:val="4"/>
      <w:lvlText w:val="%1."/>
      <w:lvlJc w:val="left"/>
      <w:pPr>
        <w:tabs>
          <w:tab w:val="left" w:pos="425"/>
        </w:tabs>
        <w:ind w:left="425" w:hanging="425"/>
      </w:pPr>
      <w:rPr>
        <w:rFonts w:hint="eastAsia"/>
      </w:rPr>
    </w:lvl>
    <w:lvl w:ilvl="1" w:tentative="0">
      <w:start w:val="1"/>
      <w:numFmt w:val="decimal"/>
      <w:lvlText w:val="%2."/>
      <w:lvlJc w:val="left"/>
      <w:pPr>
        <w:tabs>
          <w:tab w:val="left" w:pos="502"/>
        </w:tabs>
        <w:ind w:left="502" w:hanging="426"/>
      </w:pPr>
      <w:rPr>
        <w:rFonts w:hint="eastAsia"/>
      </w:rPr>
    </w:lvl>
    <w:lvl w:ilvl="2" w:tentative="0">
      <w:start w:val="1"/>
      <w:numFmt w:val="decimal"/>
      <w:lvlText w:val="%2.%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EE"/>
    <w:rsid w:val="000977F8"/>
    <w:rsid w:val="000E7998"/>
    <w:rsid w:val="00190291"/>
    <w:rsid w:val="001A6D80"/>
    <w:rsid w:val="001B01F4"/>
    <w:rsid w:val="001B7753"/>
    <w:rsid w:val="001D4A02"/>
    <w:rsid w:val="002559EB"/>
    <w:rsid w:val="00337ABF"/>
    <w:rsid w:val="003708C6"/>
    <w:rsid w:val="003838EE"/>
    <w:rsid w:val="003F54E2"/>
    <w:rsid w:val="00520781"/>
    <w:rsid w:val="005878A5"/>
    <w:rsid w:val="00614554"/>
    <w:rsid w:val="00626900"/>
    <w:rsid w:val="00691738"/>
    <w:rsid w:val="006D3AD0"/>
    <w:rsid w:val="007A7C11"/>
    <w:rsid w:val="007D7AEC"/>
    <w:rsid w:val="00833D37"/>
    <w:rsid w:val="008A4A19"/>
    <w:rsid w:val="009D3A42"/>
    <w:rsid w:val="00A429D0"/>
    <w:rsid w:val="00A52895"/>
    <w:rsid w:val="00B2512A"/>
    <w:rsid w:val="00BE140B"/>
    <w:rsid w:val="00D9688D"/>
    <w:rsid w:val="00DD7F54"/>
    <w:rsid w:val="00E3508C"/>
    <w:rsid w:val="00E55E24"/>
    <w:rsid w:val="00F20994"/>
    <w:rsid w:val="00F3789D"/>
    <w:rsid w:val="00F81DDF"/>
    <w:rsid w:val="4261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spacing w:before="340" w:after="330" w:line="578" w:lineRule="auto"/>
      <w:outlineLvl w:val="0"/>
    </w:pPr>
    <w:rPr>
      <w:rFonts w:ascii="Arial" w:hAnsi="Arial" w:eastAsia="华文中宋"/>
      <w:b/>
      <w:bCs/>
      <w:spacing w:val="30"/>
      <w:kern w:val="44"/>
      <w:sz w:val="44"/>
      <w:szCs w:val="44"/>
      <w:lang w:val="zh-CN" w:eastAsia="zh-CN"/>
    </w:rPr>
  </w:style>
  <w:style w:type="paragraph" w:styleId="4">
    <w:name w:val="heading 4"/>
    <w:basedOn w:val="1"/>
    <w:next w:val="1"/>
    <w:link w:val="22"/>
    <w:qFormat/>
    <w:uiPriority w:val="0"/>
    <w:pPr>
      <w:keepNext/>
      <w:numPr>
        <w:ilvl w:val="0"/>
        <w:numId w:val="1"/>
      </w:numPr>
      <w:spacing w:before="156" w:beforeLines="50" w:after="156" w:afterLines="50" w:line="360" w:lineRule="auto"/>
      <w:jc w:val="center"/>
      <w:outlineLvl w:val="3"/>
    </w:pPr>
    <w:rPr>
      <w:rFonts w:ascii="宋体" w:hAnsi="宋体"/>
      <w:b/>
      <w:kern w:val="0"/>
      <w:sz w:val="32"/>
      <w:szCs w:val="32"/>
      <w:lang w:val="zh-CN" w:eastAsia="zh-CN"/>
    </w:rPr>
  </w:style>
  <w:style w:type="paragraph" w:styleId="5">
    <w:name w:val="heading 5"/>
    <w:basedOn w:val="1"/>
    <w:next w:val="1"/>
    <w:link w:val="23"/>
    <w:qFormat/>
    <w:uiPriority w:val="0"/>
    <w:pPr>
      <w:keepNext/>
      <w:keepLines/>
      <w:adjustRightInd w:val="0"/>
      <w:spacing w:before="280" w:after="290" w:line="376" w:lineRule="atLeast"/>
      <w:textAlignment w:val="baseline"/>
      <w:outlineLvl w:val="4"/>
    </w:pPr>
    <w:rPr>
      <w:b/>
      <w:kern w:val="0"/>
      <w:sz w:val="28"/>
      <w:szCs w:val="20"/>
      <w:lang w:val="zh-CN" w:eastAsia="zh-CN"/>
    </w:rPr>
  </w:style>
  <w:style w:type="character" w:default="1" w:styleId="1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pPr>
      <w:spacing w:before="78" w:beforeLines="0"/>
      <w:ind w:left="439"/>
    </w:pPr>
    <w:rPr>
      <w:rFonts w:hint="eastAsia" w:ascii="微软雅黑" w:hAnsi="微软雅黑" w:eastAsia="微软雅黑"/>
      <w:sz w:val="32"/>
      <w:lang w:val="en-US" w:eastAsia="zh-CN" w:bidi="ar-SA"/>
    </w:rPr>
  </w:style>
  <w:style w:type="paragraph" w:styleId="6">
    <w:name w:val="Normal Indent"/>
    <w:basedOn w:val="1"/>
    <w:unhideWhenUsed/>
    <w:uiPriority w:val="99"/>
    <w:pPr>
      <w:ind w:firstLine="420" w:firstLineChars="200"/>
    </w:pPr>
  </w:style>
  <w:style w:type="paragraph" w:styleId="7">
    <w:name w:val="Body Text Indent"/>
    <w:basedOn w:val="1"/>
    <w:link w:val="29"/>
    <w:qFormat/>
    <w:uiPriority w:val="0"/>
    <w:pPr>
      <w:spacing w:line="300" w:lineRule="auto"/>
      <w:ind w:left="241" w:leftChars="115" w:firstLine="480" w:firstLineChars="200"/>
    </w:pPr>
    <w:rPr>
      <w:rFonts w:ascii="宋体" w:hAnsi="宋体" w:eastAsiaTheme="minorEastAsia" w:cstheme="minorBidi"/>
      <w:sz w:val="24"/>
    </w:rPr>
  </w:style>
  <w:style w:type="paragraph" w:styleId="8">
    <w:name w:val="Balloon Text"/>
    <w:basedOn w:val="1"/>
    <w:link w:val="24"/>
    <w:unhideWhenUsed/>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sz w:val="24"/>
    </w:rPr>
  </w:style>
  <w:style w:type="paragraph" w:styleId="12">
    <w:name w:val="Title"/>
    <w:basedOn w:val="1"/>
    <w:link w:val="26"/>
    <w:qFormat/>
    <w:uiPriority w:val="0"/>
    <w:pPr>
      <w:adjustRightInd w:val="0"/>
      <w:spacing w:before="240" w:after="60" w:line="420" w:lineRule="atLeast"/>
      <w:jc w:val="center"/>
      <w:textAlignment w:val="baseline"/>
      <w:outlineLvl w:val="0"/>
    </w:pPr>
    <w:rPr>
      <w:rFonts w:ascii="Arial" w:hAnsi="Arial"/>
      <w:b/>
      <w:kern w:val="0"/>
      <w:sz w:val="32"/>
      <w:szCs w:val="20"/>
      <w:lang w:val="zh-CN" w:eastAsia="zh-CN"/>
    </w:rPr>
  </w:style>
  <w:style w:type="character" w:styleId="14">
    <w:name w:val="page number"/>
    <w:basedOn w:val="13"/>
    <w:uiPriority w:val="0"/>
  </w:style>
  <w:style w:type="character" w:customStyle="1" w:styleId="16">
    <w:name w:val="页眉 字符"/>
    <w:basedOn w:val="13"/>
    <w:link w:val="10"/>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标题 1 字符"/>
    <w:basedOn w:val="13"/>
    <w:uiPriority w:val="9"/>
    <w:rPr>
      <w:rFonts w:ascii="Times New Roman" w:hAnsi="Times New Roman" w:eastAsia="宋体" w:cs="Times New Roman"/>
      <w:b/>
      <w:bCs/>
      <w:kern w:val="44"/>
      <w:sz w:val="44"/>
      <w:szCs w:val="44"/>
    </w:rPr>
  </w:style>
  <w:style w:type="character" w:customStyle="1" w:styleId="19">
    <w:name w:val="标题 4 字符"/>
    <w:basedOn w:val="13"/>
    <w:semiHidden/>
    <w:uiPriority w:val="9"/>
    <w:rPr>
      <w:rFonts w:asciiTheme="majorHAnsi" w:hAnsiTheme="majorHAnsi" w:eastAsiaTheme="majorEastAsia" w:cstheme="majorBidi"/>
      <w:b/>
      <w:bCs/>
      <w:sz w:val="28"/>
      <w:szCs w:val="28"/>
    </w:rPr>
  </w:style>
  <w:style w:type="character" w:customStyle="1" w:styleId="20">
    <w:name w:val="标题 5 字符"/>
    <w:basedOn w:val="13"/>
    <w:semiHidden/>
    <w:qFormat/>
    <w:uiPriority w:val="9"/>
    <w:rPr>
      <w:rFonts w:ascii="Times New Roman" w:hAnsi="Times New Roman" w:eastAsia="宋体" w:cs="Times New Roman"/>
      <w:b/>
      <w:bCs/>
      <w:sz w:val="28"/>
      <w:szCs w:val="28"/>
    </w:rPr>
  </w:style>
  <w:style w:type="character" w:customStyle="1" w:styleId="21">
    <w:name w:val="标题 1 字符1"/>
    <w:link w:val="3"/>
    <w:uiPriority w:val="0"/>
    <w:rPr>
      <w:rFonts w:ascii="Arial" w:hAnsi="Arial" w:eastAsia="华文中宋" w:cs="Times New Roman"/>
      <w:b/>
      <w:bCs/>
      <w:spacing w:val="30"/>
      <w:kern w:val="44"/>
      <w:sz w:val="44"/>
      <w:szCs w:val="44"/>
      <w:lang w:val="zh-CN" w:eastAsia="zh-CN"/>
    </w:rPr>
  </w:style>
  <w:style w:type="character" w:customStyle="1" w:styleId="22">
    <w:name w:val="标题 4 字符1"/>
    <w:link w:val="4"/>
    <w:qFormat/>
    <w:uiPriority w:val="0"/>
    <w:rPr>
      <w:rFonts w:ascii="宋体" w:hAnsi="宋体" w:eastAsia="宋体" w:cs="Times New Roman"/>
      <w:b/>
      <w:kern w:val="0"/>
      <w:sz w:val="32"/>
      <w:szCs w:val="32"/>
      <w:lang w:val="zh-CN" w:eastAsia="zh-CN"/>
    </w:rPr>
  </w:style>
  <w:style w:type="character" w:customStyle="1" w:styleId="23">
    <w:name w:val="标题 5 字符1"/>
    <w:link w:val="5"/>
    <w:qFormat/>
    <w:uiPriority w:val="0"/>
    <w:rPr>
      <w:rFonts w:ascii="Times New Roman" w:hAnsi="Times New Roman" w:eastAsia="宋体" w:cs="Times New Roman"/>
      <w:b/>
      <w:kern w:val="0"/>
      <w:sz w:val="28"/>
      <w:szCs w:val="20"/>
      <w:lang w:val="zh-CN" w:eastAsia="zh-CN"/>
    </w:rPr>
  </w:style>
  <w:style w:type="character" w:customStyle="1" w:styleId="24">
    <w:name w:val="批注框文本 字符"/>
    <w:basedOn w:val="13"/>
    <w:link w:val="8"/>
    <w:semiHidden/>
    <w:qFormat/>
    <w:uiPriority w:val="99"/>
    <w:rPr>
      <w:rFonts w:ascii="Times New Roman" w:hAnsi="Times New Roman" w:eastAsia="宋体" w:cs="Times New Roman"/>
      <w:sz w:val="18"/>
      <w:szCs w:val="18"/>
    </w:rPr>
  </w:style>
  <w:style w:type="paragraph" w:customStyle="1" w:styleId="25">
    <w:name w:val="List Paragraph"/>
    <w:basedOn w:val="1"/>
    <w:qFormat/>
    <w:uiPriority w:val="34"/>
    <w:pPr>
      <w:ind w:firstLine="420" w:firstLineChars="200"/>
    </w:pPr>
  </w:style>
  <w:style w:type="character" w:customStyle="1" w:styleId="26">
    <w:name w:val="标题 字符"/>
    <w:basedOn w:val="13"/>
    <w:link w:val="12"/>
    <w:qFormat/>
    <w:uiPriority w:val="0"/>
    <w:rPr>
      <w:rFonts w:ascii="Arial" w:hAnsi="Arial" w:eastAsia="宋体" w:cs="Times New Roman"/>
      <w:b/>
      <w:kern w:val="0"/>
      <w:sz w:val="32"/>
      <w:szCs w:val="20"/>
      <w:lang w:val="zh-CN" w:eastAsia="zh-CN"/>
    </w:rPr>
  </w:style>
  <w:style w:type="paragraph" w:customStyle="1" w:styleId="27">
    <w:name w:val="Table Paragraph"/>
    <w:basedOn w:val="1"/>
    <w:qFormat/>
    <w:uiPriority w:val="1"/>
    <w:pPr>
      <w:jc w:val="left"/>
    </w:pPr>
    <w:rPr>
      <w:rFonts w:ascii="Calibri" w:hAnsi="Calibri"/>
      <w:kern w:val="0"/>
      <w:sz w:val="22"/>
      <w:szCs w:val="22"/>
      <w:lang w:eastAsia="en-US"/>
    </w:rPr>
  </w:style>
  <w:style w:type="paragraph" w:customStyle="1" w:styleId="28">
    <w:name w:val="表1"/>
    <w:basedOn w:val="1"/>
    <w:uiPriority w:val="0"/>
    <w:pPr>
      <w:tabs>
        <w:tab w:val="left" w:pos="1440"/>
      </w:tabs>
      <w:overflowPunct w:val="0"/>
      <w:autoSpaceDE w:val="0"/>
      <w:autoSpaceDN w:val="0"/>
      <w:adjustRightInd w:val="0"/>
      <w:spacing w:before="200" w:line="320" w:lineRule="atLeast"/>
      <w:ind w:left="1440" w:hanging="360"/>
      <w:textAlignment w:val="baseline"/>
    </w:pPr>
    <w:rPr>
      <w:kern w:val="0"/>
      <w:sz w:val="24"/>
      <w:szCs w:val="20"/>
    </w:rPr>
  </w:style>
  <w:style w:type="character" w:customStyle="1" w:styleId="29">
    <w:name w:val="正文文本缩进 字符"/>
    <w:link w:val="7"/>
    <w:uiPriority w:val="0"/>
    <w:rPr>
      <w:rFonts w:ascii="宋体" w:hAnsi="宋体"/>
      <w:sz w:val="24"/>
      <w:szCs w:val="24"/>
    </w:rPr>
  </w:style>
  <w:style w:type="character" w:customStyle="1" w:styleId="30">
    <w:name w:val="正文文本缩进 字符1"/>
    <w:basedOn w:val="13"/>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1677</Words>
  <Characters>9561</Characters>
  <Lines>79</Lines>
  <Paragraphs>22</Paragraphs>
  <TotalTime>0</TotalTime>
  <ScaleCrop>false</ScaleCrop>
  <LinksUpToDate>false</LinksUpToDate>
  <CharactersWithSpaces>11216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2019-11-18T01:11:00Z</dcterms:created>
  <dc:creator>yxy</dc:creator>
  <cp:lastModifiedBy>机要</cp:lastModifiedBy>
  <dcterms:modified xsi:type="dcterms:W3CDTF">2021-07-30T03:35:54Z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