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DD0A3">
      <w:pPr>
        <w:spacing w:line="360" w:lineRule="auto"/>
        <w:jc w:val="center"/>
        <w:rPr>
          <w:rFonts w:hint="eastAsia" w:ascii="宋体" w:hAnsi="宋体" w:eastAsia="宋体" w:cs="宋体"/>
          <w:b w:val="0"/>
          <w:bCs/>
          <w:sz w:val="24"/>
        </w:rPr>
      </w:pPr>
      <w:r>
        <w:rPr>
          <w:rFonts w:hint="eastAsia" w:ascii="宋体" w:hAnsi="宋体" w:eastAsia="宋体" w:cs="宋体"/>
          <w:b w:val="0"/>
          <w:bCs/>
          <w:kern w:val="0"/>
          <w:sz w:val="32"/>
          <w:szCs w:val="32"/>
          <w:lang w:val="en-US" w:eastAsia="zh-CN"/>
        </w:rPr>
        <w:t>青银国家高速公路旧关至太原（晋冀界至寿阳蔡庄）段改扩建工程拆迁补偿费用评估及报告复核服务招标</w:t>
      </w:r>
      <w:r>
        <w:rPr>
          <w:rFonts w:hint="eastAsia" w:ascii="宋体" w:hAnsi="宋体" w:eastAsia="宋体" w:cs="宋体"/>
          <w:b w:val="0"/>
          <w:bCs/>
          <w:kern w:val="0"/>
          <w:sz w:val="32"/>
          <w:szCs w:val="32"/>
        </w:rPr>
        <w:t>关键内容公开</w:t>
      </w:r>
    </w:p>
    <w:p w14:paraId="647C5362">
      <w:pPr>
        <w:keepNext w:val="0"/>
        <w:keepLines w:val="0"/>
        <w:pageBreakBefore w:val="0"/>
        <w:widowControl w:val="0"/>
        <w:tabs>
          <w:tab w:val="left" w:pos="6397"/>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一</w:t>
      </w:r>
      <w:r>
        <w:rPr>
          <w:rFonts w:hint="eastAsia" w:ascii="宋体" w:hAnsi="宋体" w:eastAsia="宋体" w:cs="宋体"/>
          <w:b w:val="0"/>
          <w:bCs/>
          <w:color w:val="auto"/>
          <w:sz w:val="24"/>
          <w:highlight w:val="none"/>
        </w:rPr>
        <w:t>、项目概况与招标范围</w:t>
      </w:r>
    </w:p>
    <w:p w14:paraId="4C49A0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1.1 项目概况</w:t>
      </w:r>
    </w:p>
    <w:p w14:paraId="44E336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项目起自山西省阳泉市平定县旧关村以东晋冀两省交界处，接正在改扩建的青银高速河北石太枢纽至冀晋界段，经阳泉市平定县柏井镇、冶西镇，阳泉市郊区旧街乡，晋中市寿阳县尹灵芝镇、南燕竹镇，止于晋中市寿阳县蔡庄枢纽，与青银高速蔡庄至龙白段及在建青银二广高速公路太原联络线相接，路线全长101.062公里，覆盖阳泉、晋中两市三县（区），（阳泉市郊区、阳泉市平定县、晋中市寿阳县）</w:t>
      </w:r>
      <w:r>
        <w:rPr>
          <w:rFonts w:hint="eastAsia" w:ascii="宋体" w:hAnsi="宋体" w:cs="宋体"/>
          <w:b w:val="0"/>
          <w:bCs/>
          <w:color w:val="000000" w:themeColor="text1"/>
          <w:sz w:val="24"/>
          <w:highlight w:val="none"/>
          <w:lang w:val="en-US" w:eastAsia="zh-CN"/>
          <w14:textFill>
            <w14:solidFill>
              <w14:schemeClr w14:val="tx1"/>
            </w14:solidFill>
          </w14:textFill>
        </w:rPr>
        <w:t>贯穿</w:t>
      </w:r>
      <w:r>
        <w:rPr>
          <w:rFonts w:hint="eastAsia" w:ascii="宋体" w:hAnsi="宋体" w:eastAsia="宋体" w:cs="宋体"/>
          <w:b w:val="0"/>
          <w:bCs/>
          <w:color w:val="000000" w:themeColor="text1"/>
          <w:sz w:val="24"/>
          <w:highlight w:val="none"/>
          <w:lang w:val="en-US" w:eastAsia="zh-CN"/>
          <w14:textFill>
            <w14:solidFill>
              <w14:schemeClr w14:val="tx1"/>
            </w14:solidFill>
          </w14:textFill>
        </w:rPr>
        <w:t>10个乡镇（阳泉市郊区涉及两个乡镇：旧街乡、平坦镇；阳泉市平定县涉及五个乡镇：娘子关镇、冠山镇、柏井镇、冶西镇、石门口乡；晋中市寿阳县涉及三个乡镇：尹灵芝镇、朝阳镇、南燕竹镇）、60个自然村落（阳泉市郊区涉及8个村，阳泉市平定县涉及32个村，晋中市寿阳县涉及20个村）。</w:t>
      </w:r>
    </w:p>
    <w:p w14:paraId="5617CF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1.2 招标范围及标段划分</w:t>
      </w:r>
    </w:p>
    <w:p w14:paraId="015F19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本招标项目划分为1个标段</w:t>
      </w:r>
      <w:bookmarkStart w:id="0" w:name="_Hlk25782511"/>
      <w:r>
        <w:rPr>
          <w:rFonts w:hint="eastAsia" w:ascii="宋体" w:hAnsi="宋体" w:eastAsia="宋体" w:cs="宋体"/>
          <w:b w:val="0"/>
          <w:bCs/>
          <w:color w:val="000000"/>
          <w:sz w:val="24"/>
          <w:highlight w:val="none"/>
          <w:lang w:val="en-US" w:eastAsia="zh-CN"/>
        </w:rPr>
        <w:t>，本次招标为其中的：</w:t>
      </w:r>
    </w:p>
    <w:bookmarkEnd w:id="0"/>
    <w:p w14:paraId="54BB7A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001标段：主要工作内容如下：对太旧高速公路改扩建项目政府方委托评估机构出具的评估结果开展复核工作，并编制出具复核报告；对政府方委托评估机构出具评估报告所涉户数（约1500户）中三分之二以上开展现场勘查并独立出具评估报告，同时与政府方委托评估机构的评估结果逐项比对，形成对照说明文件；为太旧高速公路改扩建项目自施工至项目竣工全过程中，因新增、变更、补充及突发事项所涉及的征收补偿、资产认定（包含但不限于机器设备、生产线、特种设备）等各类评估需求，提供全流程、常态化技术支撑与专业服务。</w:t>
      </w:r>
    </w:p>
    <w:p w14:paraId="6F1605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1.3 服务期限：自合同签订之日起至项目竣工验收完成后止</w:t>
      </w:r>
      <w:r>
        <w:rPr>
          <w:rFonts w:hint="eastAsia" w:ascii="宋体" w:hAnsi="宋体" w:eastAsia="宋体" w:cs="宋体"/>
          <w:b w:val="0"/>
          <w:bCs/>
          <w:color w:val="000000" w:themeColor="text1"/>
          <w:sz w:val="24"/>
          <w:highlight w:val="none"/>
          <w:lang w:val="en-US" w:eastAsia="zh-CN"/>
          <w14:textFill>
            <w14:solidFill>
              <w14:schemeClr w14:val="tx1"/>
            </w14:solidFill>
          </w14:textFill>
        </w:rPr>
        <w:t>。</w:t>
      </w:r>
    </w:p>
    <w:p w14:paraId="59DD8343">
      <w:pPr>
        <w:keepNext w:val="0"/>
        <w:keepLines w:val="0"/>
        <w:pageBreakBefore w:val="0"/>
        <w:widowControl w:val="0"/>
        <w:tabs>
          <w:tab w:val="left" w:pos="6397"/>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对</w:t>
      </w:r>
      <w:r>
        <w:rPr>
          <w:rFonts w:hint="eastAsia" w:ascii="宋体" w:hAnsi="宋体" w:eastAsia="宋体" w:cs="宋体"/>
          <w:b w:val="0"/>
          <w:bCs/>
          <w:color w:val="auto"/>
          <w:sz w:val="24"/>
          <w:highlight w:val="none"/>
        </w:rPr>
        <w:t>投标人</w:t>
      </w:r>
      <w:r>
        <w:rPr>
          <w:rFonts w:hint="eastAsia" w:ascii="宋体" w:hAnsi="宋体" w:eastAsia="宋体" w:cs="宋体"/>
          <w:b w:val="0"/>
          <w:bCs/>
          <w:color w:val="auto"/>
          <w:sz w:val="24"/>
          <w:highlight w:val="none"/>
          <w:lang w:val="en-US" w:eastAsia="zh-CN"/>
        </w:rPr>
        <w:t>的</w:t>
      </w:r>
      <w:r>
        <w:rPr>
          <w:rFonts w:hint="eastAsia" w:ascii="宋体" w:hAnsi="宋体" w:eastAsia="宋体" w:cs="宋体"/>
          <w:b w:val="0"/>
          <w:bCs/>
          <w:color w:val="auto"/>
          <w:sz w:val="24"/>
          <w:highlight w:val="none"/>
        </w:rPr>
        <w:t>资格</w:t>
      </w:r>
      <w:r>
        <w:rPr>
          <w:rFonts w:hint="eastAsia" w:ascii="宋体" w:hAnsi="宋体" w:eastAsia="宋体" w:cs="宋体"/>
          <w:b w:val="0"/>
          <w:bCs/>
          <w:color w:val="auto"/>
          <w:sz w:val="24"/>
          <w:highlight w:val="none"/>
          <w:lang w:val="en-US" w:eastAsia="zh-CN"/>
        </w:rPr>
        <w:t>条件</w:t>
      </w:r>
      <w:r>
        <w:rPr>
          <w:rFonts w:hint="eastAsia" w:ascii="宋体" w:hAnsi="宋体" w:eastAsia="宋体" w:cs="宋体"/>
          <w:b w:val="0"/>
          <w:bCs/>
          <w:color w:val="auto"/>
          <w:sz w:val="24"/>
          <w:highlight w:val="none"/>
        </w:rPr>
        <w:t>要求</w:t>
      </w:r>
    </w:p>
    <w:p w14:paraId="7ED2B50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001标段</w:t>
      </w:r>
      <w:r>
        <w:rPr>
          <w:rFonts w:hint="eastAsia" w:ascii="宋体" w:hAnsi="宋体" w:eastAsia="宋体" w:cs="宋体"/>
          <w:b w:val="0"/>
          <w:bCs/>
          <w:color w:val="000000" w:themeColor="text1"/>
          <w:sz w:val="24"/>
          <w:highlight w:val="none"/>
          <w:lang w:val="en-US" w:eastAsia="zh-CN"/>
          <w14:textFill>
            <w14:solidFill>
              <w14:schemeClr w14:val="tx1"/>
            </w14:solidFill>
          </w14:textFill>
        </w:rPr>
        <w:t>：</w:t>
      </w:r>
    </w:p>
    <w:p w14:paraId="4D9134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2.1本次招标要求投标人具有有效的营业执照，同时满足下列资质及业绩要求，并在人员、信誉等方面具有相应的服务能力。</w:t>
      </w:r>
    </w:p>
    <w:p w14:paraId="1ED7D0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2.1.1资质要求：</w:t>
      </w:r>
    </w:p>
    <w:p w14:paraId="428BF7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投标人须同时具备行业主管部门颁发的资产评估机构备案证明和房地产估价机构</w:t>
      </w:r>
      <w:r>
        <w:rPr>
          <w:rFonts w:hint="eastAsia" w:ascii="宋体" w:hAnsi="宋体" w:cs="宋体"/>
          <w:b w:val="0"/>
          <w:bCs/>
          <w:color w:val="000000" w:themeColor="text1"/>
          <w:sz w:val="24"/>
          <w:highlight w:val="none"/>
          <w:lang w:val="en-US" w:eastAsia="zh-CN"/>
          <w14:textFill>
            <w14:solidFill>
              <w14:schemeClr w14:val="tx1"/>
            </w14:solidFill>
          </w14:textFill>
        </w:rPr>
        <w:t>三</w:t>
      </w:r>
      <w:r>
        <w:rPr>
          <w:rFonts w:hint="eastAsia" w:ascii="宋体" w:hAnsi="宋体" w:eastAsia="宋体" w:cs="宋体"/>
          <w:b w:val="0"/>
          <w:bCs/>
          <w:color w:val="000000" w:themeColor="text1"/>
          <w:sz w:val="24"/>
          <w:highlight w:val="none"/>
          <w:lang w:val="en-US" w:eastAsia="zh-CN"/>
          <w14:textFill>
            <w14:solidFill>
              <w14:schemeClr w14:val="tx1"/>
            </w14:solidFill>
          </w14:textFill>
        </w:rPr>
        <w:t>级及以上资质。</w:t>
      </w:r>
    </w:p>
    <w:p w14:paraId="7CA29D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2.1.2业绩要求：</w:t>
      </w:r>
    </w:p>
    <w:p w14:paraId="013550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投标人近五年内（2021年</w:t>
      </w:r>
      <w:r>
        <w:rPr>
          <w:rFonts w:hint="eastAsia" w:ascii="宋体" w:hAnsi="宋体" w:cs="宋体"/>
          <w:b w:val="0"/>
          <w:bCs/>
          <w:color w:val="000000" w:themeColor="text1"/>
          <w:sz w:val="24"/>
          <w:highlight w:val="none"/>
          <w:lang w:val="en-US" w:eastAsia="zh-CN"/>
          <w14:textFill>
            <w14:solidFill>
              <w14:schemeClr w14:val="tx1"/>
            </w14:solidFill>
          </w14:textFill>
        </w:rPr>
        <w:t>5月</w:t>
      </w:r>
      <w:r>
        <w:rPr>
          <w:rFonts w:hint="eastAsia" w:ascii="宋体" w:hAnsi="宋体" w:eastAsia="宋体" w:cs="宋体"/>
          <w:b w:val="0"/>
          <w:bCs/>
          <w:color w:val="000000" w:themeColor="text1"/>
          <w:sz w:val="24"/>
          <w:highlight w:val="none"/>
          <w:lang w:val="en-US" w:eastAsia="zh-CN"/>
          <w14:textFill>
            <w14:solidFill>
              <w14:schemeClr w14:val="tx1"/>
            </w14:solidFill>
          </w14:textFill>
        </w:rPr>
        <w:t>1日至投标文件递交截止日，以成果文件出具时间为准）至少完成过1项征地拆迁评估服务项目。</w:t>
      </w:r>
    </w:p>
    <w:p w14:paraId="1BED90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2.1.3人员要求：</w:t>
      </w:r>
    </w:p>
    <w:p w14:paraId="6E6B53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项目负责人：1名，持有注册房地产估价师证书且注册单位必须与投标人名称一致，具有资产评估师资格证书；作为项目负责人或资产评估负责人或房地产估价负责人近五年内（2021年</w:t>
      </w:r>
      <w:r>
        <w:rPr>
          <w:rFonts w:hint="eastAsia" w:ascii="宋体" w:hAnsi="宋体" w:cs="宋体"/>
          <w:b w:val="0"/>
          <w:bCs/>
          <w:color w:val="000000" w:themeColor="text1"/>
          <w:sz w:val="24"/>
          <w:highlight w:val="none"/>
          <w:lang w:val="en-US" w:eastAsia="zh-CN"/>
          <w14:textFill>
            <w14:solidFill>
              <w14:schemeClr w14:val="tx1"/>
            </w14:solidFill>
          </w14:textFill>
        </w:rPr>
        <w:t>5月</w:t>
      </w:r>
      <w:r>
        <w:rPr>
          <w:rFonts w:hint="eastAsia" w:ascii="宋体" w:hAnsi="宋体" w:eastAsia="宋体" w:cs="宋体"/>
          <w:b w:val="0"/>
          <w:bCs/>
          <w:color w:val="000000" w:themeColor="text1"/>
          <w:sz w:val="24"/>
          <w:highlight w:val="none"/>
          <w:lang w:val="en-US" w:eastAsia="zh-CN"/>
          <w14:textFill>
            <w14:solidFill>
              <w14:schemeClr w14:val="tx1"/>
            </w14:solidFill>
          </w14:textFill>
        </w:rPr>
        <w:t>1日至投标文件递交截止日，以成果文件出具时间为准）至少完成过1项征地拆迁评估服务项目。</w:t>
      </w:r>
    </w:p>
    <w:p w14:paraId="2FF4FE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房地产专项评估负责人：1名，持有注册房地产估价师证书且注册单位必须与投标人名称一致；作为房地产</w:t>
      </w:r>
      <w:r>
        <w:rPr>
          <w:rFonts w:hint="eastAsia" w:ascii="宋体" w:hAnsi="宋体" w:cs="宋体"/>
          <w:b w:val="0"/>
          <w:bCs/>
          <w:color w:val="000000" w:themeColor="text1"/>
          <w:sz w:val="24"/>
          <w:highlight w:val="none"/>
          <w:lang w:val="en-US" w:eastAsia="zh-CN"/>
          <w14:textFill>
            <w14:solidFill>
              <w14:schemeClr w14:val="tx1"/>
            </w14:solidFill>
          </w14:textFill>
        </w:rPr>
        <w:t>专项</w:t>
      </w:r>
      <w:r>
        <w:rPr>
          <w:rFonts w:hint="eastAsia" w:ascii="宋体" w:hAnsi="宋体" w:eastAsia="宋体" w:cs="宋体"/>
          <w:b w:val="0"/>
          <w:bCs/>
          <w:color w:val="000000" w:themeColor="text1"/>
          <w:sz w:val="24"/>
          <w:highlight w:val="none"/>
          <w:lang w:val="en-US" w:eastAsia="zh-CN"/>
          <w14:textFill>
            <w14:solidFill>
              <w14:schemeClr w14:val="tx1"/>
            </w14:solidFill>
          </w14:textFill>
        </w:rPr>
        <w:t>评估负责人或项目负责人近五年内（2021年</w:t>
      </w:r>
      <w:r>
        <w:rPr>
          <w:rFonts w:hint="eastAsia" w:ascii="宋体" w:hAnsi="宋体" w:cs="宋体"/>
          <w:b w:val="0"/>
          <w:bCs/>
          <w:color w:val="000000" w:themeColor="text1"/>
          <w:sz w:val="24"/>
          <w:highlight w:val="none"/>
          <w:lang w:val="en-US" w:eastAsia="zh-CN"/>
          <w14:textFill>
            <w14:solidFill>
              <w14:schemeClr w14:val="tx1"/>
            </w14:solidFill>
          </w14:textFill>
        </w:rPr>
        <w:t>5月</w:t>
      </w:r>
      <w:r>
        <w:rPr>
          <w:rFonts w:hint="eastAsia" w:ascii="宋体" w:hAnsi="宋体" w:eastAsia="宋体" w:cs="宋体"/>
          <w:b w:val="0"/>
          <w:bCs/>
          <w:color w:val="000000" w:themeColor="text1"/>
          <w:sz w:val="24"/>
          <w:highlight w:val="none"/>
          <w:lang w:val="en-US" w:eastAsia="zh-CN"/>
          <w14:textFill>
            <w14:solidFill>
              <w14:schemeClr w14:val="tx1"/>
            </w14:solidFill>
          </w14:textFill>
        </w:rPr>
        <w:t>1日至投标文件递交截止日，以成果文件出具时间为准）至少完成过1项征地拆迁评估服务项目。</w:t>
      </w:r>
    </w:p>
    <w:p w14:paraId="6EFDA922">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 xml:space="preserve">2.1.4 </w:t>
      </w:r>
      <w:r>
        <w:rPr>
          <w:rFonts w:hint="eastAsia" w:ascii="宋体" w:hAnsi="宋体" w:eastAsia="宋体" w:cs="宋体"/>
          <w:b w:val="0"/>
          <w:bCs/>
          <w:color w:val="000000" w:themeColor="text1"/>
          <w:sz w:val="24"/>
          <w:highlight w:val="none"/>
          <w14:textFill>
            <w14:solidFill>
              <w14:schemeClr w14:val="tx1"/>
            </w14:solidFill>
          </w14:textFill>
        </w:rPr>
        <w:t>信誉要求</w:t>
      </w:r>
      <w:r>
        <w:rPr>
          <w:rFonts w:hint="eastAsia" w:ascii="宋体" w:hAnsi="宋体" w:eastAsia="宋体" w:cs="宋体"/>
          <w:b w:val="0"/>
          <w:bCs/>
          <w:color w:val="000000" w:themeColor="text1"/>
          <w:sz w:val="24"/>
          <w:highlight w:val="none"/>
          <w:lang w:eastAsia="zh-CN"/>
          <w14:textFill>
            <w14:solidFill>
              <w14:schemeClr w14:val="tx1"/>
            </w14:solidFill>
          </w14:textFill>
        </w:rPr>
        <w:t>：</w:t>
      </w:r>
    </w:p>
    <w:p w14:paraId="5E6AE6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bookmarkStart w:id="1" w:name="OLE_LINK11"/>
      <w:r>
        <w:rPr>
          <w:rFonts w:hint="eastAsia" w:ascii="宋体" w:hAnsi="宋体" w:eastAsia="宋体" w:cs="宋体"/>
          <w:b w:val="0"/>
          <w:bCs/>
          <w:color w:val="000000" w:themeColor="text1"/>
          <w:sz w:val="24"/>
          <w:highlight w:val="none"/>
          <w:lang w:val="en-US" w:eastAsia="zh-CN"/>
          <w14:textFill>
            <w14:solidFill>
              <w14:schemeClr w14:val="tx1"/>
            </w14:solidFill>
          </w14:textFill>
        </w:rPr>
        <w:t>（1）投标人未被省级及以上交通运输主管部门取消招标项目所在地的投标资格且未处于有效期内；</w:t>
      </w:r>
    </w:p>
    <w:p w14:paraId="1614CC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（2）投标人未被责令停业，暂扣或吊销执照，或吊销资质证书；</w:t>
      </w:r>
    </w:p>
    <w:p w14:paraId="097AA0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（3）投标人未进入清算程序，或被宣告破产，或其他丧失履约能力的情形；</w:t>
      </w:r>
    </w:p>
    <w:p w14:paraId="296A14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（4）投标人在国家企业信用信息公示系统（http://www.gsxt.gov.cn/）中未被列入严重违法失信名单（黑名单）信息；</w:t>
      </w:r>
    </w:p>
    <w:p w14:paraId="3FB755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（5）投标人在“信用中国”（http://www.creditchina.gov.cn/）网站平台中未被列入严重失信主体名单；</w:t>
      </w:r>
    </w:p>
    <w:p w14:paraId="04B64D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（6）投标人及其法定代表人（或合伙人）、拟担任本项目的项目负责人、房地产专项评估负责人近三年（2023年</w:t>
      </w:r>
      <w:r>
        <w:rPr>
          <w:rFonts w:hint="eastAsia" w:ascii="宋体" w:hAnsi="宋体" w:cs="宋体"/>
          <w:b w:val="0"/>
          <w:bCs/>
          <w:color w:val="000000" w:themeColor="text1"/>
          <w:sz w:val="24"/>
          <w:highlight w:val="none"/>
          <w:lang w:val="en-US" w:eastAsia="zh-CN"/>
          <w14:textFill>
            <w14:solidFill>
              <w14:schemeClr w14:val="tx1"/>
            </w14:solidFill>
          </w14:textFill>
        </w:rPr>
        <w:t>5月</w:t>
      </w:r>
      <w:r>
        <w:rPr>
          <w:rFonts w:hint="eastAsia" w:ascii="宋体" w:hAnsi="宋体" w:eastAsia="宋体" w:cs="宋体"/>
          <w:b w:val="0"/>
          <w:bCs/>
          <w:color w:val="000000" w:themeColor="text1"/>
          <w:sz w:val="24"/>
          <w:highlight w:val="none"/>
          <w:lang w:val="en-US" w:eastAsia="zh-CN"/>
          <w14:textFill>
            <w14:solidFill>
              <w14:schemeClr w14:val="tx1"/>
            </w14:solidFill>
          </w14:textFill>
        </w:rPr>
        <w:t>1日至今）无行贿犯罪行为。</w:t>
      </w:r>
      <w:bookmarkEnd w:id="1"/>
    </w:p>
    <w:p w14:paraId="6E17DF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（7）投标人不存在法律法规规定的其他情形。</w:t>
      </w:r>
    </w:p>
    <w:p w14:paraId="4800073F">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14:textFill>
            <w14:solidFill>
              <w14:schemeClr w14:val="tx1"/>
            </w14:solidFill>
          </w14:textFill>
        </w:rPr>
        <w:t>与招标人存在利害关系可能影响招标公正性的单位，不得参加</w:t>
      </w:r>
      <w:r>
        <w:rPr>
          <w:rFonts w:hint="eastAsia" w:ascii="宋体" w:hAnsi="宋体" w:eastAsia="宋体" w:cs="宋体"/>
          <w:b w:val="0"/>
          <w:bCs/>
          <w:color w:val="000000" w:themeColor="text1"/>
          <w:sz w:val="24"/>
          <w:highlight w:val="none"/>
          <w:lang w:val="en-US" w:eastAsia="zh-CN"/>
          <w14:textFill>
            <w14:solidFill>
              <w14:schemeClr w14:val="tx1"/>
            </w14:solidFill>
          </w14:textFill>
        </w:rPr>
        <w:t>本次</w:t>
      </w:r>
      <w:r>
        <w:rPr>
          <w:rFonts w:hint="eastAsia" w:ascii="宋体" w:hAnsi="宋体" w:eastAsia="宋体" w:cs="宋体"/>
          <w:b w:val="0"/>
          <w:bCs/>
          <w:color w:val="000000" w:themeColor="text1"/>
          <w:sz w:val="24"/>
          <w:highlight w:val="none"/>
          <w14:textFill>
            <w14:solidFill>
              <w14:schemeClr w14:val="tx1"/>
            </w14:solidFill>
          </w14:textFill>
        </w:rPr>
        <w:t>投标。投标人具有下列情况之一的，不得同时参加本</w:t>
      </w:r>
      <w:r>
        <w:rPr>
          <w:rFonts w:hint="eastAsia" w:ascii="宋体" w:hAnsi="宋体" w:eastAsia="宋体" w:cs="宋体"/>
          <w:b w:val="0"/>
          <w:bCs/>
          <w:color w:val="000000" w:themeColor="text1"/>
          <w:sz w:val="24"/>
          <w:highlight w:val="none"/>
          <w:lang w:val="en-US" w:eastAsia="zh-CN"/>
          <w14:textFill>
            <w14:solidFill>
              <w14:schemeClr w14:val="tx1"/>
            </w14:solidFill>
          </w14:textFill>
        </w:rPr>
        <w:t>招标</w:t>
      </w:r>
      <w:r>
        <w:rPr>
          <w:rFonts w:hint="eastAsia" w:ascii="宋体" w:hAnsi="宋体" w:eastAsia="宋体" w:cs="宋体"/>
          <w:b w:val="0"/>
          <w:bCs/>
          <w:color w:val="000000" w:themeColor="text1"/>
          <w:sz w:val="24"/>
          <w:highlight w:val="none"/>
          <w14:textFill>
            <w14:solidFill>
              <w14:schemeClr w14:val="tx1"/>
            </w14:solidFill>
          </w14:textFill>
        </w:rPr>
        <w:t>项目投标，否则</w:t>
      </w:r>
      <w:r>
        <w:rPr>
          <w:rFonts w:hint="eastAsia" w:ascii="宋体" w:hAnsi="宋体" w:eastAsia="宋体" w:cs="宋体"/>
          <w:b w:val="0"/>
          <w:bCs/>
          <w:color w:val="000000" w:themeColor="text1"/>
          <w:sz w:val="24"/>
          <w:highlight w:val="none"/>
          <w:lang w:val="en-US" w:eastAsia="zh-CN"/>
          <w14:textFill>
            <w14:solidFill>
              <w14:schemeClr w14:val="tx1"/>
            </w14:solidFill>
          </w14:textFill>
        </w:rPr>
        <w:t>相关</w:t>
      </w:r>
      <w:r>
        <w:rPr>
          <w:rFonts w:hint="eastAsia" w:ascii="宋体" w:hAnsi="宋体" w:eastAsia="宋体" w:cs="宋体"/>
          <w:b w:val="0"/>
          <w:bCs/>
          <w:color w:val="000000" w:themeColor="text1"/>
          <w:sz w:val="24"/>
          <w:highlight w:val="none"/>
          <w14:textFill>
            <w14:solidFill>
              <w14:schemeClr w14:val="tx1"/>
            </w14:solidFill>
          </w14:textFill>
        </w:rPr>
        <w:t>投标均无效</w:t>
      </w:r>
      <w:r>
        <w:rPr>
          <w:rFonts w:hint="eastAsia" w:ascii="宋体" w:hAnsi="宋体" w:eastAsia="宋体" w:cs="宋体"/>
          <w:b w:val="0"/>
          <w:bCs/>
          <w:color w:val="000000" w:themeColor="text1"/>
          <w:sz w:val="24"/>
          <w:highlight w:val="none"/>
          <w:lang w:eastAsia="zh-CN"/>
          <w14:textFill>
            <w14:solidFill>
              <w14:schemeClr w14:val="tx1"/>
            </w14:solidFill>
          </w14:textFill>
        </w:rPr>
        <w:t>：</w:t>
      </w:r>
    </w:p>
    <w:p w14:paraId="66F05616">
      <w:pPr>
        <w:adjustRightInd w:val="0"/>
        <w:snapToGrid w:val="0"/>
        <w:spacing w:line="360" w:lineRule="auto"/>
        <w:ind w:firstLine="480" w:firstLineChars="20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单位负责人为同一人或者存在控股、管理关系的不同单位；</w:t>
      </w:r>
    </w:p>
    <w:p w14:paraId="0D86188E">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eastAsia="zh-CN"/>
          <w14:textFill>
            <w14:solidFill>
              <w14:schemeClr w14:val="tx1"/>
            </w14:solidFill>
          </w14:textFill>
        </w:rPr>
        <w:t>）对招投标造成影响的具有投资参股关系的关联企业；</w:t>
      </w:r>
    </w:p>
    <w:p w14:paraId="16C1AA7C">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董事、监事、总经理、副总经理和财务负责人相互兼职的关联企业</w:t>
      </w:r>
      <w:r>
        <w:rPr>
          <w:rFonts w:hint="eastAsia" w:ascii="宋体" w:hAnsi="宋体" w:eastAsia="宋体" w:cs="宋体"/>
          <w:b w:val="0"/>
          <w:bCs/>
          <w:color w:val="000000" w:themeColor="text1"/>
          <w:sz w:val="24"/>
          <w:highlight w:val="none"/>
          <w:lang w:eastAsia="zh-CN"/>
          <w14:textFill>
            <w14:solidFill>
              <w14:schemeClr w14:val="tx1"/>
            </w14:solidFill>
          </w14:textFill>
        </w:rPr>
        <w:t>；</w:t>
      </w:r>
    </w:p>
    <w:p w14:paraId="7886A25B">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（4）法律法规规章规定的具有关联关系的其他情形。</w:t>
      </w:r>
    </w:p>
    <w:p w14:paraId="11EEC955">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highlight w:val="none"/>
          <w:lang w:eastAsia="zh-CN"/>
          <w14:textFill>
            <w14:solidFill>
              <w14:schemeClr w14:val="tx1"/>
            </w14:solidFill>
          </w14:textFill>
        </w:rPr>
        <w:t>本次招标不接受联合体投标。</w:t>
      </w:r>
    </w:p>
    <w:p w14:paraId="5ABE54D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br w:type="page"/>
      </w:r>
    </w:p>
    <w:p w14:paraId="4B3EE081">
      <w:pPr>
        <w:keepNext w:val="0"/>
        <w:keepLines w:val="0"/>
        <w:pageBreakBefore w:val="0"/>
        <w:widowControl w:val="0"/>
        <w:tabs>
          <w:tab w:val="left" w:pos="6397"/>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三</w:t>
      </w:r>
      <w:r>
        <w:rPr>
          <w:rFonts w:hint="eastAsia" w:ascii="宋体" w:hAnsi="宋体" w:eastAsia="宋体" w:cs="宋体"/>
          <w:b w:val="0"/>
          <w:bCs/>
          <w:color w:val="auto"/>
          <w:sz w:val="24"/>
          <w:highlight w:val="none"/>
        </w:rPr>
        <w:t>、评标办法（</w:t>
      </w:r>
      <w:r>
        <w:rPr>
          <w:rFonts w:hint="eastAsia" w:ascii="宋体" w:hAnsi="宋体" w:eastAsia="宋体" w:cs="宋体"/>
          <w:b w:val="0"/>
          <w:bCs/>
          <w:color w:val="auto"/>
          <w:sz w:val="24"/>
          <w:highlight w:val="none"/>
          <w:lang w:val="en-US" w:eastAsia="zh-CN"/>
        </w:rPr>
        <w:t>双信封</w:t>
      </w:r>
      <w:r>
        <w:rPr>
          <w:rFonts w:hint="eastAsia" w:ascii="宋体" w:hAnsi="宋体" w:eastAsia="宋体" w:cs="宋体"/>
          <w:b w:val="0"/>
          <w:bCs/>
          <w:color w:val="auto"/>
          <w:sz w:val="24"/>
          <w:highlight w:val="none"/>
        </w:rPr>
        <w:t>综合评分法）</w:t>
      </w:r>
    </w:p>
    <w:p w14:paraId="477B86F6">
      <w:pPr>
        <w:keepNext w:val="0"/>
        <w:keepLines w:val="0"/>
        <w:pageBreakBefore w:val="0"/>
        <w:widowControl w:val="0"/>
        <w:kinsoku/>
        <w:wordWrap/>
        <w:overflowPunct/>
        <w:topLinePunct w:val="0"/>
        <w:autoSpaceDN/>
        <w:bidi w:val="0"/>
        <w:spacing w:line="440" w:lineRule="exact"/>
        <w:outlineLvl w:val="1"/>
        <w:rPr>
          <w:rFonts w:hint="eastAsia" w:ascii="宋体" w:hAnsi="宋体" w:eastAsia="宋体" w:cs="宋体"/>
          <w:b w:val="0"/>
          <w:bCs w:val="0"/>
          <w:color w:val="000000" w:themeColor="text1"/>
          <w:sz w:val="24"/>
          <w:szCs w:val="28"/>
          <w:highlight w:val="none"/>
          <w14:textFill>
            <w14:solidFill>
              <w14:schemeClr w14:val="tx1"/>
            </w14:solidFill>
          </w14:textFill>
        </w:rPr>
      </w:pPr>
      <w:bookmarkStart w:id="2" w:name="_Toc396461664"/>
      <w:bookmarkStart w:id="3" w:name="_Toc396460496"/>
      <w:bookmarkStart w:id="4" w:name="_Toc447145191"/>
      <w:bookmarkStart w:id="5" w:name="_Toc447602753"/>
      <w:r>
        <w:rPr>
          <w:rFonts w:hint="eastAsia" w:ascii="宋体" w:hAnsi="宋体" w:eastAsia="宋体" w:cs="宋体"/>
          <w:b w:val="0"/>
          <w:bCs w:val="0"/>
          <w:color w:val="000000" w:themeColor="text1"/>
          <w:sz w:val="24"/>
          <w:szCs w:val="28"/>
          <w:highlight w:val="none"/>
          <w14:textFill>
            <w14:solidFill>
              <w14:schemeClr w14:val="tx1"/>
            </w14:solidFill>
          </w14:textFill>
        </w:rPr>
        <w:t>评标办法前附表</w:t>
      </w:r>
      <w:bookmarkEnd w:id="2"/>
      <w:bookmarkEnd w:id="3"/>
      <w:r>
        <w:rPr>
          <w:rStyle w:val="16"/>
          <w:rFonts w:hint="eastAsia" w:ascii="宋体" w:hAnsi="宋体" w:eastAsia="宋体" w:cs="宋体"/>
          <w:b w:val="0"/>
          <w:bCs w:val="0"/>
          <w:color w:val="000000" w:themeColor="text1"/>
          <w:kern w:val="44"/>
          <w:sz w:val="30"/>
          <w:szCs w:val="30"/>
          <w:highlight w:val="none"/>
          <w14:textFill>
            <w14:solidFill>
              <w14:schemeClr w14:val="tx1"/>
            </w14:solidFill>
          </w14:textFill>
        </w:rPr>
        <w:footnoteReference w:id="0"/>
      </w:r>
      <w:bookmarkEnd w:id="4"/>
      <w:bookmarkEnd w:id="5"/>
    </w:p>
    <w:tbl>
      <w:tblPr>
        <w:tblStyle w:val="13"/>
        <w:tblW w:w="98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00"/>
        <w:gridCol w:w="1230"/>
        <w:gridCol w:w="7"/>
        <w:gridCol w:w="715"/>
        <w:gridCol w:w="1437"/>
        <w:gridCol w:w="800"/>
        <w:gridCol w:w="4709"/>
      </w:tblGrid>
      <w:tr w14:paraId="4A27C4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2178" w:type="dxa"/>
            <w:gridSpan w:val="4"/>
            <w:tcBorders>
              <w:tl2br w:val="nil"/>
              <w:tr2bl w:val="nil"/>
            </w:tcBorders>
            <w:vAlign w:val="center"/>
          </w:tcPr>
          <w:p w14:paraId="0CF4BF57">
            <w:pPr>
              <w:keepNext w:val="0"/>
              <w:keepLines w:val="0"/>
              <w:pageBreakBefore w:val="0"/>
              <w:widowControl w:val="0"/>
              <w:kinsoku/>
              <w:wordWrap/>
              <w:overflowPunct/>
              <w:topLinePunct w:val="0"/>
              <w:autoSpaceDN/>
              <w:bidi w:val="0"/>
              <w:snapToGrid w:val="0"/>
              <w:spacing w:line="36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条款号/名称</w:t>
            </w:r>
          </w:p>
        </w:tc>
        <w:tc>
          <w:tcPr>
            <w:tcW w:w="7661" w:type="dxa"/>
            <w:gridSpan w:val="4"/>
            <w:tcBorders>
              <w:tl2br w:val="nil"/>
              <w:tr2bl w:val="nil"/>
            </w:tcBorders>
            <w:vAlign w:val="center"/>
          </w:tcPr>
          <w:p w14:paraId="6DBD11A9">
            <w:pPr>
              <w:keepNext w:val="0"/>
              <w:keepLines w:val="0"/>
              <w:pageBreakBefore w:val="0"/>
              <w:widowControl w:val="0"/>
              <w:kinsoku/>
              <w:wordWrap/>
              <w:overflowPunct/>
              <w:topLinePunct w:val="0"/>
              <w:autoSpaceDN/>
              <w:bidi w:val="0"/>
              <w:snapToGrid w:val="0"/>
              <w:spacing w:line="36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评审因素与标准</w:t>
            </w:r>
          </w:p>
        </w:tc>
      </w:tr>
      <w:tr w14:paraId="46417B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941" w:type="dxa"/>
            <w:gridSpan w:val="2"/>
            <w:tcBorders>
              <w:tl2br w:val="nil"/>
              <w:tr2bl w:val="nil"/>
            </w:tcBorders>
            <w:vAlign w:val="center"/>
          </w:tcPr>
          <w:p w14:paraId="35EA147E">
            <w:pPr>
              <w:keepNext w:val="0"/>
              <w:keepLines w:val="0"/>
              <w:pageBreakBefore w:val="0"/>
              <w:widowControl w:val="0"/>
              <w:kinsoku/>
              <w:wordWrap/>
              <w:overflowPunct/>
              <w:topLinePunct w:val="0"/>
              <w:autoSpaceDN/>
              <w:bidi w:val="0"/>
              <w:snapToGrid w:val="0"/>
              <w:spacing w:line="36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c>
          <w:tcPr>
            <w:tcW w:w="1237" w:type="dxa"/>
            <w:gridSpan w:val="2"/>
            <w:tcBorders>
              <w:tl2br w:val="nil"/>
              <w:tr2bl w:val="nil"/>
            </w:tcBorders>
            <w:vAlign w:val="center"/>
          </w:tcPr>
          <w:p w14:paraId="6D6E8926">
            <w:pPr>
              <w:keepNext w:val="0"/>
              <w:keepLines w:val="0"/>
              <w:pageBreakBefore w:val="0"/>
              <w:widowControl w:val="0"/>
              <w:kinsoku/>
              <w:wordWrap/>
              <w:overflowPunct/>
              <w:topLinePunct w:val="0"/>
              <w:autoSpaceDN/>
              <w:bidi w:val="0"/>
              <w:snapToGrid w:val="0"/>
              <w:spacing w:line="36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评标办法</w:t>
            </w:r>
          </w:p>
        </w:tc>
        <w:tc>
          <w:tcPr>
            <w:tcW w:w="7661" w:type="dxa"/>
            <w:gridSpan w:val="4"/>
            <w:tcBorders>
              <w:tl2br w:val="nil"/>
              <w:tr2bl w:val="nil"/>
            </w:tcBorders>
            <w:vAlign w:val="center"/>
          </w:tcPr>
          <w:p w14:paraId="3F99F69F">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综合评分相等时，评标委员会依次按照以下优先顺序推荐中标候选人：</w:t>
            </w:r>
          </w:p>
          <w:p w14:paraId="2DAA97C7">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（1）评标价低的投标人优先；</w:t>
            </w:r>
          </w:p>
          <w:p w14:paraId="6812A545">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（2）技术得分较高的投标人优先；</w:t>
            </w:r>
          </w:p>
          <w:p w14:paraId="0B529C10">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（3）最终投标文件上传至交易平台较早的投标人优先。</w:t>
            </w:r>
          </w:p>
        </w:tc>
      </w:tr>
      <w:tr w14:paraId="7BCDD1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41" w:hRule="atLeast"/>
          <w:jc w:val="center"/>
        </w:trPr>
        <w:tc>
          <w:tcPr>
            <w:tcW w:w="941" w:type="dxa"/>
            <w:gridSpan w:val="2"/>
            <w:tcBorders>
              <w:tl2br w:val="nil"/>
              <w:tr2bl w:val="nil"/>
            </w:tcBorders>
            <w:vAlign w:val="center"/>
          </w:tcPr>
          <w:p w14:paraId="3EA6FCFA">
            <w:pPr>
              <w:keepNext w:val="0"/>
              <w:keepLines w:val="0"/>
              <w:pageBreakBefore w:val="0"/>
              <w:widowControl w:val="0"/>
              <w:kinsoku/>
              <w:wordWrap/>
              <w:overflowPunct/>
              <w:topLinePunct w:val="0"/>
              <w:autoSpaceDN/>
              <w:bidi w:val="0"/>
              <w:spacing w:line="36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2.1.1</w:t>
            </w:r>
          </w:p>
          <w:p w14:paraId="6289C870">
            <w:pPr>
              <w:keepNext w:val="0"/>
              <w:keepLines w:val="0"/>
              <w:pageBreakBefore w:val="0"/>
              <w:widowControl w:val="0"/>
              <w:kinsoku/>
              <w:wordWrap/>
              <w:overflowPunct/>
              <w:topLinePunct w:val="0"/>
              <w:autoSpaceDN/>
              <w:bidi w:val="0"/>
              <w:spacing w:line="36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2.1.3</w:t>
            </w:r>
          </w:p>
        </w:tc>
        <w:tc>
          <w:tcPr>
            <w:tcW w:w="1237" w:type="dxa"/>
            <w:gridSpan w:val="2"/>
            <w:tcBorders>
              <w:tl2br w:val="nil"/>
              <w:tr2bl w:val="nil"/>
            </w:tcBorders>
            <w:vAlign w:val="center"/>
          </w:tcPr>
          <w:p w14:paraId="027DBDA3">
            <w:pPr>
              <w:keepNext w:val="0"/>
              <w:keepLines w:val="0"/>
              <w:pageBreakBefore w:val="0"/>
              <w:widowControl w:val="0"/>
              <w:kinsoku/>
              <w:wordWrap/>
              <w:overflowPunct/>
              <w:topLinePunct w:val="0"/>
              <w:autoSpaceDN/>
              <w:bidi w:val="0"/>
              <w:spacing w:line="36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形式评审与响应性评审标准</w:t>
            </w:r>
          </w:p>
        </w:tc>
        <w:tc>
          <w:tcPr>
            <w:tcW w:w="7661" w:type="dxa"/>
            <w:gridSpan w:val="4"/>
            <w:tcBorders>
              <w:tl2br w:val="nil"/>
              <w:tr2bl w:val="nil"/>
            </w:tcBorders>
            <w:vAlign w:val="center"/>
          </w:tcPr>
          <w:p w14:paraId="76900970">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 xml:space="preserve">第一个信封（商务及技术文件）评审标准： </w:t>
            </w:r>
          </w:p>
          <w:p w14:paraId="03D6C95A">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（1）投标文件按照招标文件规定的格式、内容填写，字迹清晰可</w:t>
            </w:r>
            <w:r>
              <w:rPr>
                <w:rFonts w:hint="eastAsia" w:cs="Times New Roman"/>
                <w:b w:val="0"/>
                <w:bCs/>
                <w:color w:val="000000" w:themeColor="text1"/>
                <w:szCs w:val="21"/>
                <w:highlight w:val="none"/>
                <w:lang w:val="en-US" w:eastAsia="zh-CN"/>
                <w14:textFill>
                  <w14:solidFill>
                    <w14:schemeClr w14:val="tx1"/>
                  </w14:solidFill>
                </w14:textFill>
              </w:rPr>
              <w:t>辨</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w:t>
            </w:r>
          </w:p>
          <w:p w14:paraId="2621BCED">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a.投标函</w:t>
            </w:r>
            <w:r>
              <w:rPr>
                <w:rFonts w:hint="eastAsia" w:cs="Times New Roman"/>
                <w:b w:val="0"/>
                <w:bCs/>
                <w:color w:val="000000" w:themeColor="text1"/>
                <w:szCs w:val="21"/>
                <w:highlight w:val="none"/>
                <w:lang w:val="en-US" w:eastAsia="zh-CN"/>
                <w14:textFill>
                  <w14:solidFill>
                    <w14:schemeClr w14:val="tx1"/>
                  </w14:solidFill>
                </w14:textFill>
              </w:rPr>
              <w:t>应</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按招标文件规定填报；</w:t>
            </w:r>
          </w:p>
          <w:p w14:paraId="64930CDB">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b.投标文件组成齐全完整，内容均按规定填写</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w:t>
            </w:r>
          </w:p>
          <w:p w14:paraId="5CCC683D">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（2）</w:t>
            </w:r>
            <w:bookmarkStart w:id="6" w:name="OLE_LINK1"/>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投标文件上</w:t>
            </w:r>
            <w:r>
              <w:rPr>
                <w:rFonts w:hint="eastAsia" w:cs="Times New Roman"/>
                <w:b w:val="0"/>
                <w:bCs/>
                <w:color w:val="000000" w:themeColor="text1"/>
                <w:szCs w:val="21"/>
                <w:highlight w:val="none"/>
                <w:lang w:val="en-US" w:eastAsia="zh-CN"/>
                <w14:textFill>
                  <w14:solidFill>
                    <w14:schemeClr w14:val="tx1"/>
                  </w14:solidFill>
                </w14:textFill>
              </w:rPr>
              <w:t>法定代表人（或合伙人）</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的电子</w:t>
            </w:r>
            <w:r>
              <w:rPr>
                <w:rFonts w:hint="eastAsia" w:cs="Times New Roman"/>
                <w:b w:val="0"/>
                <w:bCs/>
                <w:color w:val="000000" w:themeColor="text1"/>
                <w:szCs w:val="21"/>
                <w:highlight w:val="none"/>
                <w:lang w:val="en-US" w:eastAsia="zh-CN"/>
                <w14:textFill>
                  <w14:solidFill>
                    <w14:schemeClr w14:val="tx1"/>
                  </w14:solidFill>
                </w14:textFill>
              </w:rPr>
              <w:t>章</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、投标人单位的电子签章齐全，符合招标文件规定</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w:t>
            </w:r>
            <w:bookmarkEnd w:id="6"/>
          </w:p>
          <w:p w14:paraId="55F73392">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（3）投标人按照招标文件的规定提供了投标保证金：</w:t>
            </w:r>
          </w:p>
          <w:p w14:paraId="32152F84">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a.投标保证金金额符合招标文件规定的金额，且投标保证金有效期不少于投标有效期；</w:t>
            </w:r>
          </w:p>
          <w:p w14:paraId="08A4060A">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b.若投标保证金采用现金形式提交，投标人应在递交投标文件截止时间之前，将投标保证金由投标人的基本账户转入招标人指定账户；</w:t>
            </w:r>
          </w:p>
          <w:p w14:paraId="79F59659">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c.若投标保证金采用非现金交易担保方式提交，保函的格式、开具保函或保证保险的单位均满足招标文件要求。</w:t>
            </w:r>
          </w:p>
          <w:p w14:paraId="14CE633C">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（4）</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投标人</w:t>
            </w:r>
            <w:r>
              <w:rPr>
                <w:rFonts w:hint="eastAsia" w:cs="Times New Roman"/>
                <w:b w:val="0"/>
                <w:bCs/>
                <w:color w:val="000000" w:themeColor="text1"/>
                <w:szCs w:val="21"/>
                <w:highlight w:val="none"/>
                <w:lang w:val="en-US" w:eastAsia="zh-CN"/>
                <w14:textFill>
                  <w14:solidFill>
                    <w14:schemeClr w14:val="tx1"/>
                  </w14:solidFill>
                </w14:textFill>
              </w:rPr>
              <w:t>法定代表人（或合伙人）</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提供了</w:t>
            </w:r>
            <w:r>
              <w:rPr>
                <w:rFonts w:hint="eastAsia" w:cs="Times New Roman"/>
                <w:b w:val="0"/>
                <w:bCs/>
                <w:color w:val="000000" w:themeColor="text1"/>
                <w:szCs w:val="21"/>
                <w:highlight w:val="none"/>
                <w:lang w:val="en-US" w:eastAsia="zh-CN"/>
                <w14:textFill>
                  <w14:solidFill>
                    <w14:schemeClr w14:val="tx1"/>
                  </w14:solidFill>
                </w14:textFill>
              </w:rPr>
              <w:t>法定代表人（或合伙人）</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身份证明。</w:t>
            </w:r>
          </w:p>
          <w:p w14:paraId="50526FE6">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）投标人未以联合体形式投标。</w:t>
            </w:r>
          </w:p>
          <w:p w14:paraId="333D408C">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（6）同一投标人未提交两个以上不同的投标文件。</w:t>
            </w:r>
          </w:p>
          <w:p w14:paraId="04F5F3F8">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7</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）投标文件中未出现有关投标报价的内容。</w:t>
            </w:r>
          </w:p>
          <w:p w14:paraId="79B9D492">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（8）投标文件载明的招标项目完成期限</w:t>
            </w:r>
            <w:r>
              <w:rPr>
                <w:rFonts w:hint="eastAsia" w:cs="Times New Roman"/>
                <w:b w:val="0"/>
                <w:bCs/>
                <w:color w:val="000000" w:themeColor="text1"/>
                <w:szCs w:val="21"/>
                <w:highlight w:val="none"/>
                <w:lang w:val="en-US" w:eastAsia="zh-CN"/>
                <w14:textFill>
                  <w14:solidFill>
                    <w14:schemeClr w14:val="tx1"/>
                  </w14:solidFill>
                </w14:textFill>
              </w:rPr>
              <w:t>应</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满足招标文件规定。</w:t>
            </w:r>
          </w:p>
          <w:p w14:paraId="794D5E77">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（9）投标文件</w:t>
            </w:r>
            <w:r>
              <w:rPr>
                <w:rFonts w:hint="eastAsia" w:cs="Times New Roman"/>
                <w:b w:val="0"/>
                <w:bCs/>
                <w:color w:val="000000" w:themeColor="text1"/>
                <w:szCs w:val="21"/>
                <w:highlight w:val="none"/>
                <w:lang w:val="en-US" w:eastAsia="zh-CN"/>
                <w14:textFill>
                  <w14:solidFill>
                    <w14:schemeClr w14:val="tx1"/>
                  </w14:solidFill>
                </w14:textFill>
              </w:rPr>
              <w:t>应当</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对招标文件的实质性要求和条件作出响应。</w:t>
            </w:r>
          </w:p>
          <w:p w14:paraId="4381D593">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（10）权利义务</w:t>
            </w:r>
            <w:r>
              <w:rPr>
                <w:rFonts w:hint="eastAsia" w:cs="Times New Roman"/>
                <w:b w:val="0"/>
                <w:bCs/>
                <w:color w:val="000000" w:themeColor="text1"/>
                <w:szCs w:val="21"/>
                <w:highlight w:val="none"/>
                <w:lang w:val="en-US" w:eastAsia="zh-CN"/>
                <w14:textFill>
                  <w14:solidFill>
                    <w14:schemeClr w14:val="tx1"/>
                  </w14:solidFill>
                </w14:textFill>
              </w:rPr>
              <w:t>应</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符合招标文件规定：</w:t>
            </w:r>
          </w:p>
          <w:p w14:paraId="3C83041B">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a.投标人应接受招标文件规定的风险划分原则，未提出新的风险划分办法；</w:t>
            </w:r>
          </w:p>
          <w:p w14:paraId="250A0A07">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b.投标人未增加发包人的责任范围，或减少投标人义务；</w:t>
            </w:r>
          </w:p>
          <w:p w14:paraId="3F99831E">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c.投标人未提出不同的工程验收、计量、支付办法；</w:t>
            </w:r>
          </w:p>
          <w:p w14:paraId="18E64B4B">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d.投标人对合同纠纷、事故处理办法未提出异议；</w:t>
            </w:r>
          </w:p>
          <w:p w14:paraId="2738FACE">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e.投标人在投标活动中无欺诈行为；</w:t>
            </w:r>
          </w:p>
          <w:p w14:paraId="1DF2EC37">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f.投标人未对合同条款有重要保留。</w:t>
            </w:r>
          </w:p>
          <w:p w14:paraId="2FD5297C">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w:t>
            </w:r>
            <w:r>
              <w:rPr>
                <w:rFonts w:hint="eastAsia" w:ascii="Times New Roman" w:hAnsi="Times New Roman" w:eastAsia="宋体" w:cs="Times New Roman"/>
                <w:b w:val="0"/>
                <w:bCs/>
                <w:color w:val="000000" w:themeColor="text1"/>
                <w:szCs w:val="21"/>
                <w:highlight w:val="none"/>
                <w:lang w:val="en-US" w:eastAsia="zh-CN"/>
                <w14:textFill>
                  <w14:solidFill>
                    <w14:schemeClr w14:val="tx1"/>
                  </w14:solidFill>
                </w14:textFill>
              </w:rPr>
              <w:t>11</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）投标人名称与营业执照、开户许可证（或基本存款账户信息）一致，如企业名称有变更的，应提供变更记录或相关部门的合法批件影印件。</w:t>
            </w:r>
          </w:p>
          <w:p w14:paraId="5DD36921">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w:t>
            </w:r>
            <w:r>
              <w:rPr>
                <w:rFonts w:hint="eastAsia" w:ascii="Times New Roman" w:hAnsi="Times New Roman" w:eastAsia="宋体" w:cs="Times New Roman"/>
                <w:b w:val="0"/>
                <w:bCs/>
                <w:color w:val="000000" w:themeColor="text1"/>
                <w:szCs w:val="21"/>
                <w:highlight w:val="none"/>
                <w:lang w:val="en-US" w:eastAsia="zh-CN"/>
                <w14:textFill>
                  <w14:solidFill>
                    <w14:schemeClr w14:val="tx1"/>
                  </w14:solidFill>
                </w14:textFill>
              </w:rPr>
              <w:t>12</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w:t>
            </w:r>
            <w:r>
              <w:rPr>
                <w:rFonts w:hint="default" w:ascii="Times New Roman" w:hAnsi="Times New Roman" w:eastAsia="宋体" w:cs="Times New Roman"/>
                <w:b w:val="0"/>
                <w:bCs/>
                <w:color w:val="auto"/>
                <w:sz w:val="21"/>
                <w:szCs w:val="21"/>
                <w:highlight w:val="none"/>
                <w:lang w:val="en-US" w:eastAsia="zh-CN"/>
              </w:rPr>
              <w:t>电子投标文件符合招标文件规定且不存在投标人须知第</w:t>
            </w:r>
            <w:r>
              <w:rPr>
                <w:rFonts w:hint="eastAsia" w:ascii="Times New Roman" w:hAnsi="Times New Roman" w:eastAsia="宋体" w:cs="Times New Roman"/>
                <w:b w:val="0"/>
                <w:bCs/>
                <w:color w:val="auto"/>
                <w:sz w:val="21"/>
                <w:szCs w:val="21"/>
                <w:highlight w:val="none"/>
                <w:lang w:val="en-US" w:eastAsia="zh-CN"/>
              </w:rPr>
              <w:t>10.7</w:t>
            </w:r>
            <w:r>
              <w:rPr>
                <w:rFonts w:hint="default" w:ascii="Times New Roman" w:hAnsi="Times New Roman" w:eastAsia="宋体" w:cs="Times New Roman"/>
                <w:b w:val="0"/>
                <w:bCs/>
                <w:color w:val="auto"/>
                <w:sz w:val="21"/>
                <w:szCs w:val="21"/>
                <w:highlight w:val="none"/>
                <w:lang w:val="en-US" w:eastAsia="zh-CN"/>
              </w:rPr>
              <w:t>款规定的情形</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w:t>
            </w:r>
          </w:p>
          <w:p w14:paraId="539931B7">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（13）投标人未提交分包计划。</w:t>
            </w:r>
          </w:p>
          <w:p w14:paraId="21E578E4">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w:t>
            </w:r>
            <w:r>
              <w:rPr>
                <w:rFonts w:hint="eastAsia" w:ascii="Times New Roman" w:hAnsi="Times New Roman" w:eastAsia="宋体" w:cs="Times New Roman"/>
                <w:b w:val="0"/>
                <w:bCs/>
                <w:color w:val="000000" w:themeColor="text1"/>
                <w:szCs w:val="21"/>
                <w:highlight w:val="none"/>
                <w:lang w:val="en-US" w:eastAsia="zh-CN"/>
                <w14:textFill>
                  <w14:solidFill>
                    <w14:schemeClr w14:val="tx1"/>
                  </w14:solidFill>
                </w14:textFill>
              </w:rPr>
              <w:t>14</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）投标文件未附有招标人不能接受的其他条件。</w:t>
            </w:r>
          </w:p>
          <w:p w14:paraId="1B8FC387">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第二个信封（报价文件）评审标准：</w:t>
            </w:r>
          </w:p>
          <w:p w14:paraId="6762DE0F">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（1）投标文件按照招标文件规定的格式、内容填写，字迹清晰可辨，内容齐全完整：</w:t>
            </w:r>
          </w:p>
          <w:p w14:paraId="2466DA66">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a．投标函按照招标文件规定填报；</w:t>
            </w:r>
          </w:p>
          <w:p w14:paraId="55A0B1BC">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b．投标文件组成齐全完整，内容均按规定填写。</w:t>
            </w:r>
          </w:p>
          <w:p w14:paraId="5C53DED3">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（2）投标文件上</w:t>
            </w:r>
            <w:r>
              <w:rPr>
                <w:rFonts w:hint="eastAsia" w:cs="Times New Roman"/>
                <w:b w:val="0"/>
                <w:bCs/>
                <w:color w:val="000000" w:themeColor="text1"/>
                <w:szCs w:val="21"/>
                <w:highlight w:val="none"/>
                <w:lang w:val="en-US" w:eastAsia="zh-CN"/>
                <w14:textFill>
                  <w14:solidFill>
                    <w14:schemeClr w14:val="tx1"/>
                  </w14:solidFill>
                </w14:textFill>
              </w:rPr>
              <w:t>法定代表人（或合伙人）</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的电子签名、投标人的单位电子签章齐全，符合招标文件规定。</w:t>
            </w:r>
          </w:p>
          <w:p w14:paraId="7E15B0F5">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（3）投标报价未超过招标文件设定的最高投标限价或最终控制价上限。</w:t>
            </w:r>
          </w:p>
          <w:p w14:paraId="2B6F99B0">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（4）投标报价的大写金额能够确定具体数值。</w:t>
            </w:r>
          </w:p>
          <w:p w14:paraId="7A6F2317">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（5）同一投标人未提交两个以上不同的投标报价，但招标文件要求提交备选投标的除外。</w:t>
            </w:r>
          </w:p>
          <w:p w14:paraId="7B2CF952">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b w:val="0"/>
                <w:bCs/>
                <w:color w:val="auto"/>
                <w:sz w:val="21"/>
                <w:szCs w:val="21"/>
                <w:highlight w:val="none"/>
                <w:lang w:val="en-US" w:eastAsia="zh-CN"/>
              </w:rPr>
              <w:t>电子投标文件符合招标文件规定且不存在投标人须知第</w:t>
            </w:r>
            <w:r>
              <w:rPr>
                <w:rFonts w:hint="eastAsia" w:ascii="Times New Roman" w:hAnsi="Times New Roman" w:eastAsia="宋体" w:cs="Times New Roman"/>
                <w:b w:val="0"/>
                <w:bCs/>
                <w:color w:val="auto"/>
                <w:sz w:val="21"/>
                <w:szCs w:val="21"/>
                <w:highlight w:val="none"/>
                <w:lang w:val="en-US" w:eastAsia="zh-CN"/>
              </w:rPr>
              <w:t>10.7</w:t>
            </w:r>
            <w:r>
              <w:rPr>
                <w:rFonts w:hint="default" w:ascii="Times New Roman" w:hAnsi="Times New Roman" w:eastAsia="宋体" w:cs="Times New Roman"/>
                <w:b w:val="0"/>
                <w:bCs/>
                <w:color w:val="auto"/>
                <w:sz w:val="21"/>
                <w:szCs w:val="21"/>
                <w:highlight w:val="none"/>
                <w:lang w:val="en-US" w:eastAsia="zh-CN"/>
              </w:rPr>
              <w:t>款规定的情形</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w:t>
            </w:r>
          </w:p>
          <w:p w14:paraId="5CD4FA67">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（7）投标文件未附有招标人不能接受的其他条件。</w:t>
            </w:r>
          </w:p>
        </w:tc>
      </w:tr>
      <w:tr w14:paraId="4BAFE6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941" w:type="dxa"/>
            <w:gridSpan w:val="2"/>
            <w:tcBorders>
              <w:tl2br w:val="nil"/>
              <w:tr2bl w:val="nil"/>
            </w:tcBorders>
            <w:vAlign w:val="center"/>
          </w:tcPr>
          <w:p w14:paraId="21EEFBAC">
            <w:pPr>
              <w:keepNext w:val="0"/>
              <w:keepLines w:val="0"/>
              <w:pageBreakBefore w:val="0"/>
              <w:widowControl w:val="0"/>
              <w:kinsoku/>
              <w:wordWrap/>
              <w:overflowPunct/>
              <w:topLinePunct w:val="0"/>
              <w:autoSpaceDN/>
              <w:bidi w:val="0"/>
              <w:spacing w:line="36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2.1.2</w:t>
            </w:r>
          </w:p>
        </w:tc>
        <w:tc>
          <w:tcPr>
            <w:tcW w:w="1237" w:type="dxa"/>
            <w:gridSpan w:val="2"/>
            <w:tcBorders>
              <w:tl2br w:val="nil"/>
              <w:tr2bl w:val="nil"/>
            </w:tcBorders>
            <w:vAlign w:val="center"/>
          </w:tcPr>
          <w:p w14:paraId="668695A6">
            <w:pPr>
              <w:keepNext w:val="0"/>
              <w:keepLines w:val="0"/>
              <w:pageBreakBefore w:val="0"/>
              <w:widowControl w:val="0"/>
              <w:kinsoku/>
              <w:wordWrap/>
              <w:overflowPunct/>
              <w:topLinePunct w:val="0"/>
              <w:autoSpaceDN/>
              <w:bidi w:val="0"/>
              <w:spacing w:line="36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资格评审标准</w:t>
            </w:r>
          </w:p>
        </w:tc>
        <w:tc>
          <w:tcPr>
            <w:tcW w:w="7661" w:type="dxa"/>
            <w:gridSpan w:val="4"/>
            <w:tcBorders>
              <w:tl2br w:val="nil"/>
              <w:tr2bl w:val="nil"/>
            </w:tcBorders>
            <w:vAlign w:val="center"/>
          </w:tcPr>
          <w:p w14:paraId="7041EDAF">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（1）投标人具备有效的营业执照和开户许可证（或基本存款账户信息）。</w:t>
            </w:r>
          </w:p>
          <w:p w14:paraId="3B4C5457">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（2）投标人的</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资质</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要求符合招标文件投标人须知附录1规定。</w:t>
            </w:r>
          </w:p>
          <w:p w14:paraId="29E4D7E1">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（3）投标人的</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业绩要求</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符合招标文件投标人须知附录2规定。</w:t>
            </w:r>
          </w:p>
          <w:p w14:paraId="7CC890D5">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（4）投标人的信誉</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要求</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符合招标文件投标人须知附录3规定。</w:t>
            </w:r>
          </w:p>
          <w:p w14:paraId="057D6636">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（5）投标人的</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主要人员</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资格</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要求</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符合招标文件投标人须知附录4规定。</w:t>
            </w:r>
          </w:p>
          <w:p w14:paraId="657DA0BD">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（6）投标人不存在第二章“投标人须知”第1.4.3项或第1.4.4项规定的任何一种情形。</w:t>
            </w:r>
          </w:p>
        </w:tc>
      </w:tr>
      <w:tr w14:paraId="4F26C9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41" w:type="dxa"/>
            <w:gridSpan w:val="2"/>
            <w:tcBorders>
              <w:tl2br w:val="nil"/>
              <w:tr2bl w:val="nil"/>
            </w:tcBorders>
            <w:vAlign w:val="center"/>
          </w:tcPr>
          <w:p w14:paraId="3F70851D">
            <w:pPr>
              <w:keepNext w:val="0"/>
              <w:keepLines w:val="0"/>
              <w:pageBreakBefore w:val="0"/>
              <w:widowControl w:val="0"/>
              <w:kinsoku/>
              <w:wordWrap/>
              <w:overflowPunct/>
              <w:topLinePunct w:val="0"/>
              <w:autoSpaceDN/>
              <w:bidi w:val="0"/>
              <w:spacing w:line="36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2.2.1</w:t>
            </w:r>
          </w:p>
        </w:tc>
        <w:tc>
          <w:tcPr>
            <w:tcW w:w="1237" w:type="dxa"/>
            <w:gridSpan w:val="2"/>
            <w:tcBorders>
              <w:tl2br w:val="nil"/>
              <w:tr2bl w:val="nil"/>
            </w:tcBorders>
            <w:vAlign w:val="center"/>
          </w:tcPr>
          <w:p w14:paraId="5788F7ED">
            <w:pPr>
              <w:keepNext w:val="0"/>
              <w:keepLines w:val="0"/>
              <w:pageBreakBefore w:val="0"/>
              <w:widowControl w:val="0"/>
              <w:kinsoku/>
              <w:wordWrap/>
              <w:overflowPunct/>
              <w:topLinePunct w:val="0"/>
              <w:autoSpaceDN/>
              <w:bidi w:val="0"/>
              <w:spacing w:line="36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分值构成</w:t>
            </w:r>
          </w:p>
        </w:tc>
        <w:tc>
          <w:tcPr>
            <w:tcW w:w="7661" w:type="dxa"/>
            <w:gridSpan w:val="4"/>
            <w:tcBorders>
              <w:tl2br w:val="nil"/>
              <w:tr2bl w:val="nil"/>
            </w:tcBorders>
            <w:vAlign w:val="center"/>
          </w:tcPr>
          <w:p w14:paraId="1901EC3B">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第一个信封（商务及技术文件）评分分值构成：</w:t>
            </w:r>
          </w:p>
          <w:p w14:paraId="1D956DF8">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技术建议书：</w:t>
            </w:r>
            <w:r>
              <w:rPr>
                <w:rFonts w:hint="eastAsia" w:cs="Times New Roman"/>
                <w:b w:val="0"/>
                <w:bCs/>
                <w:color w:val="auto"/>
                <w:szCs w:val="21"/>
                <w:highlight w:val="none"/>
                <w:lang w:val="en-US" w:eastAsia="zh-CN"/>
              </w:rPr>
              <w:t>35</w:t>
            </w:r>
            <w:r>
              <w:rPr>
                <w:rFonts w:hint="default" w:ascii="Times New Roman" w:hAnsi="Times New Roman" w:eastAsia="宋体" w:cs="Times New Roman"/>
                <w:b w:val="0"/>
                <w:bCs/>
                <w:color w:val="auto"/>
                <w:szCs w:val="21"/>
                <w:highlight w:val="none"/>
                <w:lang w:val="en-US" w:eastAsia="zh-CN"/>
              </w:rPr>
              <w:t>分</w:t>
            </w:r>
          </w:p>
          <w:p w14:paraId="0322B83A">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主要人员：</w:t>
            </w:r>
            <w:r>
              <w:rPr>
                <w:rFonts w:hint="eastAsia" w:cs="Times New Roman"/>
                <w:b w:val="0"/>
                <w:bCs/>
                <w:color w:val="auto"/>
                <w:szCs w:val="21"/>
                <w:highlight w:val="none"/>
                <w:lang w:val="en-US" w:eastAsia="zh-CN"/>
              </w:rPr>
              <w:t>25</w:t>
            </w:r>
            <w:r>
              <w:rPr>
                <w:rFonts w:hint="default" w:ascii="Times New Roman" w:hAnsi="Times New Roman" w:eastAsia="宋体" w:cs="Times New Roman"/>
                <w:b w:val="0"/>
                <w:bCs/>
                <w:color w:val="auto"/>
                <w:szCs w:val="21"/>
                <w:highlight w:val="none"/>
                <w:lang w:val="en-US" w:eastAsia="zh-CN"/>
              </w:rPr>
              <w:t>分</w:t>
            </w:r>
          </w:p>
          <w:p w14:paraId="63512E77">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业    绩：</w:t>
            </w:r>
            <w:r>
              <w:rPr>
                <w:rFonts w:hint="eastAsia" w:cs="Times New Roman"/>
                <w:b w:val="0"/>
                <w:bCs/>
                <w:color w:val="auto"/>
                <w:szCs w:val="21"/>
                <w:highlight w:val="none"/>
                <w:lang w:val="en-US" w:eastAsia="zh-CN"/>
              </w:rPr>
              <w:t>25</w:t>
            </w:r>
            <w:r>
              <w:rPr>
                <w:rFonts w:hint="default" w:ascii="Times New Roman" w:hAnsi="Times New Roman" w:eastAsia="宋体" w:cs="Times New Roman"/>
                <w:b w:val="0"/>
                <w:bCs/>
                <w:color w:val="auto"/>
                <w:szCs w:val="21"/>
                <w:highlight w:val="none"/>
                <w:lang w:val="en-US" w:eastAsia="zh-CN"/>
              </w:rPr>
              <w:t>分</w:t>
            </w:r>
          </w:p>
          <w:p w14:paraId="687D6CBF">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履约信誉：</w:t>
            </w:r>
            <w:r>
              <w:rPr>
                <w:rFonts w:hint="default" w:ascii="Times New Roman" w:hAnsi="Times New Roman" w:cs="Times New Roman"/>
                <w:b w:val="0"/>
                <w:bCs/>
                <w:color w:val="auto"/>
                <w:szCs w:val="21"/>
                <w:highlight w:val="none"/>
                <w:lang w:val="en-US" w:eastAsia="zh-CN"/>
              </w:rPr>
              <w:t>5</w:t>
            </w:r>
            <w:r>
              <w:rPr>
                <w:rFonts w:hint="default" w:ascii="Times New Roman" w:hAnsi="Times New Roman" w:eastAsia="宋体" w:cs="Times New Roman"/>
                <w:b w:val="0"/>
                <w:bCs/>
                <w:color w:val="auto"/>
                <w:szCs w:val="21"/>
                <w:highlight w:val="none"/>
                <w:lang w:val="en-US" w:eastAsia="zh-CN"/>
              </w:rPr>
              <w:t>分</w:t>
            </w:r>
          </w:p>
          <w:p w14:paraId="7EA0763F">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第二个信封（报价文件）评分分值构成：</w:t>
            </w:r>
          </w:p>
          <w:p w14:paraId="2F960FD1">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auto"/>
                <w:szCs w:val="21"/>
                <w:highlight w:val="none"/>
                <w:lang w:val="en-US" w:eastAsia="zh-CN"/>
              </w:rPr>
              <w:t>评标价：10分</w:t>
            </w:r>
          </w:p>
        </w:tc>
      </w:tr>
      <w:tr w14:paraId="47041E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dxa"/>
            <w:gridSpan w:val="2"/>
            <w:tcBorders>
              <w:tl2br w:val="nil"/>
              <w:tr2bl w:val="nil"/>
            </w:tcBorders>
            <w:vAlign w:val="center"/>
          </w:tcPr>
          <w:p w14:paraId="279966C6">
            <w:pPr>
              <w:keepNext w:val="0"/>
              <w:keepLines w:val="0"/>
              <w:pageBreakBefore w:val="0"/>
              <w:widowControl w:val="0"/>
              <w:kinsoku/>
              <w:wordWrap/>
              <w:overflowPunct/>
              <w:topLinePunct w:val="0"/>
              <w:autoSpaceDN/>
              <w:bidi w:val="0"/>
              <w:spacing w:line="360" w:lineRule="auto"/>
              <w:ind w:right="113"/>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2.2.2</w:t>
            </w:r>
          </w:p>
        </w:tc>
        <w:tc>
          <w:tcPr>
            <w:tcW w:w="1237" w:type="dxa"/>
            <w:gridSpan w:val="2"/>
            <w:tcBorders>
              <w:tl2br w:val="nil"/>
              <w:tr2bl w:val="nil"/>
            </w:tcBorders>
            <w:vAlign w:val="center"/>
          </w:tcPr>
          <w:p w14:paraId="3DCA3B40">
            <w:pPr>
              <w:keepNext w:val="0"/>
              <w:keepLines w:val="0"/>
              <w:pageBreakBefore w:val="0"/>
              <w:widowControl w:val="0"/>
              <w:kinsoku/>
              <w:wordWrap/>
              <w:overflowPunct/>
              <w:topLinePunct w:val="0"/>
              <w:autoSpaceDN/>
              <w:bidi w:val="0"/>
              <w:spacing w:line="360" w:lineRule="auto"/>
              <w:ind w:right="113"/>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Cs w:val="21"/>
                <w:highlight w:val="none"/>
                <w14:textFill>
                  <w14:solidFill>
                    <w14:schemeClr w14:val="tx1"/>
                  </w14:solidFill>
                </w14:textFill>
              </w:rPr>
              <w:t>评标基准价计算方法</w:t>
            </w:r>
          </w:p>
        </w:tc>
        <w:tc>
          <w:tcPr>
            <w:tcW w:w="7661" w:type="dxa"/>
            <w:gridSpan w:val="4"/>
            <w:tcBorders>
              <w:tl2br w:val="nil"/>
              <w:tr2bl w:val="nil"/>
            </w:tcBorders>
            <w:vAlign w:val="center"/>
          </w:tcPr>
          <w:p w14:paraId="5A6C1E9E">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评标基准价的计算：</w:t>
            </w:r>
          </w:p>
          <w:p w14:paraId="50D7202A">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（1）评标价的确定：</w:t>
            </w:r>
          </w:p>
          <w:p w14:paraId="527BD7A9">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有效评标价</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第二个信封开标现场未被宣布为无效投标的投标报价函文字报价</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w:t>
            </w:r>
          </w:p>
          <w:p w14:paraId="0B2F6BD4">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出现第二章“投标人须知”第5.2.4项所规定情况的投标文件，应做投标无效处理，其投标报价视为无效报价，不参与任何计算。</w:t>
            </w:r>
          </w:p>
          <w:p w14:paraId="64F414F9">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（2）确定最终控制价上限G2</w:t>
            </w:r>
          </w:p>
          <w:p w14:paraId="40194370">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第二个信封</w:t>
            </w:r>
            <w:r>
              <w:rPr>
                <w:rFonts w:hint="eastAsia" w:cs="Times New Roman"/>
                <w:b w:val="0"/>
                <w:bCs/>
                <w:color w:val="000000" w:themeColor="text1"/>
                <w:szCs w:val="21"/>
                <w:highlight w:val="none"/>
                <w:lang w:val="en-US" w:eastAsia="zh-CN"/>
                <w14:textFill>
                  <w14:solidFill>
                    <w14:schemeClr w14:val="tx1"/>
                  </w14:solidFill>
                </w14:textFill>
              </w:rPr>
              <w:t>在</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开标现场随机抽取投标控制价上限的下浮系数X1。</w:t>
            </w:r>
          </w:p>
          <w:p w14:paraId="151ABED1">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（X1为0.5%、1%、1.5%、2%、2.5%、3%六个数值中的一个）。</w:t>
            </w:r>
          </w:p>
          <w:p w14:paraId="147B8008">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最终控制价上限G2=G1×（1-X1）</w:t>
            </w:r>
          </w:p>
          <w:p w14:paraId="425F2B76">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G1=各标段最高投标限价（含暂列金额）。</w:t>
            </w:r>
          </w:p>
          <w:p w14:paraId="2E832C82">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如投标人评标价高于本标段的G2，则视其为超出招标人的支付能力，将不再参与后续任何计算，按投标无效处理。</w:t>
            </w:r>
          </w:p>
          <w:p w14:paraId="58AC5284">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（3）确定理论成本价LC</w:t>
            </w:r>
          </w:p>
          <w:p w14:paraId="3DEC0A4A">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所有不高于G2的有效评标价的算术平均值的50%（当有效评标价有5个及以上时，应去掉其中的最高值和最低值）与G2的50%相加后，乘以成本价系数</w:t>
            </w:r>
            <w:r>
              <w:rPr>
                <w:rFonts w:hint="eastAsia" w:cs="Times New Roman"/>
                <w:b w:val="0"/>
                <w:bCs/>
                <w:color w:val="000000" w:themeColor="text1"/>
                <w:szCs w:val="21"/>
                <w:highlight w:val="none"/>
                <w:lang w:val="en-US" w:eastAsia="zh-CN"/>
                <w14:textFill>
                  <w14:solidFill>
                    <w14:schemeClr w14:val="tx1"/>
                  </w14:solidFill>
                </w14:textFill>
              </w:rPr>
              <w:t>0.85</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所得数值为该标段的理论成本价。</w:t>
            </w:r>
          </w:p>
          <w:p w14:paraId="0D043270">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LC=（0.5×G2+0.5×SP1）×0.85</w:t>
            </w:r>
          </w:p>
          <w:p w14:paraId="1B88F95D">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SP1——该标段所有不高于G2的有效评标价的算术平均值（当有效评标价有5个及以上时，应去掉其中的最高值和最低值）</w:t>
            </w:r>
          </w:p>
          <w:p w14:paraId="08B13E67">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cs="Times New Roman"/>
                <w:b w:val="0"/>
                <w:bCs/>
                <w:highlight w:val="none"/>
                <w:lang w:val="en-US" w:eastAsia="zh-CN"/>
              </w:rPr>
            </w:pPr>
            <w:r>
              <w:rPr>
                <w:rFonts w:hint="default" w:ascii="Times New Roman" w:hAnsi="Times New Roman" w:eastAsia="宋体" w:cs="Times New Roman"/>
                <w:b w:val="0"/>
                <w:bCs/>
                <w:color w:val="auto"/>
                <w:sz w:val="21"/>
                <w:szCs w:val="21"/>
                <w:highlight w:val="none"/>
              </w:rPr>
              <w:t>评标价低于理论成本价的，不再参与后续计算。</w:t>
            </w:r>
          </w:p>
          <w:p w14:paraId="53C9CB3A">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（4）确定评标基准价JZ</w:t>
            </w:r>
          </w:p>
          <w:p w14:paraId="30368913">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评标基准价</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［最终投标控制价上限×加权系数＋有效评标价算术平均值×（1-加权系数）］×评标基准价系数</w:t>
            </w:r>
          </w:p>
          <w:p w14:paraId="65CB79F2">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式中：加权系数（X2）应从0.3、0.35、0.4中选取，评标基准价系数（X3）应从0.96、0.97、0.98、0.99中选取，均在开标现场随机抽取确定。</w:t>
            </w:r>
          </w:p>
          <w:p w14:paraId="580B4880">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有效评标价指介于理论成本价（含）与最终投标控制价上限（含）范围内的评标价。当有效评标价数量大于5时，应去掉其中的最高和最低值，再进行有效评标价算术平均值计算。</w:t>
            </w:r>
          </w:p>
          <w:p w14:paraId="47C28F37">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p w14:paraId="42C2B3B6">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上述相关系数（X1、X2、X3）在开标现场随机抽取。</w:t>
            </w:r>
          </w:p>
        </w:tc>
      </w:tr>
      <w:tr w14:paraId="4ADCE6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941" w:type="dxa"/>
            <w:gridSpan w:val="2"/>
            <w:tcBorders>
              <w:tl2br w:val="nil"/>
              <w:tr2bl w:val="nil"/>
            </w:tcBorders>
            <w:vAlign w:val="center"/>
          </w:tcPr>
          <w:p w14:paraId="46A86FE6">
            <w:pPr>
              <w:keepNext w:val="0"/>
              <w:keepLines w:val="0"/>
              <w:pageBreakBefore w:val="0"/>
              <w:widowControl w:val="0"/>
              <w:kinsoku/>
              <w:wordWrap/>
              <w:overflowPunct/>
              <w:topLinePunct w:val="0"/>
              <w:autoSpaceDN/>
              <w:bidi w:val="0"/>
              <w:spacing w:line="360" w:lineRule="auto"/>
              <w:ind w:right="113"/>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2.2.3</w:t>
            </w:r>
          </w:p>
        </w:tc>
        <w:tc>
          <w:tcPr>
            <w:tcW w:w="1237" w:type="dxa"/>
            <w:gridSpan w:val="2"/>
            <w:tcBorders>
              <w:tl2br w:val="nil"/>
              <w:tr2bl w:val="nil"/>
            </w:tcBorders>
            <w:vAlign w:val="center"/>
          </w:tcPr>
          <w:p w14:paraId="4835C9D3">
            <w:pPr>
              <w:keepNext w:val="0"/>
              <w:keepLines w:val="0"/>
              <w:pageBreakBefore w:val="0"/>
              <w:widowControl w:val="0"/>
              <w:kinsoku/>
              <w:wordWrap/>
              <w:overflowPunct/>
              <w:topLinePunct w:val="0"/>
              <w:autoSpaceDN/>
              <w:bidi w:val="0"/>
              <w:spacing w:line="360" w:lineRule="auto"/>
              <w:ind w:right="113"/>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评标价的偏差率计算公式</w:t>
            </w:r>
          </w:p>
        </w:tc>
        <w:tc>
          <w:tcPr>
            <w:tcW w:w="7661" w:type="dxa"/>
            <w:gridSpan w:val="4"/>
            <w:tcBorders>
              <w:tl2br w:val="nil"/>
              <w:tr2bl w:val="nil"/>
            </w:tcBorders>
            <w:vAlign w:val="center"/>
          </w:tcPr>
          <w:p w14:paraId="72A0C7DE">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偏差率=100%×（投标人评标价-评标基准价）/评标基准价</w:t>
            </w:r>
          </w:p>
          <w:p w14:paraId="1CA2CFD6">
            <w:pPr>
              <w:keepNext w:val="0"/>
              <w:keepLines w:val="0"/>
              <w:pageBreakBefore w:val="0"/>
              <w:kinsoku/>
              <w:wordWrap/>
              <w:overflowPunct/>
              <w:topLinePunct w:val="0"/>
              <w:bidi w:val="0"/>
              <w:spacing w:line="360" w:lineRule="auto"/>
              <w:jc w:val="both"/>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“（投标人评标价</w:t>
            </w:r>
            <w:r>
              <w:rPr>
                <w:rFonts w:hint="default" w:ascii="Times New Roman" w:hAnsi="Times New Roman" w:cs="Times New Roman"/>
                <w:b w:val="0"/>
                <w:bCs/>
                <w:color w:val="000000" w:themeColor="text1"/>
                <w:szCs w:val="2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评标基准价）/评标基准价”保留至小数点后三位，小数点后第四位“四舍五入”。</w:t>
            </w:r>
          </w:p>
        </w:tc>
      </w:tr>
      <w:tr w14:paraId="4CB964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559" w:hRule="atLeast"/>
          <w:jc w:val="center"/>
        </w:trPr>
        <w:tc>
          <w:tcPr>
            <w:tcW w:w="5130" w:type="dxa"/>
            <w:gridSpan w:val="7"/>
            <w:tcBorders>
              <w:tl2br w:val="nil"/>
              <w:tr2bl w:val="nil"/>
            </w:tcBorders>
            <w:vAlign w:val="center"/>
          </w:tcPr>
          <w:p w14:paraId="67E4D971">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br w:type="page"/>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评分因素与权重分值</w:t>
            </w:r>
          </w:p>
        </w:tc>
        <w:tc>
          <w:tcPr>
            <w:tcW w:w="4709" w:type="dxa"/>
            <w:vMerge w:val="restart"/>
            <w:tcBorders>
              <w:tl2br w:val="nil"/>
              <w:tr2bl w:val="nil"/>
            </w:tcBorders>
            <w:vAlign w:val="center"/>
          </w:tcPr>
          <w:p w14:paraId="78E2C866">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评分标准</w:t>
            </w:r>
          </w:p>
        </w:tc>
      </w:tr>
      <w:tr w14:paraId="487610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1533" w:hRule="atLeast"/>
          <w:jc w:val="center"/>
        </w:trPr>
        <w:tc>
          <w:tcPr>
            <w:tcW w:w="841" w:type="dxa"/>
            <w:tcBorders>
              <w:tl2br w:val="nil"/>
              <w:tr2bl w:val="nil"/>
            </w:tcBorders>
            <w:vAlign w:val="center"/>
          </w:tcPr>
          <w:p w14:paraId="77EDD761">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条款号</w:t>
            </w:r>
          </w:p>
        </w:tc>
        <w:tc>
          <w:tcPr>
            <w:tcW w:w="1330" w:type="dxa"/>
            <w:gridSpan w:val="2"/>
            <w:tcBorders>
              <w:tl2br w:val="nil"/>
              <w:tr2bl w:val="nil"/>
            </w:tcBorders>
            <w:vAlign w:val="center"/>
          </w:tcPr>
          <w:p w14:paraId="761F9678">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评分因素</w:t>
            </w:r>
          </w:p>
        </w:tc>
        <w:tc>
          <w:tcPr>
            <w:tcW w:w="722" w:type="dxa"/>
            <w:gridSpan w:val="2"/>
            <w:tcBorders>
              <w:tl2br w:val="nil"/>
              <w:tr2bl w:val="nil"/>
            </w:tcBorders>
            <w:vAlign w:val="center"/>
          </w:tcPr>
          <w:p w14:paraId="7B1FC4D4">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评分因素权重分值</w:t>
            </w:r>
          </w:p>
        </w:tc>
        <w:tc>
          <w:tcPr>
            <w:tcW w:w="1437" w:type="dxa"/>
            <w:tcBorders>
              <w:tl2br w:val="nil"/>
              <w:tr2bl w:val="nil"/>
            </w:tcBorders>
            <w:vAlign w:val="center"/>
          </w:tcPr>
          <w:p w14:paraId="7C4E4DCE">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各评分因素细分项</w:t>
            </w:r>
          </w:p>
        </w:tc>
        <w:tc>
          <w:tcPr>
            <w:tcW w:w="800" w:type="dxa"/>
            <w:tcBorders>
              <w:tl2br w:val="nil"/>
              <w:tr2bl w:val="nil"/>
            </w:tcBorders>
            <w:vAlign w:val="center"/>
          </w:tcPr>
          <w:p w14:paraId="5A8E739A">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分值</w:t>
            </w:r>
          </w:p>
        </w:tc>
        <w:tc>
          <w:tcPr>
            <w:tcW w:w="4709" w:type="dxa"/>
            <w:vMerge w:val="continue"/>
            <w:tcBorders>
              <w:tl2br w:val="nil"/>
              <w:tr2bl w:val="nil"/>
            </w:tcBorders>
            <w:vAlign w:val="center"/>
          </w:tcPr>
          <w:p w14:paraId="44A8A49F">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r>
      <w:tr w14:paraId="28EBB6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835" w:hRule="atLeast"/>
          <w:jc w:val="center"/>
        </w:trPr>
        <w:tc>
          <w:tcPr>
            <w:tcW w:w="841" w:type="dxa"/>
            <w:vMerge w:val="restart"/>
            <w:tcBorders>
              <w:tl2br w:val="nil"/>
              <w:tr2bl w:val="nil"/>
            </w:tcBorders>
            <w:vAlign w:val="center"/>
          </w:tcPr>
          <w:p w14:paraId="5347212A">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2.2.4（1）</w:t>
            </w:r>
          </w:p>
        </w:tc>
        <w:tc>
          <w:tcPr>
            <w:tcW w:w="1330" w:type="dxa"/>
            <w:gridSpan w:val="2"/>
            <w:vMerge w:val="restart"/>
            <w:tcBorders>
              <w:tl2br w:val="nil"/>
              <w:tr2bl w:val="nil"/>
            </w:tcBorders>
            <w:vAlign w:val="center"/>
          </w:tcPr>
          <w:p w14:paraId="12E5DA9C">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技术建</w:t>
            </w:r>
          </w:p>
          <w:p w14:paraId="64163055">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议书</w:t>
            </w:r>
          </w:p>
        </w:tc>
        <w:tc>
          <w:tcPr>
            <w:tcW w:w="722" w:type="dxa"/>
            <w:gridSpan w:val="2"/>
            <w:vMerge w:val="restart"/>
            <w:tcBorders>
              <w:tl2br w:val="nil"/>
              <w:tr2bl w:val="nil"/>
            </w:tcBorders>
            <w:vAlign w:val="center"/>
          </w:tcPr>
          <w:p w14:paraId="36CD0C94">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35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分</w:t>
            </w:r>
          </w:p>
        </w:tc>
        <w:tc>
          <w:tcPr>
            <w:tcW w:w="1437" w:type="dxa"/>
            <w:tcBorders>
              <w:tl2br w:val="nil"/>
              <w:tr2bl w:val="nil"/>
            </w:tcBorders>
            <w:vAlign w:val="center"/>
          </w:tcPr>
          <w:p w14:paraId="5D7FC436">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对招标项目的理解和总体服务思路</w:t>
            </w:r>
          </w:p>
        </w:tc>
        <w:tc>
          <w:tcPr>
            <w:tcW w:w="800" w:type="dxa"/>
            <w:tcBorders>
              <w:tl2br w:val="nil"/>
              <w:tr2bl w:val="nil"/>
            </w:tcBorders>
            <w:vAlign w:val="center"/>
          </w:tcPr>
          <w:p w14:paraId="1E37CD57">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w:t>
            </w:r>
            <w:r>
              <w:rPr>
                <w:rFonts w:hint="default" w:ascii="Times New Roman" w:hAnsi="Times New Roman" w:eastAsia="宋体" w:cs="Times New Roman"/>
                <w:b w:val="0"/>
                <w:bCs/>
                <w:color w:val="auto"/>
                <w:sz w:val="21"/>
                <w:szCs w:val="21"/>
                <w:highlight w:val="none"/>
                <w:lang w:val="en-US" w:eastAsia="zh-CN"/>
              </w:rPr>
              <w:t>分</w:t>
            </w:r>
          </w:p>
        </w:tc>
        <w:tc>
          <w:tcPr>
            <w:tcW w:w="4709" w:type="dxa"/>
            <w:tcBorders>
              <w:tl2br w:val="nil"/>
              <w:tr2bl w:val="nil"/>
            </w:tcBorders>
            <w:vAlign w:val="center"/>
          </w:tcPr>
          <w:p w14:paraId="3C044FCE">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基本分为</w:t>
            </w:r>
            <w:r>
              <w:rPr>
                <w:rFonts w:hint="default" w:ascii="Times New Roman" w:hAnsi="Times New Roman" w:cs="Times New Roman"/>
                <w:b w:val="0"/>
                <w:bCs/>
                <w:color w:val="auto"/>
                <w:sz w:val="21"/>
                <w:szCs w:val="21"/>
                <w:highlight w:val="none"/>
                <w:lang w:val="en-US" w:eastAsia="zh-CN"/>
              </w:rPr>
              <w:t>6</w:t>
            </w:r>
            <w:r>
              <w:rPr>
                <w:rFonts w:hint="default" w:ascii="Times New Roman" w:hAnsi="Times New Roman" w:eastAsia="宋体" w:cs="Times New Roman"/>
                <w:b w:val="0"/>
                <w:bCs/>
                <w:color w:val="auto"/>
                <w:sz w:val="21"/>
                <w:szCs w:val="21"/>
                <w:highlight w:val="none"/>
                <w:lang w:val="en-US" w:eastAsia="zh-CN"/>
              </w:rPr>
              <w:t>分，满分</w:t>
            </w:r>
            <w:r>
              <w:rPr>
                <w:rFonts w:hint="default" w:ascii="Times New Roman" w:hAnsi="Times New Roman" w:cs="Times New Roman"/>
                <w:b w:val="0"/>
                <w:bCs/>
                <w:color w:val="auto"/>
                <w:sz w:val="21"/>
                <w:szCs w:val="21"/>
                <w:highlight w:val="none"/>
                <w:lang w:val="en-US" w:eastAsia="zh-CN"/>
              </w:rPr>
              <w:t>10</w:t>
            </w:r>
            <w:r>
              <w:rPr>
                <w:rFonts w:hint="default" w:ascii="Times New Roman" w:hAnsi="Times New Roman" w:eastAsia="宋体" w:cs="Times New Roman"/>
                <w:b w:val="0"/>
                <w:bCs/>
                <w:color w:val="auto"/>
                <w:sz w:val="21"/>
                <w:szCs w:val="21"/>
                <w:highlight w:val="none"/>
                <w:lang w:val="en-US" w:eastAsia="zh-CN"/>
              </w:rPr>
              <w:t>分。</w:t>
            </w:r>
          </w:p>
          <w:p w14:paraId="169E23F4">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对招标项目的理解和思路准确，总体服务思路明晰、清楚，服务方案合理可行，最高加</w:t>
            </w:r>
            <w:r>
              <w:rPr>
                <w:rFonts w:hint="default" w:ascii="Times New Roman" w:hAnsi="Times New Roman" w:cs="Times New Roman"/>
                <w:b w:val="0"/>
                <w:bCs/>
                <w:color w:val="auto"/>
                <w:sz w:val="21"/>
                <w:szCs w:val="21"/>
                <w:highlight w:val="none"/>
                <w:lang w:val="en-US" w:eastAsia="zh-CN"/>
              </w:rPr>
              <w:t>4</w:t>
            </w:r>
            <w:r>
              <w:rPr>
                <w:rFonts w:hint="default" w:ascii="Times New Roman" w:hAnsi="Times New Roman" w:eastAsia="宋体" w:cs="Times New Roman"/>
                <w:b w:val="0"/>
                <w:bCs/>
                <w:color w:val="auto"/>
                <w:sz w:val="21"/>
                <w:szCs w:val="21"/>
                <w:highlight w:val="none"/>
                <w:lang w:val="en-US" w:eastAsia="zh-CN"/>
              </w:rPr>
              <w:t>分。</w:t>
            </w:r>
          </w:p>
        </w:tc>
      </w:tr>
      <w:tr w14:paraId="40FD9D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2336" w:hRule="atLeast"/>
          <w:jc w:val="center"/>
        </w:trPr>
        <w:tc>
          <w:tcPr>
            <w:tcW w:w="841" w:type="dxa"/>
            <w:vMerge w:val="continue"/>
            <w:tcBorders>
              <w:tl2br w:val="nil"/>
              <w:tr2bl w:val="nil"/>
            </w:tcBorders>
            <w:vAlign w:val="center"/>
          </w:tcPr>
          <w:p w14:paraId="2D777FBA">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330" w:type="dxa"/>
            <w:gridSpan w:val="2"/>
            <w:vMerge w:val="continue"/>
            <w:tcBorders>
              <w:tl2br w:val="nil"/>
              <w:tr2bl w:val="nil"/>
            </w:tcBorders>
            <w:vAlign w:val="center"/>
          </w:tcPr>
          <w:p w14:paraId="73D79545">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22" w:type="dxa"/>
            <w:gridSpan w:val="2"/>
            <w:vMerge w:val="continue"/>
            <w:tcBorders>
              <w:tl2br w:val="nil"/>
              <w:tr2bl w:val="nil"/>
            </w:tcBorders>
            <w:vAlign w:val="center"/>
          </w:tcPr>
          <w:p w14:paraId="0A8FB2F9">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p>
        </w:tc>
        <w:tc>
          <w:tcPr>
            <w:tcW w:w="1437" w:type="dxa"/>
            <w:tcBorders>
              <w:tl2br w:val="nil"/>
              <w:tr2bl w:val="nil"/>
            </w:tcBorders>
            <w:vAlign w:val="center"/>
          </w:tcPr>
          <w:p w14:paraId="6C5B4D1B">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招标项目征拆补偿评估复核服务的特点、关键技术问题的认识及其对策措施</w:t>
            </w:r>
          </w:p>
        </w:tc>
        <w:tc>
          <w:tcPr>
            <w:tcW w:w="800" w:type="dxa"/>
            <w:tcBorders>
              <w:tl2br w:val="nil"/>
              <w:tr2bl w:val="nil"/>
            </w:tcBorders>
            <w:vAlign w:val="center"/>
          </w:tcPr>
          <w:p w14:paraId="3E178138">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w:t>
            </w:r>
            <w:r>
              <w:rPr>
                <w:rFonts w:hint="default" w:ascii="Times New Roman" w:hAnsi="Times New Roman" w:eastAsia="宋体" w:cs="Times New Roman"/>
                <w:b w:val="0"/>
                <w:bCs/>
                <w:color w:val="auto"/>
                <w:sz w:val="21"/>
                <w:szCs w:val="21"/>
                <w:highlight w:val="none"/>
                <w:lang w:val="en-US" w:eastAsia="zh-CN"/>
              </w:rPr>
              <w:t>分</w:t>
            </w:r>
          </w:p>
        </w:tc>
        <w:tc>
          <w:tcPr>
            <w:tcW w:w="4709" w:type="dxa"/>
            <w:tcBorders>
              <w:tl2br w:val="nil"/>
              <w:tr2bl w:val="nil"/>
            </w:tcBorders>
            <w:vAlign w:val="center"/>
          </w:tcPr>
          <w:p w14:paraId="5D991B59">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基本分为</w:t>
            </w:r>
            <w:r>
              <w:rPr>
                <w:rFonts w:hint="default" w:ascii="Times New Roman" w:hAnsi="Times New Roman" w:cs="Times New Roman"/>
                <w:b w:val="0"/>
                <w:bCs/>
                <w:color w:val="auto"/>
                <w:sz w:val="21"/>
                <w:szCs w:val="21"/>
                <w:highlight w:val="none"/>
                <w:lang w:val="en-US" w:eastAsia="zh-CN"/>
              </w:rPr>
              <w:t>6</w:t>
            </w:r>
            <w:r>
              <w:rPr>
                <w:rFonts w:hint="default" w:ascii="Times New Roman" w:hAnsi="Times New Roman" w:eastAsia="宋体" w:cs="Times New Roman"/>
                <w:b w:val="0"/>
                <w:bCs/>
                <w:color w:val="auto"/>
                <w:sz w:val="21"/>
                <w:szCs w:val="21"/>
                <w:highlight w:val="none"/>
                <w:lang w:val="en-US" w:eastAsia="zh-CN"/>
              </w:rPr>
              <w:t>分，满分</w:t>
            </w:r>
            <w:r>
              <w:rPr>
                <w:rFonts w:hint="default" w:ascii="Times New Roman" w:hAnsi="Times New Roman" w:cs="Times New Roman"/>
                <w:b w:val="0"/>
                <w:bCs/>
                <w:color w:val="auto"/>
                <w:sz w:val="21"/>
                <w:szCs w:val="21"/>
                <w:highlight w:val="none"/>
                <w:lang w:val="en-US" w:eastAsia="zh-CN"/>
              </w:rPr>
              <w:t>10</w:t>
            </w:r>
            <w:r>
              <w:rPr>
                <w:rFonts w:hint="default" w:ascii="Times New Roman" w:hAnsi="Times New Roman" w:eastAsia="宋体" w:cs="Times New Roman"/>
                <w:b w:val="0"/>
                <w:bCs/>
                <w:color w:val="auto"/>
                <w:sz w:val="21"/>
                <w:szCs w:val="21"/>
                <w:highlight w:val="none"/>
                <w:lang w:val="en-US" w:eastAsia="zh-CN"/>
              </w:rPr>
              <w:t>分。</w:t>
            </w:r>
          </w:p>
          <w:p w14:paraId="1ACD0771">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对招标项目的特点、关键技术问题的认识及其对策措施明晰、清楚，合理可行，最高加</w:t>
            </w:r>
            <w:r>
              <w:rPr>
                <w:rFonts w:hint="default" w:ascii="Times New Roman" w:hAnsi="Times New Roman" w:cs="Times New Roman"/>
                <w:b w:val="0"/>
                <w:bCs/>
                <w:color w:val="auto"/>
                <w:sz w:val="21"/>
                <w:szCs w:val="21"/>
                <w:highlight w:val="none"/>
                <w:lang w:val="en-US" w:eastAsia="zh-CN"/>
              </w:rPr>
              <w:t>4</w:t>
            </w:r>
            <w:r>
              <w:rPr>
                <w:rFonts w:hint="default" w:ascii="Times New Roman" w:hAnsi="Times New Roman" w:eastAsia="宋体" w:cs="Times New Roman"/>
                <w:b w:val="0"/>
                <w:bCs/>
                <w:color w:val="auto"/>
                <w:sz w:val="21"/>
                <w:szCs w:val="21"/>
                <w:highlight w:val="none"/>
                <w:lang w:val="en-US" w:eastAsia="zh-CN"/>
              </w:rPr>
              <w:t>分。</w:t>
            </w:r>
          </w:p>
        </w:tc>
      </w:tr>
      <w:tr w14:paraId="3FFF73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1066" w:hRule="atLeast"/>
          <w:jc w:val="center"/>
        </w:trPr>
        <w:tc>
          <w:tcPr>
            <w:tcW w:w="841" w:type="dxa"/>
            <w:vMerge w:val="continue"/>
            <w:tcBorders>
              <w:tl2br w:val="nil"/>
              <w:tr2bl w:val="nil"/>
            </w:tcBorders>
            <w:vAlign w:val="center"/>
          </w:tcPr>
          <w:p w14:paraId="643CE1A1">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330" w:type="dxa"/>
            <w:gridSpan w:val="2"/>
            <w:vMerge w:val="continue"/>
            <w:tcBorders>
              <w:tl2br w:val="nil"/>
              <w:tr2bl w:val="nil"/>
            </w:tcBorders>
            <w:vAlign w:val="center"/>
          </w:tcPr>
          <w:p w14:paraId="496D2A5E">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22" w:type="dxa"/>
            <w:gridSpan w:val="2"/>
            <w:vMerge w:val="continue"/>
            <w:tcBorders>
              <w:tl2br w:val="nil"/>
              <w:tr2bl w:val="nil"/>
            </w:tcBorders>
            <w:vAlign w:val="center"/>
          </w:tcPr>
          <w:p w14:paraId="3E1FCFE6">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437" w:type="dxa"/>
            <w:tcBorders>
              <w:tl2br w:val="nil"/>
              <w:tr2bl w:val="nil"/>
            </w:tcBorders>
            <w:vAlign w:val="center"/>
          </w:tcPr>
          <w:p w14:paraId="272EB23B">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征拆补偿评估复核服务工作量及计划安排</w:t>
            </w:r>
          </w:p>
        </w:tc>
        <w:tc>
          <w:tcPr>
            <w:tcW w:w="800" w:type="dxa"/>
            <w:tcBorders>
              <w:tl2br w:val="nil"/>
              <w:tr2bl w:val="nil"/>
            </w:tcBorders>
            <w:vAlign w:val="center"/>
          </w:tcPr>
          <w:p w14:paraId="5453FC7A">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w:t>
            </w:r>
            <w:r>
              <w:rPr>
                <w:rFonts w:hint="default" w:ascii="Times New Roman" w:hAnsi="Times New Roman" w:eastAsia="宋体" w:cs="Times New Roman"/>
                <w:b w:val="0"/>
                <w:bCs/>
                <w:color w:val="auto"/>
                <w:sz w:val="21"/>
                <w:szCs w:val="21"/>
                <w:highlight w:val="none"/>
                <w:lang w:val="en-US" w:eastAsia="zh-CN"/>
              </w:rPr>
              <w:t>分</w:t>
            </w:r>
          </w:p>
        </w:tc>
        <w:tc>
          <w:tcPr>
            <w:tcW w:w="4709" w:type="dxa"/>
            <w:tcBorders>
              <w:tl2br w:val="nil"/>
              <w:tr2bl w:val="nil"/>
            </w:tcBorders>
            <w:vAlign w:val="center"/>
          </w:tcPr>
          <w:p w14:paraId="6660DBAD">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基本分为</w:t>
            </w:r>
            <w:r>
              <w:rPr>
                <w:rFonts w:hint="default" w:ascii="Times New Roman" w:hAnsi="Times New Roman" w:cs="Times New Roman"/>
                <w:b w:val="0"/>
                <w:bCs/>
                <w:color w:val="auto"/>
                <w:sz w:val="21"/>
                <w:szCs w:val="21"/>
                <w:highlight w:val="none"/>
                <w:lang w:val="en-US" w:eastAsia="zh-CN"/>
              </w:rPr>
              <w:t>6</w:t>
            </w:r>
            <w:r>
              <w:rPr>
                <w:rFonts w:hint="default" w:ascii="Times New Roman" w:hAnsi="Times New Roman" w:eastAsia="宋体" w:cs="Times New Roman"/>
                <w:b w:val="0"/>
                <w:bCs/>
                <w:color w:val="auto"/>
                <w:sz w:val="21"/>
                <w:szCs w:val="21"/>
                <w:highlight w:val="none"/>
                <w:lang w:val="en-US" w:eastAsia="zh-CN"/>
              </w:rPr>
              <w:t>分，满分</w:t>
            </w:r>
            <w:r>
              <w:rPr>
                <w:rFonts w:hint="default" w:ascii="Times New Roman" w:hAnsi="Times New Roman" w:cs="Times New Roman"/>
                <w:b w:val="0"/>
                <w:bCs/>
                <w:color w:val="auto"/>
                <w:sz w:val="21"/>
                <w:szCs w:val="21"/>
                <w:highlight w:val="none"/>
                <w:lang w:val="en-US" w:eastAsia="zh-CN"/>
              </w:rPr>
              <w:t>10</w:t>
            </w:r>
            <w:r>
              <w:rPr>
                <w:rFonts w:hint="default" w:ascii="Times New Roman" w:hAnsi="Times New Roman" w:eastAsia="宋体" w:cs="Times New Roman"/>
                <w:b w:val="0"/>
                <w:bCs/>
                <w:color w:val="auto"/>
                <w:sz w:val="21"/>
                <w:szCs w:val="21"/>
                <w:highlight w:val="none"/>
                <w:lang w:val="en-US" w:eastAsia="zh-CN"/>
              </w:rPr>
              <w:t>分。</w:t>
            </w:r>
          </w:p>
          <w:p w14:paraId="0A761942">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专项评估复核</w:t>
            </w:r>
            <w:r>
              <w:rPr>
                <w:rFonts w:hint="default" w:ascii="Times New Roman" w:hAnsi="Times New Roman" w:eastAsia="宋体" w:cs="Times New Roman"/>
                <w:b w:val="0"/>
                <w:bCs/>
                <w:color w:val="auto"/>
                <w:sz w:val="21"/>
                <w:szCs w:val="21"/>
                <w:highlight w:val="none"/>
                <w:lang w:val="en-US" w:eastAsia="zh-CN"/>
              </w:rPr>
              <w:t>服务工作内容完整、合理，计划安排合理、详尽并满足招标文件要求，最高加</w:t>
            </w:r>
            <w:r>
              <w:rPr>
                <w:rFonts w:hint="eastAsia" w:cs="Times New Roman"/>
                <w:b w:val="0"/>
                <w:bCs/>
                <w:color w:val="auto"/>
                <w:sz w:val="21"/>
                <w:szCs w:val="21"/>
                <w:highlight w:val="none"/>
                <w:lang w:val="en-US" w:eastAsia="zh-CN"/>
              </w:rPr>
              <w:t>4</w:t>
            </w:r>
            <w:r>
              <w:rPr>
                <w:rFonts w:hint="default" w:ascii="Times New Roman" w:hAnsi="Times New Roman" w:eastAsia="宋体" w:cs="Times New Roman"/>
                <w:b w:val="0"/>
                <w:bCs/>
                <w:color w:val="auto"/>
                <w:sz w:val="21"/>
                <w:szCs w:val="21"/>
                <w:highlight w:val="none"/>
                <w:lang w:val="en-US" w:eastAsia="zh-CN"/>
              </w:rPr>
              <w:t>分。</w:t>
            </w:r>
          </w:p>
        </w:tc>
      </w:tr>
      <w:tr w14:paraId="513D21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784" w:hRule="atLeast"/>
          <w:jc w:val="center"/>
        </w:trPr>
        <w:tc>
          <w:tcPr>
            <w:tcW w:w="841" w:type="dxa"/>
            <w:vMerge w:val="continue"/>
            <w:tcBorders>
              <w:tl2br w:val="nil"/>
              <w:tr2bl w:val="nil"/>
            </w:tcBorders>
            <w:vAlign w:val="center"/>
          </w:tcPr>
          <w:p w14:paraId="59CFFF0A">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330" w:type="dxa"/>
            <w:gridSpan w:val="2"/>
            <w:vMerge w:val="continue"/>
            <w:tcBorders>
              <w:tl2br w:val="nil"/>
              <w:tr2bl w:val="nil"/>
            </w:tcBorders>
            <w:vAlign w:val="center"/>
          </w:tcPr>
          <w:p w14:paraId="0A088FD0">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22" w:type="dxa"/>
            <w:gridSpan w:val="2"/>
            <w:vMerge w:val="continue"/>
            <w:tcBorders>
              <w:tl2br w:val="nil"/>
              <w:tr2bl w:val="nil"/>
            </w:tcBorders>
            <w:vAlign w:val="center"/>
          </w:tcPr>
          <w:p w14:paraId="782EB44B">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437" w:type="dxa"/>
            <w:tcBorders>
              <w:tl2br w:val="nil"/>
              <w:tr2bl w:val="nil"/>
            </w:tcBorders>
            <w:vAlign w:val="center"/>
          </w:tcPr>
          <w:p w14:paraId="0A9B4E73">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质量保证措施及后续服务的安排及保证措施</w:t>
            </w:r>
          </w:p>
        </w:tc>
        <w:tc>
          <w:tcPr>
            <w:tcW w:w="800" w:type="dxa"/>
            <w:tcBorders>
              <w:tl2br w:val="nil"/>
              <w:tr2bl w:val="nil"/>
            </w:tcBorders>
            <w:vAlign w:val="center"/>
          </w:tcPr>
          <w:p w14:paraId="55487D96">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5</w:t>
            </w:r>
            <w:r>
              <w:rPr>
                <w:rFonts w:hint="default" w:ascii="Times New Roman" w:hAnsi="Times New Roman" w:eastAsia="宋体" w:cs="Times New Roman"/>
                <w:b w:val="0"/>
                <w:bCs/>
                <w:color w:val="auto"/>
                <w:sz w:val="21"/>
                <w:szCs w:val="21"/>
                <w:highlight w:val="none"/>
                <w:lang w:val="en-US" w:eastAsia="zh-CN"/>
              </w:rPr>
              <w:t>分</w:t>
            </w:r>
          </w:p>
        </w:tc>
        <w:tc>
          <w:tcPr>
            <w:tcW w:w="4709" w:type="dxa"/>
            <w:tcBorders>
              <w:tl2br w:val="nil"/>
              <w:tr2bl w:val="nil"/>
            </w:tcBorders>
            <w:vAlign w:val="center"/>
          </w:tcPr>
          <w:p w14:paraId="1E05CCF4">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基本分为</w:t>
            </w:r>
            <w:r>
              <w:rPr>
                <w:rFonts w:hint="default" w:ascii="Times New Roman" w:hAnsi="Times New Roman" w:cs="Times New Roman"/>
                <w:b w:val="0"/>
                <w:bCs/>
                <w:color w:val="auto"/>
                <w:sz w:val="21"/>
                <w:szCs w:val="21"/>
                <w:highlight w:val="none"/>
                <w:lang w:val="en-US" w:eastAsia="zh-CN"/>
              </w:rPr>
              <w:t>3</w:t>
            </w:r>
            <w:r>
              <w:rPr>
                <w:rFonts w:hint="default" w:ascii="Times New Roman" w:hAnsi="Times New Roman" w:eastAsia="宋体" w:cs="Times New Roman"/>
                <w:b w:val="0"/>
                <w:bCs/>
                <w:color w:val="auto"/>
                <w:sz w:val="21"/>
                <w:szCs w:val="21"/>
                <w:highlight w:val="none"/>
                <w:lang w:val="en-US" w:eastAsia="zh-CN"/>
              </w:rPr>
              <w:t>分，满分</w:t>
            </w:r>
            <w:r>
              <w:rPr>
                <w:rFonts w:hint="default" w:ascii="Times New Roman" w:hAnsi="Times New Roman" w:cs="Times New Roman"/>
                <w:b w:val="0"/>
                <w:bCs/>
                <w:color w:val="auto"/>
                <w:sz w:val="21"/>
                <w:szCs w:val="21"/>
                <w:highlight w:val="none"/>
                <w:lang w:val="en-US" w:eastAsia="zh-CN"/>
              </w:rPr>
              <w:t>5</w:t>
            </w:r>
            <w:r>
              <w:rPr>
                <w:rFonts w:hint="default" w:ascii="Times New Roman" w:hAnsi="Times New Roman" w:eastAsia="宋体" w:cs="Times New Roman"/>
                <w:b w:val="0"/>
                <w:bCs/>
                <w:color w:val="auto"/>
                <w:sz w:val="21"/>
                <w:szCs w:val="21"/>
                <w:highlight w:val="none"/>
                <w:lang w:val="en-US" w:eastAsia="zh-CN"/>
              </w:rPr>
              <w:t>分。</w:t>
            </w:r>
          </w:p>
          <w:p w14:paraId="5155D56B">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专项评估复核</w:t>
            </w:r>
            <w:r>
              <w:rPr>
                <w:rFonts w:hint="default" w:ascii="Times New Roman" w:hAnsi="Times New Roman" w:eastAsia="宋体" w:cs="Times New Roman"/>
                <w:b w:val="0"/>
                <w:bCs/>
                <w:color w:val="auto"/>
                <w:sz w:val="21"/>
                <w:szCs w:val="21"/>
                <w:highlight w:val="none"/>
                <w:lang w:val="en-US" w:eastAsia="zh-CN"/>
              </w:rPr>
              <w:t>服务质量保证措施具体、合理</w:t>
            </w:r>
            <w:r>
              <w:rPr>
                <w:rFonts w:hint="default" w:ascii="Times New Roman" w:hAns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后续服务安排及保证措施合理、可行，最高加</w:t>
            </w:r>
            <w:r>
              <w:rPr>
                <w:rFonts w:hint="eastAsia" w:cs="Times New Roman"/>
                <w:b w:val="0"/>
                <w:bCs/>
                <w:color w:val="auto"/>
                <w:sz w:val="21"/>
                <w:szCs w:val="21"/>
                <w:highlight w:val="none"/>
                <w:lang w:val="en-US" w:eastAsia="zh-CN"/>
              </w:rPr>
              <w:t>2</w:t>
            </w:r>
            <w:r>
              <w:rPr>
                <w:rFonts w:hint="default" w:ascii="Times New Roman" w:hAnsi="Times New Roman" w:eastAsia="宋体" w:cs="Times New Roman"/>
                <w:b w:val="0"/>
                <w:bCs/>
                <w:color w:val="auto"/>
                <w:sz w:val="21"/>
                <w:szCs w:val="21"/>
                <w:highlight w:val="none"/>
                <w:lang w:val="en-US" w:eastAsia="zh-CN"/>
              </w:rPr>
              <w:t>分</w:t>
            </w:r>
            <w:r>
              <w:rPr>
                <w:rFonts w:hint="default" w:ascii="Times New Roman" w:hAnsi="Times New Roman" w:cs="Times New Roman"/>
                <w:b w:val="0"/>
                <w:bCs/>
                <w:color w:val="auto"/>
                <w:sz w:val="21"/>
                <w:szCs w:val="21"/>
                <w:highlight w:val="none"/>
                <w:lang w:val="en-US" w:eastAsia="zh-CN"/>
              </w:rPr>
              <w:t>。</w:t>
            </w:r>
          </w:p>
        </w:tc>
      </w:tr>
      <w:tr w14:paraId="2927DD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5305" w:hRule="atLeast"/>
          <w:jc w:val="center"/>
        </w:trPr>
        <w:tc>
          <w:tcPr>
            <w:tcW w:w="841" w:type="dxa"/>
            <w:tcBorders>
              <w:tl2br w:val="nil"/>
              <w:tr2bl w:val="nil"/>
            </w:tcBorders>
            <w:vAlign w:val="center"/>
          </w:tcPr>
          <w:p w14:paraId="0244E2D2">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2.2.4（2）</w:t>
            </w:r>
          </w:p>
        </w:tc>
        <w:tc>
          <w:tcPr>
            <w:tcW w:w="1330" w:type="dxa"/>
            <w:gridSpan w:val="2"/>
            <w:tcBorders>
              <w:tl2br w:val="nil"/>
              <w:tr2bl w:val="nil"/>
            </w:tcBorders>
            <w:vAlign w:val="center"/>
          </w:tcPr>
          <w:p w14:paraId="30BB445D">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主要人员</w:t>
            </w:r>
          </w:p>
        </w:tc>
        <w:tc>
          <w:tcPr>
            <w:tcW w:w="722" w:type="dxa"/>
            <w:gridSpan w:val="2"/>
            <w:tcBorders>
              <w:tl2br w:val="nil"/>
              <w:tr2bl w:val="nil"/>
            </w:tcBorders>
            <w:vAlign w:val="center"/>
          </w:tcPr>
          <w:p w14:paraId="69CCC28C">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25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分</w:t>
            </w:r>
          </w:p>
        </w:tc>
        <w:tc>
          <w:tcPr>
            <w:tcW w:w="1437" w:type="dxa"/>
            <w:tcBorders>
              <w:tl2br w:val="nil"/>
              <w:tr2bl w:val="nil"/>
            </w:tcBorders>
            <w:vAlign w:val="center"/>
          </w:tcPr>
          <w:p w14:paraId="6D24E524">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主要人员</w:t>
            </w:r>
            <w:r>
              <w:rPr>
                <w:rFonts w:hint="default" w:ascii="Times New Roman" w:hAnsi="Times New Roman" w:eastAsia="宋体" w:cs="Times New Roman"/>
                <w:b w:val="0"/>
                <w:bCs/>
                <w:color w:val="auto"/>
                <w:sz w:val="21"/>
                <w:szCs w:val="21"/>
                <w:highlight w:val="none"/>
                <w:lang w:val="en-US" w:eastAsia="zh-CN"/>
              </w:rPr>
              <w:t>任职资格与业绩</w:t>
            </w:r>
          </w:p>
        </w:tc>
        <w:tc>
          <w:tcPr>
            <w:tcW w:w="800" w:type="dxa"/>
            <w:tcBorders>
              <w:tl2br w:val="nil"/>
              <w:tr2bl w:val="nil"/>
            </w:tcBorders>
            <w:vAlign w:val="center"/>
          </w:tcPr>
          <w:p w14:paraId="6E06A96D">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25</w:t>
            </w:r>
            <w:r>
              <w:rPr>
                <w:rFonts w:hint="default" w:ascii="Times New Roman" w:hAnsi="Times New Roman" w:eastAsia="宋体" w:cs="Times New Roman"/>
                <w:b w:val="0"/>
                <w:bCs/>
                <w:color w:val="auto"/>
                <w:sz w:val="21"/>
                <w:szCs w:val="21"/>
                <w:highlight w:val="none"/>
                <w:lang w:val="en-US" w:eastAsia="zh-CN"/>
              </w:rPr>
              <w:t>分</w:t>
            </w:r>
          </w:p>
        </w:tc>
        <w:tc>
          <w:tcPr>
            <w:tcW w:w="4709" w:type="dxa"/>
            <w:tcBorders>
              <w:tl2br w:val="nil"/>
              <w:tr2bl w:val="nil"/>
            </w:tcBorders>
            <w:vAlign w:val="center"/>
          </w:tcPr>
          <w:p w14:paraId="32B72DF1">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满足资格审查条件（</w:t>
            </w:r>
            <w:r>
              <w:rPr>
                <w:rFonts w:hint="default" w:ascii="Times New Roman" w:hAnsi="Times New Roman" w:cs="Times New Roman"/>
                <w:b w:val="0"/>
                <w:bCs/>
                <w:color w:val="auto"/>
                <w:sz w:val="21"/>
                <w:szCs w:val="21"/>
                <w:highlight w:val="none"/>
                <w:lang w:val="en-US" w:eastAsia="zh-CN"/>
              </w:rPr>
              <w:t>主要人员</w:t>
            </w:r>
            <w:r>
              <w:rPr>
                <w:rFonts w:hint="default" w:ascii="Times New Roman" w:hAnsi="Times New Roman" w:eastAsia="宋体" w:cs="Times New Roman"/>
                <w:b w:val="0"/>
                <w:bCs/>
                <w:color w:val="auto"/>
                <w:sz w:val="21"/>
                <w:szCs w:val="21"/>
                <w:highlight w:val="none"/>
                <w:lang w:val="en-US" w:eastAsia="zh-CN"/>
              </w:rPr>
              <w:t>最低要求）得</w:t>
            </w:r>
            <w:r>
              <w:rPr>
                <w:rFonts w:hint="eastAsia" w:cs="Times New Roman"/>
                <w:b w:val="0"/>
                <w:bCs/>
                <w:color w:val="auto"/>
                <w:sz w:val="21"/>
                <w:szCs w:val="21"/>
                <w:highlight w:val="none"/>
                <w:lang w:val="en-US" w:eastAsia="zh-CN"/>
              </w:rPr>
              <w:t>15</w:t>
            </w:r>
            <w:r>
              <w:rPr>
                <w:rFonts w:hint="default" w:ascii="Times New Roman" w:hAnsi="Times New Roman" w:eastAsia="宋体" w:cs="Times New Roman"/>
                <w:b w:val="0"/>
                <w:bCs/>
                <w:color w:val="auto"/>
                <w:sz w:val="21"/>
                <w:szCs w:val="21"/>
                <w:highlight w:val="none"/>
                <w:lang w:val="en-US" w:eastAsia="zh-CN"/>
              </w:rPr>
              <w:t>分；</w:t>
            </w:r>
          </w:p>
          <w:p w14:paraId="4BC5C235">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在此基础上</w:t>
            </w:r>
            <w:r>
              <w:rPr>
                <w:rFonts w:hint="default" w:ascii="Times New Roman" w:hAnsi="Times New Roman" w:cs="Times New Roman"/>
                <w:b w:val="0"/>
                <w:bCs/>
                <w:color w:val="auto"/>
                <w:sz w:val="21"/>
                <w:szCs w:val="21"/>
                <w:highlight w:val="none"/>
                <w:lang w:val="en-US" w:eastAsia="zh-CN"/>
              </w:rPr>
              <w:t>：</w:t>
            </w:r>
          </w:p>
          <w:p w14:paraId="463FBB1C">
            <w:pPr>
              <w:keepNext w:val="0"/>
              <w:keepLines w:val="0"/>
              <w:pageBreakBefore w:val="0"/>
              <w:widowControl w:val="0"/>
              <w:numPr>
                <w:ilvl w:val="0"/>
                <w:numId w:val="0"/>
              </w:numPr>
              <w:kinsoku/>
              <w:wordWrap/>
              <w:overflowPunct/>
              <w:topLinePunct w:val="0"/>
              <w:autoSpaceDN/>
              <w:bidi w:val="0"/>
              <w:snapToGrid w:val="0"/>
              <w:spacing w:line="360" w:lineRule="auto"/>
              <w:jc w:val="both"/>
              <w:rPr>
                <w:rFonts w:hint="default" w:ascii="Times New Roman" w:hAnsi="Times New Roman" w:cs="Times New Roman"/>
                <w:b w:val="0"/>
                <w:bCs/>
                <w:color w:val="auto"/>
                <w:sz w:val="21"/>
                <w:szCs w:val="21"/>
                <w:highlight w:val="none"/>
                <w:lang w:val="en-US" w:eastAsia="zh-CN"/>
              </w:rPr>
            </w:pPr>
            <w:r>
              <w:rPr>
                <w:rFonts w:hint="default" w:ascii="Times New Roman" w:hAnsi="Times New Roman" w:eastAsia="宋体" w:cs="Times New Roman"/>
                <w:b w:val="0"/>
                <w:bCs/>
                <w:color w:val="auto"/>
                <w:kern w:val="2"/>
                <w:sz w:val="21"/>
                <w:szCs w:val="21"/>
                <w:lang w:val="en-US" w:eastAsia="zh-CN" w:bidi="ar-SA"/>
              </w:rPr>
              <w:t>1</w:t>
            </w:r>
            <w:r>
              <w:rPr>
                <w:rFonts w:hint="eastAsia" w:cs="Times New Roman"/>
                <w:b w:val="0"/>
                <w:bCs/>
                <w:color w:val="auto"/>
                <w:kern w:val="2"/>
                <w:sz w:val="21"/>
                <w:szCs w:val="21"/>
                <w:lang w:val="en-US" w:eastAsia="zh-CN" w:bidi="ar-SA"/>
              </w:rPr>
              <w:t>.</w:t>
            </w:r>
            <w:r>
              <w:rPr>
                <w:rFonts w:hint="default" w:ascii="Times New Roman" w:hAnsi="Times New Roman" w:cs="Times New Roman"/>
                <w:b w:val="0"/>
                <w:bCs/>
                <w:color w:val="auto"/>
                <w:sz w:val="21"/>
                <w:szCs w:val="21"/>
                <w:highlight w:val="none"/>
                <w:lang w:val="en-US" w:eastAsia="zh-CN"/>
              </w:rPr>
              <w:t>项目负责人</w:t>
            </w:r>
          </w:p>
          <w:p w14:paraId="6D01A42A">
            <w:pPr>
              <w:keepNext w:val="0"/>
              <w:keepLines w:val="0"/>
              <w:pageBreakBefore w:val="0"/>
              <w:widowControl w:val="0"/>
              <w:numPr>
                <w:ilvl w:val="0"/>
                <w:numId w:val="0"/>
              </w:numPr>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作为项目负责人或资产评估负责人或房地产估价负责人近五年内（</w:t>
            </w:r>
            <w:r>
              <w:rPr>
                <w:rFonts w:hint="eastAsia" w:cs="Times New Roman"/>
                <w:b w:val="0"/>
                <w:bCs/>
                <w:color w:val="auto"/>
                <w:sz w:val="21"/>
                <w:szCs w:val="21"/>
                <w:highlight w:val="none"/>
                <w:lang w:val="en-US" w:eastAsia="zh-CN"/>
              </w:rPr>
              <w:t>2021年5月</w:t>
            </w:r>
            <w:r>
              <w:rPr>
                <w:rFonts w:hint="default" w:ascii="Times New Roman" w:hAnsi="Times New Roman" w:eastAsia="宋体" w:cs="Times New Roman"/>
                <w:b w:val="0"/>
                <w:bCs/>
                <w:color w:val="auto"/>
                <w:sz w:val="21"/>
                <w:szCs w:val="21"/>
                <w:highlight w:val="none"/>
                <w:lang w:val="en-US" w:eastAsia="zh-CN"/>
              </w:rPr>
              <w:t>1日至投标文件递交截止日，以成果文件出具时间为准）每</w:t>
            </w:r>
            <w:r>
              <w:rPr>
                <w:rFonts w:hint="eastAsia" w:cs="Times New Roman"/>
                <w:b w:val="0"/>
                <w:bCs/>
                <w:color w:val="auto"/>
                <w:sz w:val="21"/>
                <w:szCs w:val="21"/>
                <w:highlight w:val="none"/>
                <w:lang w:val="en-US" w:eastAsia="zh-CN"/>
              </w:rPr>
              <w:t>增加</w:t>
            </w:r>
            <w:r>
              <w:rPr>
                <w:rFonts w:hint="default" w:ascii="Times New Roman" w:hAnsi="Times New Roman" w:eastAsia="宋体" w:cs="Times New Roman"/>
                <w:b w:val="0"/>
                <w:bCs/>
                <w:color w:val="auto"/>
                <w:sz w:val="21"/>
                <w:szCs w:val="21"/>
                <w:highlight w:val="none"/>
                <w:lang w:val="en-US" w:eastAsia="zh-CN"/>
              </w:rPr>
              <w:t>1项线性工程（公路或铁路</w:t>
            </w:r>
            <w:r>
              <w:rPr>
                <w:rFonts w:hint="eastAsia" w:cs="Times New Roman"/>
                <w:b w:val="0"/>
                <w:bCs/>
                <w:color w:val="auto"/>
                <w:sz w:val="21"/>
                <w:szCs w:val="21"/>
                <w:highlight w:val="none"/>
                <w:lang w:val="en-US" w:eastAsia="zh-CN"/>
              </w:rPr>
              <w:t>或市政道路</w:t>
            </w:r>
            <w:r>
              <w:rPr>
                <w:rFonts w:hint="default" w:ascii="Times New Roman" w:hAnsi="Times New Roman" w:eastAsia="宋体" w:cs="Times New Roman"/>
                <w:b w:val="0"/>
                <w:bCs/>
                <w:color w:val="auto"/>
                <w:sz w:val="21"/>
                <w:szCs w:val="21"/>
                <w:highlight w:val="none"/>
                <w:lang w:val="en-US" w:eastAsia="zh-CN"/>
              </w:rPr>
              <w:t>）征地拆迁评估服务项目业绩加</w:t>
            </w:r>
            <w:r>
              <w:rPr>
                <w:rFonts w:hint="eastAsia" w:cs="Times New Roman"/>
                <w:b w:val="0"/>
                <w:bCs/>
                <w:color w:val="auto"/>
                <w:sz w:val="21"/>
                <w:szCs w:val="21"/>
                <w:highlight w:val="none"/>
                <w:lang w:val="en-US" w:eastAsia="zh-CN"/>
              </w:rPr>
              <w:t>1.5</w:t>
            </w:r>
            <w:r>
              <w:rPr>
                <w:rFonts w:hint="default" w:ascii="Times New Roman" w:hAnsi="Times New Roman" w:eastAsia="宋体" w:cs="Times New Roman"/>
                <w:b w:val="0"/>
                <w:bCs/>
                <w:color w:val="auto"/>
                <w:sz w:val="21"/>
                <w:szCs w:val="21"/>
                <w:highlight w:val="none"/>
                <w:lang w:val="en-US" w:eastAsia="zh-CN"/>
              </w:rPr>
              <w:t>分，最高加</w:t>
            </w:r>
            <w:r>
              <w:rPr>
                <w:rFonts w:hint="eastAsia" w:cs="Times New Roman"/>
                <w:b w:val="0"/>
                <w:bCs/>
                <w:color w:val="auto"/>
                <w:sz w:val="21"/>
                <w:szCs w:val="21"/>
                <w:highlight w:val="none"/>
                <w:lang w:val="en-US" w:eastAsia="zh-CN"/>
              </w:rPr>
              <w:t>3</w:t>
            </w:r>
            <w:r>
              <w:rPr>
                <w:rFonts w:hint="default" w:ascii="Times New Roman" w:hAnsi="Times New Roman" w:eastAsia="宋体" w:cs="Times New Roman"/>
                <w:b w:val="0"/>
                <w:bCs/>
                <w:color w:val="auto"/>
                <w:sz w:val="21"/>
                <w:szCs w:val="21"/>
                <w:highlight w:val="none"/>
                <w:lang w:val="en-US" w:eastAsia="zh-CN"/>
              </w:rPr>
              <w:t>分。</w:t>
            </w:r>
          </w:p>
          <w:p w14:paraId="4C704F87">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w:t>
            </w:r>
            <w:r>
              <w:rPr>
                <w:rFonts w:hint="eastAsia" w:cs="Times New Roman"/>
                <w:b w:val="0"/>
                <w:bCs/>
                <w:color w:val="auto"/>
                <w:sz w:val="21"/>
                <w:szCs w:val="21"/>
                <w:highlight w:val="none"/>
                <w:lang w:val="en-US" w:eastAsia="zh-CN"/>
              </w:rPr>
              <w:t>.</w:t>
            </w:r>
            <w:r>
              <w:rPr>
                <w:rFonts w:hint="default" w:ascii="Times New Roman" w:hAnsi="Times New Roman" w:cs="Times New Roman"/>
                <w:b w:val="0"/>
                <w:bCs/>
                <w:color w:val="auto"/>
                <w:sz w:val="21"/>
                <w:szCs w:val="21"/>
                <w:highlight w:val="none"/>
                <w:lang w:val="en-US" w:eastAsia="zh-CN"/>
              </w:rPr>
              <w:t>房地产专项评估负责人</w:t>
            </w:r>
          </w:p>
          <w:p w14:paraId="42AB3E8F">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作为房地产评估负责人</w:t>
            </w:r>
            <w:r>
              <w:rPr>
                <w:rFonts w:hint="eastAsia" w:cs="Times New Roman"/>
                <w:b w:val="0"/>
                <w:bCs/>
                <w:color w:val="auto"/>
                <w:sz w:val="21"/>
                <w:szCs w:val="21"/>
                <w:highlight w:val="none"/>
                <w:lang w:val="en-US" w:eastAsia="zh-CN"/>
              </w:rPr>
              <w:t>或负责人</w:t>
            </w:r>
            <w:r>
              <w:rPr>
                <w:rFonts w:hint="default" w:ascii="Times New Roman" w:hAnsi="Times New Roman" w:eastAsia="宋体" w:cs="Times New Roman"/>
                <w:b w:val="0"/>
                <w:bCs/>
                <w:color w:val="auto"/>
                <w:sz w:val="21"/>
                <w:szCs w:val="21"/>
                <w:highlight w:val="none"/>
                <w:lang w:val="en-US" w:eastAsia="zh-CN"/>
              </w:rPr>
              <w:t>近五年内（</w:t>
            </w:r>
            <w:r>
              <w:rPr>
                <w:rFonts w:hint="eastAsia" w:cs="Times New Roman"/>
                <w:b w:val="0"/>
                <w:bCs/>
                <w:color w:val="auto"/>
                <w:sz w:val="21"/>
                <w:szCs w:val="21"/>
                <w:highlight w:val="none"/>
                <w:lang w:val="en-US" w:eastAsia="zh-CN"/>
              </w:rPr>
              <w:t>2021年5月</w:t>
            </w:r>
            <w:r>
              <w:rPr>
                <w:rFonts w:hint="default" w:ascii="Times New Roman" w:hAnsi="Times New Roman" w:eastAsia="宋体" w:cs="Times New Roman"/>
                <w:b w:val="0"/>
                <w:bCs/>
                <w:color w:val="auto"/>
                <w:sz w:val="21"/>
                <w:szCs w:val="21"/>
                <w:highlight w:val="none"/>
                <w:lang w:val="en-US" w:eastAsia="zh-CN"/>
              </w:rPr>
              <w:t>1日至投标文件递交截止日，以成果文件出具时间为准）每</w:t>
            </w:r>
            <w:r>
              <w:rPr>
                <w:rFonts w:hint="eastAsia" w:cs="Times New Roman"/>
                <w:b w:val="0"/>
                <w:bCs/>
                <w:color w:val="auto"/>
                <w:sz w:val="21"/>
                <w:szCs w:val="21"/>
                <w:highlight w:val="none"/>
                <w:lang w:val="en-US" w:eastAsia="zh-CN"/>
              </w:rPr>
              <w:t>增加</w:t>
            </w:r>
            <w:r>
              <w:rPr>
                <w:rFonts w:hint="default" w:ascii="Times New Roman" w:hAnsi="Times New Roman" w:eastAsia="宋体" w:cs="Times New Roman"/>
                <w:b w:val="0"/>
                <w:bCs/>
                <w:color w:val="auto"/>
                <w:sz w:val="21"/>
                <w:szCs w:val="21"/>
                <w:highlight w:val="none"/>
                <w:lang w:val="en-US" w:eastAsia="zh-CN"/>
              </w:rPr>
              <w:t>1项征地拆迁评估服务项目业绩加</w:t>
            </w:r>
            <w:r>
              <w:rPr>
                <w:rFonts w:hint="eastAsia" w:cs="Times New Roman"/>
                <w:b w:val="0"/>
                <w:bCs/>
                <w:color w:val="auto"/>
                <w:sz w:val="21"/>
                <w:szCs w:val="21"/>
                <w:highlight w:val="none"/>
                <w:lang w:val="en-US" w:eastAsia="zh-CN"/>
              </w:rPr>
              <w:t>1.5</w:t>
            </w:r>
            <w:r>
              <w:rPr>
                <w:rFonts w:hint="default" w:ascii="Times New Roman" w:hAnsi="Times New Roman" w:eastAsia="宋体" w:cs="Times New Roman"/>
                <w:b w:val="0"/>
                <w:bCs/>
                <w:color w:val="auto"/>
                <w:sz w:val="21"/>
                <w:szCs w:val="21"/>
                <w:highlight w:val="none"/>
                <w:lang w:val="en-US" w:eastAsia="zh-CN"/>
              </w:rPr>
              <w:t>分，最高加</w:t>
            </w:r>
            <w:r>
              <w:rPr>
                <w:rFonts w:hint="eastAsia" w:cs="Times New Roman"/>
                <w:b w:val="0"/>
                <w:bCs/>
                <w:color w:val="auto"/>
                <w:sz w:val="21"/>
                <w:szCs w:val="21"/>
                <w:highlight w:val="none"/>
                <w:lang w:val="en-US" w:eastAsia="zh-CN"/>
              </w:rPr>
              <w:t>3</w:t>
            </w:r>
            <w:r>
              <w:rPr>
                <w:rFonts w:hint="default" w:ascii="Times New Roman" w:hAnsi="Times New Roman" w:eastAsia="宋体" w:cs="Times New Roman"/>
                <w:b w:val="0"/>
                <w:bCs/>
                <w:color w:val="auto"/>
                <w:sz w:val="21"/>
                <w:szCs w:val="21"/>
                <w:highlight w:val="none"/>
                <w:lang w:val="en-US" w:eastAsia="zh-CN"/>
              </w:rPr>
              <w:t>分。</w:t>
            </w:r>
          </w:p>
          <w:p w14:paraId="09E85CEA">
            <w:pPr>
              <w:keepNext w:val="0"/>
              <w:keepLines w:val="0"/>
              <w:pageBreakBefore w:val="0"/>
              <w:widowControl w:val="0"/>
              <w:kinsoku/>
              <w:wordWrap/>
              <w:overflowPunct/>
              <w:topLinePunct w:val="0"/>
              <w:autoSpaceDN/>
              <w:bidi w:val="0"/>
              <w:snapToGrid w:val="0"/>
              <w:spacing w:line="360" w:lineRule="auto"/>
              <w:jc w:val="both"/>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除项目负责人</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和房地产专项评估负责人外</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，每增加1名</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具有</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资产评估师</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资格证书</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或注册房地产估价师证书且注册单位必须与投标人名称一致</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的服务人员</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加</w:t>
            </w:r>
            <w:r>
              <w:rPr>
                <w:rFonts w:hint="eastAsia" w:cs="Times New Roman"/>
                <w:b w:val="0"/>
                <w:bCs/>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分</w:t>
            </w:r>
            <w:r>
              <w:rPr>
                <w:rFonts w:hint="eastAsia" w:cs="Times New Roman"/>
                <w:b w:val="0"/>
                <w:bCs/>
                <w:color w:val="000000" w:themeColor="text1"/>
                <w:sz w:val="21"/>
                <w:szCs w:val="21"/>
                <w:highlight w:val="none"/>
                <w:lang w:val="en-US" w:eastAsia="zh-CN"/>
                <w14:textFill>
                  <w14:solidFill>
                    <w14:schemeClr w14:val="tx1"/>
                  </w14:solidFill>
                </w14:textFill>
              </w:rPr>
              <w:t>（注：</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同一人员同时具备不同专业不累计加分</w:t>
            </w:r>
            <w:r>
              <w:rPr>
                <w:rFonts w:hint="eastAsia" w:cs="Times New Roman"/>
                <w:b w:val="0"/>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，最高加</w:t>
            </w:r>
            <w:r>
              <w:rPr>
                <w:rFonts w:hint="eastAsia" w:cs="Times New Roman"/>
                <w:b w:val="0"/>
                <w:bCs/>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分。</w:t>
            </w:r>
          </w:p>
        </w:tc>
      </w:tr>
      <w:tr w14:paraId="6D95FE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3451" w:hRule="atLeast"/>
          <w:jc w:val="center"/>
        </w:trPr>
        <w:tc>
          <w:tcPr>
            <w:tcW w:w="841" w:type="dxa"/>
            <w:tcBorders>
              <w:tl2br w:val="nil"/>
              <w:tr2bl w:val="nil"/>
            </w:tcBorders>
            <w:vAlign w:val="center"/>
          </w:tcPr>
          <w:p w14:paraId="6BB2A778">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2.2.4（3）</w:t>
            </w:r>
          </w:p>
        </w:tc>
        <w:tc>
          <w:tcPr>
            <w:tcW w:w="1330" w:type="dxa"/>
            <w:gridSpan w:val="2"/>
            <w:tcBorders>
              <w:tl2br w:val="nil"/>
              <w:tr2bl w:val="nil"/>
            </w:tcBorders>
            <w:vAlign w:val="center"/>
          </w:tcPr>
          <w:p w14:paraId="417A4DE8">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评标价</w:t>
            </w:r>
          </w:p>
        </w:tc>
        <w:tc>
          <w:tcPr>
            <w:tcW w:w="722" w:type="dxa"/>
            <w:gridSpan w:val="2"/>
            <w:tcBorders>
              <w:tl2br w:val="nil"/>
              <w:tr2bl w:val="nil"/>
            </w:tcBorders>
            <w:vAlign w:val="center"/>
          </w:tcPr>
          <w:p w14:paraId="6A8071F9">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10分</w:t>
            </w:r>
          </w:p>
        </w:tc>
        <w:tc>
          <w:tcPr>
            <w:tcW w:w="6946" w:type="dxa"/>
            <w:gridSpan w:val="3"/>
            <w:tcBorders>
              <w:tl2br w:val="nil"/>
              <w:tr2bl w:val="nil"/>
            </w:tcBorders>
            <w:vAlign w:val="center"/>
          </w:tcPr>
          <w:p w14:paraId="078F6DB2">
            <w:pPr>
              <w:keepNext w:val="0"/>
              <w:keepLines w:val="0"/>
              <w:pageBreakBefore w:val="0"/>
              <w:kinsoku/>
              <w:wordWrap/>
              <w:overflowPunct/>
              <w:topLinePunct w:val="0"/>
              <w:bidi w:val="0"/>
              <w:spacing w:line="360" w:lineRule="auto"/>
              <w:jc w:val="left"/>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投标价得分计算公式:</w:t>
            </w:r>
          </w:p>
          <w:p w14:paraId="6BCC9042">
            <w:pPr>
              <w:keepNext w:val="0"/>
              <w:keepLines w:val="0"/>
              <w:pageBreakBefore w:val="0"/>
              <w:kinsoku/>
              <w:wordWrap/>
              <w:overflowPunct/>
              <w:topLinePunct w:val="0"/>
              <w:bidi w:val="0"/>
              <w:spacing w:line="360" w:lineRule="auto"/>
              <w:jc w:val="left"/>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（1）如果投标人的评标价＞评标基准价，则投标价得分=</w:t>
            </w:r>
            <w:r>
              <w:rPr>
                <w:rFonts w:hint="eastAsia" w:ascii="Times New Roman" w:hAnsi="Times New Roman" w:eastAsia="宋体" w:cs="Times New Roman"/>
                <w:b w:val="0"/>
                <w:bCs/>
                <w:color w:val="auto"/>
                <w:sz w:val="21"/>
                <w:szCs w:val="21"/>
                <w:highlight w:val="none"/>
                <w:lang w:val="en-US" w:eastAsia="zh-CN"/>
              </w:rPr>
              <w:t>1</w:t>
            </w:r>
            <w:r>
              <w:rPr>
                <w:rFonts w:hint="default" w:ascii="Times New Roman" w:hAnsi="Times New Roman" w:eastAsia="宋体" w:cs="Times New Roman"/>
                <w:b w:val="0"/>
                <w:bCs/>
                <w:color w:val="auto"/>
                <w:sz w:val="21"/>
                <w:szCs w:val="21"/>
                <w:highlight w:val="none"/>
                <w:lang w:val="en-US" w:eastAsia="zh-CN"/>
              </w:rPr>
              <w:t>0-</w:t>
            </w:r>
            <w:r>
              <w:rPr>
                <w:rFonts w:hint="default" w:ascii="Times New Roman" w:hAnsi="Times New Roman" w:eastAsia="宋体" w:cs="Times New Roman"/>
                <w:b w:val="0"/>
                <w:bCs/>
                <w:caps w:val="0"/>
                <w:smallCaps w:val="0"/>
                <w:color w:val="auto"/>
                <w:spacing w:val="0"/>
                <w:w w:val="100"/>
                <w:position w:val="0"/>
                <w:sz w:val="21"/>
                <w:szCs w:val="21"/>
                <w:highlight w:val="none"/>
                <w:lang w:val="en-US" w:eastAsia="zh-CN"/>
              </w:rPr>
              <w:t>偏差率×</w:t>
            </w:r>
            <w:r>
              <w:rPr>
                <w:rFonts w:hint="default" w:ascii="Times New Roman" w:hAnsi="Times New Roman" w:eastAsia="宋体" w:cs="Times New Roman"/>
                <w:b w:val="0"/>
                <w:bCs/>
                <w:color w:val="auto"/>
                <w:sz w:val="21"/>
                <w:szCs w:val="21"/>
                <w:highlight w:val="none"/>
                <w:lang w:val="en-US" w:eastAsia="zh-CN"/>
              </w:rPr>
              <w:t>100</w:t>
            </w:r>
            <w:r>
              <w:rPr>
                <w:rFonts w:hint="default" w:ascii="Times New Roman" w:hAnsi="Times New Roman" w:eastAsia="宋体" w:cs="Times New Roman"/>
                <w:b w:val="0"/>
                <w:bCs/>
                <w:caps w:val="0"/>
                <w:smallCaps w:val="0"/>
                <w:color w:val="auto"/>
                <w:spacing w:val="0"/>
                <w:w w:val="100"/>
                <w:position w:val="0"/>
                <w:sz w:val="21"/>
                <w:szCs w:val="21"/>
                <w:highlight w:val="none"/>
                <w:lang w:val="en-US" w:eastAsia="zh-CN"/>
              </w:rPr>
              <w:t>×</w:t>
            </w:r>
            <w:r>
              <w:rPr>
                <w:rFonts w:hint="default" w:ascii="Times New Roman" w:hAnsi="Times New Roman" w:eastAsia="宋体" w:cs="Times New Roman"/>
                <w:b w:val="0"/>
                <w:bCs/>
                <w:color w:val="auto"/>
                <w:sz w:val="21"/>
                <w:szCs w:val="21"/>
                <w:highlight w:val="none"/>
                <w:u w:val="none"/>
                <w:vertAlign w:val="baseline"/>
                <w:lang w:val="en-US" w:eastAsia="zh-CN"/>
              </w:rPr>
              <w:t>E</w:t>
            </w:r>
            <w:r>
              <w:rPr>
                <w:rFonts w:hint="default" w:ascii="Times New Roman" w:hAnsi="Times New Roman" w:eastAsia="宋体" w:cs="Times New Roman"/>
                <w:b w:val="0"/>
                <w:bCs/>
                <w:color w:val="auto"/>
                <w:sz w:val="21"/>
                <w:szCs w:val="21"/>
                <w:highlight w:val="none"/>
                <w:u w:val="none"/>
                <w:vertAlign w:val="subscript"/>
                <w:lang w:val="en-US" w:eastAsia="zh-CN"/>
              </w:rPr>
              <w:t>1</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p w14:paraId="219B36CB">
            <w:pPr>
              <w:keepNext w:val="0"/>
              <w:keepLines w:val="0"/>
              <w:pageBreakBefore w:val="0"/>
              <w:kinsoku/>
              <w:wordWrap/>
              <w:overflowPunct/>
              <w:topLinePunct w:val="0"/>
              <w:bidi w:val="0"/>
              <w:spacing w:line="360" w:lineRule="auto"/>
              <w:jc w:val="left"/>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（2）如果投标人的评标价≤评标基准价，则投标价得分=</w:t>
            </w:r>
            <w:r>
              <w:rPr>
                <w:rFonts w:hint="eastAsia" w:cs="Times New Roman"/>
                <w:b w:val="0"/>
                <w:bCs/>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0+偏差率×100×E2</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p w14:paraId="316BCBDD">
            <w:pPr>
              <w:keepNext w:val="0"/>
              <w:keepLines w:val="0"/>
              <w:pageBreakBefore w:val="0"/>
              <w:kinsoku/>
              <w:wordWrap/>
              <w:overflowPunct/>
              <w:topLinePunct w:val="0"/>
              <w:bidi w:val="0"/>
              <w:spacing w:line="360" w:lineRule="auto"/>
              <w:jc w:val="left"/>
              <w:rPr>
                <w:rFonts w:hint="default" w:ascii="Times New Roman" w:hAnsi="Times New Roman" w:eastAsia="宋体" w:cs="Times New Roman"/>
                <w:b w:val="0"/>
                <w:bCs/>
                <w:color w:val="000000" w:themeColor="text1"/>
                <w:sz w:val="21"/>
                <w:szCs w:val="21"/>
                <w:highlight w:val="yellow"/>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其中：E1=</w:t>
            </w:r>
            <w:r>
              <w:rPr>
                <w:rFonts w:hint="eastAsia" w:cs="Times New Roman"/>
                <w:b w:val="0"/>
                <w:bCs/>
                <w:color w:val="000000" w:themeColor="text1"/>
                <w:sz w:val="21"/>
                <w:szCs w:val="21"/>
                <w:highlight w:val="none"/>
                <w:lang w:val="en-US" w:eastAsia="zh-CN"/>
                <w14:textFill>
                  <w14:solidFill>
                    <w14:schemeClr w14:val="tx1"/>
                  </w14:solidFill>
                </w14:textFill>
              </w:rPr>
              <w:t>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1，E2=0.</w:t>
            </w:r>
            <w:r>
              <w:rPr>
                <w:rFonts w:hint="eastAsia" w:cs="Times New Roman"/>
                <w:b w:val="0"/>
                <w:bCs/>
                <w:color w:val="000000" w:themeColor="text1"/>
                <w:sz w:val="21"/>
                <w:szCs w:val="21"/>
                <w:highlight w:val="none"/>
                <w:lang w:val="en-US" w:eastAsia="zh-CN"/>
                <w14:textFill>
                  <w14:solidFill>
                    <w14:schemeClr w14:val="tx1"/>
                  </w14:solidFill>
                </w14:textFill>
              </w:rPr>
              <w:t>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p w14:paraId="79D1A5AA">
            <w:pPr>
              <w:keepNext w:val="0"/>
              <w:keepLines w:val="0"/>
              <w:pageBreakBefore w:val="0"/>
              <w:kinsoku/>
              <w:wordWrap/>
              <w:overflowPunct/>
              <w:topLinePunct w:val="0"/>
              <w:bidi w:val="0"/>
              <w:spacing w:line="360" w:lineRule="auto"/>
              <w:jc w:val="left"/>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aps w:val="0"/>
                <w:smallCaps w:val="0"/>
                <w:color w:val="auto"/>
                <w:spacing w:val="0"/>
                <w:w w:val="100"/>
                <w:position w:val="0"/>
                <w:szCs w:val="21"/>
                <w:highlight w:val="none"/>
                <w:lang w:val="en-US" w:eastAsia="zh-CN"/>
              </w:rPr>
              <w:t>最低分为0分。</w:t>
            </w:r>
          </w:p>
        </w:tc>
      </w:tr>
      <w:tr w14:paraId="48934C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1871" w:hRule="atLeast"/>
          <w:jc w:val="center"/>
        </w:trPr>
        <w:tc>
          <w:tcPr>
            <w:tcW w:w="841" w:type="dxa"/>
            <w:vMerge w:val="restart"/>
            <w:tcBorders>
              <w:tl2br w:val="nil"/>
              <w:tr2bl w:val="nil"/>
            </w:tcBorders>
            <w:vAlign w:val="center"/>
          </w:tcPr>
          <w:p w14:paraId="1224C8D3">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2.2.4（4）</w:t>
            </w:r>
          </w:p>
        </w:tc>
        <w:tc>
          <w:tcPr>
            <w:tcW w:w="1330" w:type="dxa"/>
            <w:gridSpan w:val="2"/>
            <w:vMerge w:val="restart"/>
            <w:tcBorders>
              <w:tl2br w:val="nil"/>
              <w:tr2bl w:val="nil"/>
            </w:tcBorders>
            <w:vAlign w:val="center"/>
          </w:tcPr>
          <w:p w14:paraId="0E89F45F">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其他因素</w:t>
            </w:r>
          </w:p>
        </w:tc>
        <w:tc>
          <w:tcPr>
            <w:tcW w:w="722" w:type="dxa"/>
            <w:gridSpan w:val="2"/>
            <w:vMerge w:val="restart"/>
            <w:tcBorders>
              <w:tl2br w:val="nil"/>
              <w:tr2bl w:val="nil"/>
            </w:tcBorders>
            <w:vAlign w:val="center"/>
          </w:tcPr>
          <w:p w14:paraId="74649948">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auto"/>
                <w:sz w:val="21"/>
                <w:szCs w:val="21"/>
                <w:highlight w:val="none"/>
              </w:rPr>
            </w:pPr>
            <w:r>
              <w:rPr>
                <w:rFonts w:hint="eastAsia" w:cs="Times New Roman"/>
                <w:b w:val="0"/>
                <w:bCs/>
                <w:color w:val="auto"/>
                <w:sz w:val="21"/>
                <w:szCs w:val="21"/>
                <w:highlight w:val="none"/>
                <w:lang w:val="en-US" w:eastAsia="zh-CN"/>
              </w:rPr>
              <w:t>30</w:t>
            </w:r>
            <w:r>
              <w:rPr>
                <w:rFonts w:hint="default" w:ascii="Times New Roman" w:hAnsi="Times New Roman" w:eastAsia="宋体" w:cs="Times New Roman"/>
                <w:b w:val="0"/>
                <w:bCs/>
                <w:color w:val="auto"/>
                <w:sz w:val="21"/>
                <w:szCs w:val="21"/>
                <w:highlight w:val="none"/>
              </w:rPr>
              <w:t>分</w:t>
            </w:r>
          </w:p>
        </w:tc>
        <w:tc>
          <w:tcPr>
            <w:tcW w:w="1437" w:type="dxa"/>
            <w:tcBorders>
              <w:tl2br w:val="nil"/>
              <w:tr2bl w:val="nil"/>
            </w:tcBorders>
            <w:vAlign w:val="center"/>
          </w:tcPr>
          <w:p w14:paraId="56EB4B21">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val="0"/>
                <w:bCs/>
                <w:color w:val="auto"/>
                <w:highlight w:val="none"/>
                <w:lang w:val="en-US" w:eastAsia="zh-CN"/>
              </w:rPr>
            </w:pPr>
            <w:r>
              <w:rPr>
                <w:rFonts w:hint="default" w:ascii="Times New Roman" w:hAnsi="Times New Roman" w:eastAsia="宋体" w:cs="Times New Roman"/>
                <w:b w:val="0"/>
                <w:bCs/>
                <w:color w:val="auto"/>
                <w:highlight w:val="none"/>
                <w:lang w:val="en-US" w:eastAsia="zh-CN"/>
              </w:rPr>
              <w:t>业绩</w:t>
            </w:r>
          </w:p>
        </w:tc>
        <w:tc>
          <w:tcPr>
            <w:tcW w:w="800" w:type="dxa"/>
            <w:tcBorders>
              <w:tl2br w:val="nil"/>
              <w:tr2bl w:val="nil"/>
            </w:tcBorders>
            <w:vAlign w:val="center"/>
          </w:tcPr>
          <w:p w14:paraId="6F50D9F3">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val="0"/>
                <w:bCs/>
                <w:color w:val="auto"/>
                <w:highlight w:val="none"/>
                <w:lang w:val="en-US" w:eastAsia="zh-CN"/>
              </w:rPr>
            </w:pPr>
            <w:r>
              <w:rPr>
                <w:rFonts w:hint="eastAsia" w:cs="Times New Roman"/>
                <w:b w:val="0"/>
                <w:bCs/>
                <w:color w:val="auto"/>
                <w:highlight w:val="none"/>
                <w:lang w:val="en-US" w:eastAsia="zh-CN"/>
              </w:rPr>
              <w:t>25</w:t>
            </w:r>
            <w:r>
              <w:rPr>
                <w:rFonts w:hint="default" w:ascii="Times New Roman" w:hAnsi="Times New Roman" w:eastAsia="宋体" w:cs="Times New Roman"/>
                <w:b w:val="0"/>
                <w:bCs/>
                <w:color w:val="auto"/>
                <w:highlight w:val="none"/>
                <w:lang w:val="en-US" w:eastAsia="zh-CN"/>
              </w:rPr>
              <w:t>分</w:t>
            </w:r>
          </w:p>
        </w:tc>
        <w:tc>
          <w:tcPr>
            <w:tcW w:w="4709" w:type="dxa"/>
            <w:tcBorders>
              <w:tl2br w:val="nil"/>
              <w:tr2bl w:val="nil"/>
            </w:tcBorders>
            <w:vAlign w:val="center"/>
          </w:tcPr>
          <w:p w14:paraId="6FBCAE54">
            <w:pPr>
              <w:keepNext w:val="0"/>
              <w:keepLines w:val="0"/>
              <w:pageBreakBefore w:val="0"/>
              <w:kinsoku/>
              <w:wordWrap/>
              <w:overflowPunct/>
              <w:topLinePunct w:val="0"/>
              <w:bidi w:val="0"/>
              <w:spacing w:line="360" w:lineRule="auto"/>
              <w:jc w:val="left"/>
              <w:rPr>
                <w:rFonts w:hint="default" w:ascii="Times New Roman" w:hAnsi="Times New Roman" w:eastAsia="宋体" w:cs="Times New Roman"/>
                <w:b w:val="0"/>
                <w:bCs/>
                <w:color w:val="auto"/>
                <w:highlight w:val="none"/>
                <w:lang w:val="en-US" w:eastAsia="zh-CN"/>
              </w:rPr>
            </w:pPr>
            <w:r>
              <w:rPr>
                <w:rFonts w:hint="default" w:ascii="Times New Roman" w:hAnsi="Times New Roman" w:eastAsia="宋体" w:cs="Times New Roman"/>
                <w:b w:val="0"/>
                <w:bCs/>
                <w:color w:val="auto"/>
                <w:highlight w:val="none"/>
                <w:lang w:val="en-US" w:eastAsia="zh-CN"/>
              </w:rPr>
              <w:t>满足资格审查条件（业绩最低要求）得</w:t>
            </w:r>
            <w:r>
              <w:rPr>
                <w:rFonts w:hint="eastAsia" w:cs="Times New Roman"/>
                <w:b w:val="0"/>
                <w:bCs/>
                <w:color w:val="auto"/>
                <w:highlight w:val="none"/>
                <w:lang w:val="en-US" w:eastAsia="zh-CN"/>
              </w:rPr>
              <w:t>15</w:t>
            </w:r>
            <w:r>
              <w:rPr>
                <w:rFonts w:hint="default" w:ascii="Times New Roman" w:hAnsi="Times New Roman" w:eastAsia="宋体" w:cs="Times New Roman"/>
                <w:b w:val="0"/>
                <w:bCs/>
                <w:color w:val="auto"/>
                <w:highlight w:val="none"/>
                <w:lang w:val="en-US" w:eastAsia="zh-CN"/>
              </w:rPr>
              <w:t>分；</w:t>
            </w:r>
          </w:p>
          <w:p w14:paraId="431CC72F">
            <w:pPr>
              <w:keepNext w:val="0"/>
              <w:keepLines w:val="0"/>
              <w:pageBreakBefore w:val="0"/>
              <w:kinsoku/>
              <w:wordWrap/>
              <w:overflowPunct/>
              <w:topLinePunct w:val="0"/>
              <w:bidi w:val="0"/>
              <w:spacing w:line="360" w:lineRule="auto"/>
              <w:jc w:val="left"/>
              <w:rPr>
                <w:rFonts w:hint="default" w:ascii="Times New Roman" w:hAnsi="Times New Roman" w:cs="Times New Roman"/>
                <w:b w:val="0"/>
                <w:bCs/>
                <w:lang w:val="en-US" w:eastAsia="zh-CN"/>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在此基础上，</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投标人近五年内（</w:t>
            </w:r>
            <w:r>
              <w:rPr>
                <w:rFonts w:hint="eastAsia" w:cs="Times New Roman"/>
                <w:b w:val="0"/>
                <w:bCs/>
                <w:color w:val="000000" w:themeColor="text1"/>
                <w:sz w:val="21"/>
                <w:szCs w:val="21"/>
                <w:highlight w:val="none"/>
                <w:lang w:val="en-US" w:eastAsia="zh-CN"/>
                <w14:textFill>
                  <w14:solidFill>
                    <w14:schemeClr w14:val="tx1"/>
                  </w14:solidFill>
                </w14:textFill>
              </w:rPr>
              <w:t>2021年5月</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1日至投标文件递交截止日，以成果文件出具时间为准）每增加1项线性工程（</w:t>
            </w:r>
            <w:r>
              <w:rPr>
                <w:rFonts w:hint="default" w:ascii="Times New Roman" w:hAnsi="Times New Roman" w:eastAsia="宋体" w:cs="Times New Roman"/>
                <w:b w:val="0"/>
                <w:bCs/>
                <w:color w:val="auto"/>
                <w:sz w:val="21"/>
                <w:szCs w:val="21"/>
                <w:highlight w:val="none"/>
                <w:lang w:val="en-US" w:eastAsia="zh-CN"/>
              </w:rPr>
              <w:t>公路或铁路</w:t>
            </w:r>
            <w:r>
              <w:rPr>
                <w:rFonts w:hint="eastAsia" w:cs="Times New Roman"/>
                <w:b w:val="0"/>
                <w:bCs/>
                <w:color w:val="auto"/>
                <w:sz w:val="21"/>
                <w:szCs w:val="21"/>
                <w:highlight w:val="none"/>
                <w:lang w:val="en-US" w:eastAsia="zh-CN"/>
              </w:rPr>
              <w:t>或市政道路</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）征地拆迁评估服务项目加</w:t>
            </w:r>
            <w:r>
              <w:rPr>
                <w:rFonts w:hint="eastAsia" w:cs="Times New Roman"/>
                <w:b w:val="0"/>
                <w:bCs/>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分，最高加</w:t>
            </w:r>
            <w:r>
              <w:rPr>
                <w:rFonts w:hint="eastAsia" w:cs="Times New Roman"/>
                <w:b w:val="0"/>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分。</w:t>
            </w:r>
          </w:p>
        </w:tc>
      </w:tr>
      <w:tr w14:paraId="27780E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410" w:hRule="atLeast"/>
          <w:jc w:val="center"/>
        </w:trPr>
        <w:tc>
          <w:tcPr>
            <w:tcW w:w="841" w:type="dxa"/>
            <w:vMerge w:val="continue"/>
            <w:tcBorders>
              <w:tl2br w:val="nil"/>
              <w:tr2bl w:val="nil"/>
            </w:tcBorders>
            <w:vAlign w:val="center"/>
          </w:tcPr>
          <w:p w14:paraId="6BB9CB23">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330" w:type="dxa"/>
            <w:gridSpan w:val="2"/>
            <w:vMerge w:val="continue"/>
            <w:tcBorders>
              <w:tl2br w:val="nil"/>
              <w:tr2bl w:val="nil"/>
            </w:tcBorders>
            <w:vAlign w:val="center"/>
          </w:tcPr>
          <w:p w14:paraId="5B44C0C6">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22" w:type="dxa"/>
            <w:gridSpan w:val="2"/>
            <w:vMerge w:val="continue"/>
            <w:tcBorders>
              <w:tl2br w:val="nil"/>
              <w:tr2bl w:val="nil"/>
            </w:tcBorders>
            <w:vAlign w:val="center"/>
          </w:tcPr>
          <w:p w14:paraId="438A0D5C">
            <w:pPr>
              <w:keepNext w:val="0"/>
              <w:keepLines w:val="0"/>
              <w:pageBreakBefore w:val="0"/>
              <w:widowControl w:val="0"/>
              <w:kinsoku/>
              <w:wordWrap/>
              <w:overflowPunct/>
              <w:topLinePunct w:val="0"/>
              <w:autoSpaceDN/>
              <w:bidi w:val="0"/>
              <w:snapToGrid w:val="0"/>
              <w:spacing w:line="360" w:lineRule="auto"/>
              <w:jc w:val="center"/>
              <w:rPr>
                <w:rFonts w:hint="default" w:ascii="Times New Roman" w:hAnsi="Times New Roman" w:eastAsia="宋体" w:cs="Times New Roman"/>
                <w:b w:val="0"/>
                <w:bCs/>
                <w:color w:val="FF0000"/>
                <w:sz w:val="21"/>
                <w:szCs w:val="21"/>
                <w:highlight w:val="none"/>
              </w:rPr>
            </w:pPr>
          </w:p>
        </w:tc>
        <w:tc>
          <w:tcPr>
            <w:tcW w:w="1437" w:type="dxa"/>
            <w:tcBorders>
              <w:tl2br w:val="nil"/>
              <w:tr2bl w:val="nil"/>
            </w:tcBorders>
            <w:vAlign w:val="center"/>
          </w:tcPr>
          <w:p w14:paraId="7CA0B850">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val="0"/>
                <w:bCs/>
                <w:color w:val="auto"/>
                <w:highlight w:val="none"/>
                <w:lang w:val="en-US" w:eastAsia="zh-CN"/>
              </w:rPr>
            </w:pPr>
            <w:r>
              <w:rPr>
                <w:rFonts w:hint="default" w:ascii="Times New Roman" w:hAnsi="Times New Roman" w:eastAsia="宋体" w:cs="Times New Roman"/>
                <w:b w:val="0"/>
                <w:bCs/>
                <w:color w:val="auto"/>
                <w:highlight w:val="none"/>
                <w:lang w:val="en-US" w:eastAsia="zh-CN"/>
              </w:rPr>
              <w:t>履约信誉</w:t>
            </w:r>
          </w:p>
        </w:tc>
        <w:tc>
          <w:tcPr>
            <w:tcW w:w="800" w:type="dxa"/>
            <w:tcBorders>
              <w:tl2br w:val="nil"/>
              <w:tr2bl w:val="nil"/>
            </w:tcBorders>
            <w:vAlign w:val="center"/>
          </w:tcPr>
          <w:p w14:paraId="748982C7">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val="0"/>
                <w:bCs/>
                <w:color w:val="auto"/>
                <w:highlight w:val="none"/>
                <w:lang w:val="en-US" w:eastAsia="zh-CN"/>
              </w:rPr>
            </w:pPr>
            <w:r>
              <w:rPr>
                <w:rFonts w:hint="default" w:ascii="Times New Roman" w:hAnsi="Times New Roman" w:eastAsia="宋体" w:cs="Times New Roman"/>
                <w:b w:val="0"/>
                <w:bCs/>
                <w:color w:val="auto"/>
                <w:highlight w:val="none"/>
                <w:lang w:val="en-US" w:eastAsia="zh-CN"/>
              </w:rPr>
              <w:t>5分</w:t>
            </w:r>
          </w:p>
        </w:tc>
        <w:tc>
          <w:tcPr>
            <w:tcW w:w="4709" w:type="dxa"/>
            <w:tcBorders>
              <w:tl2br w:val="nil"/>
              <w:tr2bl w:val="nil"/>
            </w:tcBorders>
            <w:vAlign w:val="center"/>
          </w:tcPr>
          <w:p w14:paraId="79456324">
            <w:pPr>
              <w:keepNext w:val="0"/>
              <w:keepLines w:val="0"/>
              <w:pageBreakBefore w:val="0"/>
              <w:kinsoku/>
              <w:wordWrap/>
              <w:overflowPunct/>
              <w:topLinePunct w:val="0"/>
              <w:bidi w:val="0"/>
              <w:spacing w:line="360" w:lineRule="auto"/>
              <w:jc w:val="left"/>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满足资格审查条件（信誉最低要求）得3分；</w:t>
            </w:r>
          </w:p>
          <w:p w14:paraId="43760268">
            <w:pPr>
              <w:keepNext w:val="0"/>
              <w:keepLines w:val="0"/>
              <w:pageBreakBefore w:val="0"/>
              <w:kinsoku/>
              <w:wordWrap/>
              <w:overflowPunct/>
              <w:topLinePunct w:val="0"/>
              <w:bidi w:val="0"/>
              <w:spacing w:line="360" w:lineRule="auto"/>
              <w:jc w:val="left"/>
              <w:rPr>
                <w:rFonts w:hint="default" w:ascii="Times New Roman" w:hAnsi="Times New Roman" w:cs="Times New Roman"/>
                <w:b w:val="0"/>
                <w:bCs/>
                <w:lang w:val="en-US" w:eastAsia="zh-CN"/>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投标人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202</w:t>
            </w:r>
            <w:r>
              <w:rPr>
                <w:rFonts w:hint="eastAsia" w:cs="Times New Roman"/>
                <w:b w:val="0"/>
                <w:bCs/>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年度在信用中国网站上有诚实守信记录的加2分，最高加2分。</w:t>
            </w:r>
          </w:p>
        </w:tc>
      </w:tr>
      <w:tr w14:paraId="073A2E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889" w:hRule="atLeast"/>
          <w:jc w:val="center"/>
        </w:trPr>
        <w:tc>
          <w:tcPr>
            <w:tcW w:w="9839" w:type="dxa"/>
            <w:gridSpan w:val="8"/>
            <w:tcBorders>
              <w:tl2br w:val="nil"/>
              <w:tr2bl w:val="nil"/>
            </w:tcBorders>
            <w:vAlign w:val="center"/>
          </w:tcPr>
          <w:p w14:paraId="0D6B052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需要补充的其他内容：</w:t>
            </w:r>
          </w:p>
          <w:p w14:paraId="0C1AF34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本项目采用双信封综合评分法进行评标，评标办法正文第3条部分条款内容细化如下：</w:t>
            </w:r>
          </w:p>
          <w:p w14:paraId="657B77E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3.1款补充：</w:t>
            </w:r>
          </w:p>
          <w:p w14:paraId="6E8F38B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3.1.1通过第一个信封评审的投标人不足3个时，评标委员会可以否决全部投标；未否决全部投标的，评标委员会应当在评标报告中阐明理由。</w:t>
            </w:r>
          </w:p>
          <w:p w14:paraId="2DC3275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第3.2款内容细化如下：</w:t>
            </w:r>
          </w:p>
          <w:p w14:paraId="640BB0E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3.2 第一个信封详细评审</w:t>
            </w:r>
          </w:p>
          <w:p w14:paraId="3301517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3.2.1 评标委员会按本章第2.2款规定的量化因素和分值进行打分，并计算出各投标人的商务和技术得分。</w:t>
            </w:r>
          </w:p>
          <w:p w14:paraId="51061E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（1）按本章第2.2.4项（1）目规定的评审因素和分值对技术建议书部分计算出得分A；</w:t>
            </w:r>
          </w:p>
          <w:p w14:paraId="46B590A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（2）按本章第2.2.4项（2）目规定的评审因素和分值对主要人员部分计算出得分B；</w:t>
            </w:r>
          </w:p>
          <w:p w14:paraId="6406C98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（3）按本章第2.2.4项（4）目规定的评审因素和分值对其他因素计算出得分D。</w:t>
            </w:r>
          </w:p>
          <w:p w14:paraId="1B10B61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3.2.2 投标人的商务和技术得分分值计算保留小数点后两位，小数点后第三位“四舍五入”。</w:t>
            </w:r>
          </w:p>
          <w:p w14:paraId="60C75E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3.2.3 投标人的商务和技术得分=A+B+D。</w:t>
            </w:r>
          </w:p>
          <w:p w14:paraId="692EB03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评标委员会对通过初步评审商务文件和技术建议书进行评分。每个投标人商务文件和技术建议书各分项的得分为评标委员会全体成员的对应分项打分去掉一个最高分和一个最低分后的算术平均值（当评标委员会成员人数为5人时不去掉最高和最低分），得分四舍五入，保留两位小数。</w:t>
            </w:r>
          </w:p>
          <w:p w14:paraId="210E5C8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商务和技术建议书得分一般不得低于其权重分值的60%，评标委员会成员对某一项评分因素的评分低于权重分值60%的，应在评标报告中作出说明。</w:t>
            </w:r>
          </w:p>
          <w:p w14:paraId="310A646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3.4款补充：</w:t>
            </w:r>
          </w:p>
          <w:p w14:paraId="13CE5B5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3.4.5在对第二个信封报价文件进行开标并经评审后，有效投标不足3个使得投标明显缺乏竞争的，评标委员会可以否决全部投标；未否决全部投标的，评标委员会应当在评标报告中阐明理由并推荐中标候选人。</w:t>
            </w:r>
          </w:p>
          <w:p w14:paraId="1E26F8E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3.6.2款补充</w:t>
            </w:r>
          </w:p>
          <w:p w14:paraId="07CB956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（5）按照晋交建管发〔2024〕433号文规定，有下列情形之一的，视为投标人相互串通投标</w:t>
            </w:r>
            <w:r>
              <w:rPr>
                <w:rFonts w:hint="eastAsia" w:cs="Times New Roman"/>
                <w:b w:val="0"/>
                <w:bCs/>
                <w:szCs w:val="21"/>
                <w:highlight w:val="none"/>
                <w:lang w:val="en-US" w:eastAsia="zh-CN"/>
              </w:rPr>
              <w:t>。</w:t>
            </w:r>
          </w:p>
          <w:p w14:paraId="594B545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a.不同投标人投标文件投标报价、项目管理成员等实质性内容存在一致；</w:t>
            </w:r>
          </w:p>
          <w:p w14:paraId="5CD37BD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b.电子投标文件记录的MAC地址相同；</w:t>
            </w:r>
          </w:p>
          <w:p w14:paraId="4B2C0ED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c.投标文件的下载、制作、记录、上传IP地址等信息出现任一相同情况；</w:t>
            </w:r>
          </w:p>
          <w:p w14:paraId="22E1C49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d.不同投标人的投标保证金来源为同一单位或者账户的；</w:t>
            </w:r>
          </w:p>
          <w:p w14:paraId="744777D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e.投标人之间相互约定给予未中标的投标人费用补偿的；</w:t>
            </w:r>
          </w:p>
          <w:p w14:paraId="066ADC9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f.不同投标人的CA数字证书混用的；</w:t>
            </w:r>
          </w:p>
          <w:p w14:paraId="34EC706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g.其他法律法规规定和相关规定被视为投标人相互串通投标的情形。</w:t>
            </w:r>
          </w:p>
          <w:p w14:paraId="2CD2EAF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szCs w:val="21"/>
                <w:highlight w:val="none"/>
                <w:lang w:val="en-US" w:eastAsia="zh-CN"/>
              </w:rPr>
            </w:pPr>
            <w:r>
              <w:rPr>
                <w:rFonts w:hint="default" w:ascii="Times New Roman" w:hAnsi="Times New Roman" w:eastAsia="宋体" w:cs="Times New Roman"/>
                <w:b w:val="0"/>
                <w:bCs/>
                <w:szCs w:val="21"/>
                <w:highlight w:val="none"/>
                <w:lang w:val="en-US" w:eastAsia="zh-CN"/>
              </w:rPr>
              <w:t>3.9.</w:t>
            </w:r>
            <w:r>
              <w:rPr>
                <w:rFonts w:hint="eastAsia" w:ascii="Times New Roman" w:hAnsi="Times New Roman" w:eastAsia="宋体" w:cs="Times New Roman"/>
                <w:b w:val="0"/>
                <w:bCs/>
                <w:szCs w:val="21"/>
                <w:highlight w:val="none"/>
                <w:lang w:val="en-US" w:eastAsia="zh-CN"/>
              </w:rPr>
              <w:t>1</w:t>
            </w:r>
            <w:r>
              <w:rPr>
                <w:rFonts w:hint="default" w:ascii="Times New Roman" w:hAnsi="Times New Roman" w:eastAsia="宋体" w:cs="Times New Roman"/>
                <w:b w:val="0"/>
                <w:bCs/>
                <w:szCs w:val="21"/>
                <w:highlight w:val="none"/>
                <w:lang w:val="en-US" w:eastAsia="zh-CN"/>
              </w:rPr>
              <w:t>款</w:t>
            </w:r>
            <w:r>
              <w:rPr>
                <w:rFonts w:hint="eastAsia" w:ascii="Times New Roman" w:hAnsi="Times New Roman" w:eastAsia="宋体" w:cs="Times New Roman"/>
                <w:b w:val="0"/>
                <w:bCs/>
                <w:szCs w:val="21"/>
                <w:highlight w:val="none"/>
                <w:lang w:val="en-US" w:eastAsia="zh-CN"/>
              </w:rPr>
              <w:t>修改为</w:t>
            </w:r>
            <w:r>
              <w:rPr>
                <w:rFonts w:hint="default" w:ascii="Times New Roman" w:hAnsi="Times New Roman" w:eastAsia="宋体" w:cs="Times New Roman"/>
                <w:b w:val="0"/>
                <w:bCs/>
                <w:szCs w:val="21"/>
                <w:highlight w:val="none"/>
                <w:lang w:val="en-US" w:eastAsia="zh-CN"/>
              </w:rPr>
              <w:t>：</w:t>
            </w:r>
          </w:p>
          <w:p w14:paraId="01369BAC">
            <w:pPr>
              <w:keepNext w:val="0"/>
              <w:keepLines w:val="0"/>
              <w:pageBreakBefore w:val="0"/>
              <w:widowControl w:val="0"/>
              <w:kinsoku/>
              <w:wordWrap/>
              <w:overflowPunct/>
              <w:topLinePunct w:val="0"/>
              <w:autoSpaceDN/>
              <w:bidi w:val="0"/>
              <w:spacing w:line="360" w:lineRule="auto"/>
              <w:ind w:firstLine="420" w:firstLineChars="200"/>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szCs w:val="21"/>
                <w:highlight w:val="none"/>
                <w:lang w:val="en-US" w:eastAsia="zh-CN"/>
              </w:rPr>
              <w:t>评标委员会按照得分由高到低的顺序推荐1名中标候选人。</w:t>
            </w:r>
          </w:p>
        </w:tc>
      </w:tr>
    </w:tbl>
    <w:p w14:paraId="0C2EDBB4">
      <w:pPr>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br w:type="page"/>
      </w:r>
    </w:p>
    <w:p w14:paraId="02293758">
      <w:pPr>
        <w:rPr>
          <w:rFonts w:hint="eastAsia" w:ascii="宋体" w:hAnsi="宋体" w:eastAsia="宋体" w:cs="宋体"/>
          <w:b w:val="0"/>
          <w:bCs/>
          <w:color w:val="000000" w:themeColor="text1"/>
          <w:highlight w:val="none"/>
          <w14:textFill>
            <w14:solidFill>
              <w14:schemeClr w14:val="tx1"/>
            </w14:solidFill>
          </w14:textFill>
        </w:rPr>
        <w:sectPr>
          <w:footerReference r:id="rId5" w:type="default"/>
          <w:headerReference r:id="rId4" w:type="even"/>
          <w:footnotePr>
            <w:numFmt w:val="decimalEnclosedCircleChinese"/>
            <w:numRestart w:val="eachPage"/>
          </w:footnotePr>
          <w:pgSz w:w="11906" w:h="16838"/>
          <w:pgMar w:top="1440" w:right="1083" w:bottom="1440" w:left="1083" w:header="851" w:footer="851" w:gutter="0"/>
          <w:cols w:space="425" w:num="1"/>
          <w:docGrid w:linePitch="312" w:charSpace="0"/>
        </w:sectPr>
      </w:pPr>
    </w:p>
    <w:p w14:paraId="5C4AF948">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bookmarkStart w:id="7" w:name="_Toc509660990"/>
      <w:r>
        <w:rPr>
          <w:rFonts w:hint="eastAsia" w:ascii="宋体" w:hAnsi="宋体" w:eastAsia="宋体" w:cs="宋体"/>
          <w:b w:val="0"/>
          <w:bCs/>
          <w:color w:val="000000" w:themeColor="text1"/>
          <w:sz w:val="24"/>
          <w:szCs w:val="24"/>
          <w:highlight w:val="none"/>
          <w14:textFill>
            <w14:solidFill>
              <w14:schemeClr w14:val="tx1"/>
            </w14:solidFill>
          </w14:textFill>
        </w:rPr>
        <w:t>1.评标方法</w:t>
      </w:r>
      <w:bookmarkEnd w:id="7"/>
    </w:p>
    <w:p w14:paraId="579E10E8">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本次评标采用双信封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79857D56">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bookmarkStart w:id="8" w:name="_Toc509660991"/>
      <w:r>
        <w:rPr>
          <w:rFonts w:hint="eastAsia" w:ascii="宋体" w:hAnsi="宋体" w:eastAsia="宋体" w:cs="宋体"/>
          <w:b w:val="0"/>
          <w:bCs/>
          <w:color w:val="000000" w:themeColor="text1"/>
          <w:sz w:val="24"/>
          <w:szCs w:val="24"/>
          <w:highlight w:val="none"/>
          <w14:textFill>
            <w14:solidFill>
              <w14:schemeClr w14:val="tx1"/>
            </w14:solidFill>
          </w14:textFill>
        </w:rPr>
        <w:t>2.评审标准</w:t>
      </w:r>
      <w:bookmarkEnd w:id="8"/>
    </w:p>
    <w:p w14:paraId="4ABF8120">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2.1初步评审标准</w:t>
      </w:r>
    </w:p>
    <w:p w14:paraId="40F6C1A5">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2.1.1形式评审标准：见评标办法前附表。</w:t>
      </w:r>
    </w:p>
    <w:p w14:paraId="7B2B7FBA">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2.1.2资格评审标准：见评标办法前附表。</w:t>
      </w:r>
    </w:p>
    <w:p w14:paraId="305789BE">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2.1.3响应性评审标准：见评标办法前附表。</w:t>
      </w:r>
    </w:p>
    <w:p w14:paraId="47BAA41A">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2.2分值构成与评分标准</w:t>
      </w:r>
    </w:p>
    <w:p w14:paraId="2B07C404">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2.2.1分值构成</w:t>
      </w:r>
    </w:p>
    <w:p w14:paraId="6457AE15">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技术建议书：见评标办法前附表；</w:t>
      </w:r>
    </w:p>
    <w:p w14:paraId="2311B7EA">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（2）</w:t>
      </w:r>
      <w:r>
        <w:rPr>
          <w:rFonts w:hint="eastAsia" w:ascii="宋体" w:hAnsi="宋体" w:eastAsia="宋体" w:cs="宋体"/>
          <w:b w:val="0"/>
          <w:bCs/>
          <w:color w:val="000000" w:themeColor="text1"/>
          <w:sz w:val="24"/>
          <w:szCs w:val="24"/>
          <w:highlight w:val="none"/>
          <w14:textFill>
            <w14:solidFill>
              <w14:schemeClr w14:val="tx1"/>
            </w14:solidFill>
          </w14:textFill>
        </w:rPr>
        <w:t>主要人员：见评标办法前附表；</w:t>
      </w:r>
    </w:p>
    <w:p w14:paraId="18788AA5">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评标价：见评标办法</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前</w:t>
      </w:r>
      <w:r>
        <w:rPr>
          <w:rFonts w:hint="eastAsia" w:ascii="宋体" w:hAnsi="宋体" w:eastAsia="宋体" w:cs="宋体"/>
          <w:b w:val="0"/>
          <w:bCs/>
          <w:color w:val="000000" w:themeColor="text1"/>
          <w:sz w:val="24"/>
          <w:szCs w:val="24"/>
          <w:highlight w:val="none"/>
          <w14:textFill>
            <w14:solidFill>
              <w14:schemeClr w14:val="tx1"/>
            </w14:solidFill>
          </w14:textFill>
        </w:rPr>
        <w:t>附表；</w:t>
      </w:r>
    </w:p>
    <w:p w14:paraId="2968AB58">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（4）</w:t>
      </w:r>
      <w:r>
        <w:rPr>
          <w:rFonts w:hint="eastAsia" w:ascii="宋体" w:hAnsi="宋体" w:eastAsia="宋体" w:cs="宋体"/>
          <w:b w:val="0"/>
          <w:bCs/>
          <w:color w:val="000000" w:themeColor="text1"/>
          <w:sz w:val="24"/>
          <w:szCs w:val="24"/>
          <w:highlight w:val="none"/>
          <w14:textFill>
            <w14:solidFill>
              <w14:schemeClr w14:val="tx1"/>
            </w14:solidFill>
          </w14:textFill>
        </w:rPr>
        <w:t>其他评分因素：见评标办法前附表。</w:t>
      </w:r>
    </w:p>
    <w:p w14:paraId="5145C0F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2.2.2评标基准价计算</w:t>
      </w:r>
    </w:p>
    <w:p w14:paraId="3B703EE4">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评标基准价计算方法：见评标办法前附表。</w:t>
      </w:r>
    </w:p>
    <w:p w14:paraId="7914BB7D">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2.2.3评标价的偏差率计算</w:t>
      </w:r>
    </w:p>
    <w:p w14:paraId="71ADC1DF">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评标价的偏差率计算公式：见评标办法前附表。</w:t>
      </w:r>
    </w:p>
    <w:p w14:paraId="044E6D45">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2.2.4评分标准</w:t>
      </w:r>
    </w:p>
    <w:p w14:paraId="14F1724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技术建议书评分标准：见评标办法前附表；</w:t>
      </w:r>
    </w:p>
    <w:p w14:paraId="1F867F81">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（2）</w:t>
      </w:r>
      <w:r>
        <w:rPr>
          <w:rFonts w:hint="eastAsia" w:ascii="宋体" w:hAnsi="宋体" w:eastAsia="宋体" w:cs="宋体"/>
          <w:b w:val="0"/>
          <w:bCs/>
          <w:color w:val="000000" w:themeColor="text1"/>
          <w:sz w:val="24"/>
          <w:szCs w:val="24"/>
          <w:highlight w:val="none"/>
          <w14:textFill>
            <w14:solidFill>
              <w14:schemeClr w14:val="tx1"/>
            </w14:solidFill>
          </w14:textFill>
        </w:rPr>
        <w:t>主要人员评分标准：见评标办法前附表；</w:t>
      </w:r>
    </w:p>
    <w:p w14:paraId="615673BD">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评标价评分标准：见评标办法前附表；</w:t>
      </w:r>
    </w:p>
    <w:p w14:paraId="4E684AC9">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（4）</w:t>
      </w:r>
      <w:r>
        <w:rPr>
          <w:rFonts w:hint="eastAsia" w:ascii="宋体" w:hAnsi="宋体" w:eastAsia="宋体" w:cs="宋体"/>
          <w:b w:val="0"/>
          <w:bCs/>
          <w:color w:val="000000" w:themeColor="text1"/>
          <w:sz w:val="24"/>
          <w:szCs w:val="24"/>
          <w:highlight w:val="none"/>
          <w14:textFill>
            <w14:solidFill>
              <w14:schemeClr w14:val="tx1"/>
            </w14:solidFill>
          </w14:textFill>
        </w:rPr>
        <w:t>其他因素评分标准：见评标办法前附表。</w:t>
      </w:r>
    </w:p>
    <w:p w14:paraId="18D6A2F5">
      <w:pPr>
        <w:keepNext w:val="0"/>
        <w:keepLines w:val="0"/>
        <w:pageBreakBefore w:val="0"/>
        <w:widowControl w:val="0"/>
        <w:kinsoku/>
        <w:wordWrap/>
        <w:overflowPunct/>
        <w:topLinePunct w:val="0"/>
        <w:autoSpaceDN/>
        <w:bidi w:val="0"/>
        <w:snapToGrid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bookmarkStart w:id="9" w:name="_Toc509660992"/>
      <w:r>
        <w:rPr>
          <w:rFonts w:hint="eastAsia" w:ascii="宋体" w:hAnsi="宋体" w:eastAsia="宋体" w:cs="宋体"/>
          <w:b w:val="0"/>
          <w:bCs/>
          <w:color w:val="000000" w:themeColor="text1"/>
          <w:sz w:val="24"/>
          <w:szCs w:val="24"/>
          <w:highlight w:val="none"/>
          <w14:textFill>
            <w14:solidFill>
              <w14:schemeClr w14:val="tx1"/>
            </w14:solidFill>
          </w14:textFill>
        </w:rPr>
        <w:t>3.评标程序</w:t>
      </w:r>
      <w:bookmarkEnd w:id="9"/>
    </w:p>
    <w:p w14:paraId="4F0D1233">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3.1第一个信封初步评审</w:t>
      </w:r>
    </w:p>
    <w:p w14:paraId="6C202428">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3.1.1评标委员会可以要求投标人提交第二章“投标人须知”第3.5.1项至第3.5.5 项规定的有关证明和证件的原件，以便核验。评标委员会依据本章第2.1款规定的标准对投标文件第一个信封（商务及技术文件）进行初步评审。有一项不符合评审标准的，评标委员会应否决其投标。</w:t>
      </w:r>
    </w:p>
    <w:p w14:paraId="5BB9BE02">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3.2第一个信封详细评审</w:t>
      </w:r>
    </w:p>
    <w:p w14:paraId="622D19A1">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3.2.1评标委员会按本章第2.2款规定的量化因素和分值进行打分，并计算出各投标人的商务和技术得分。</w:t>
      </w:r>
    </w:p>
    <w:p w14:paraId="16EE1FB9">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按本章第2.2.4项（1）目规定的评审因素和分值对技术建议书部分计算出得分A；</w:t>
      </w:r>
    </w:p>
    <w:p w14:paraId="351F1C9D">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（2）</w:t>
      </w:r>
      <w:r>
        <w:rPr>
          <w:rFonts w:hint="eastAsia" w:ascii="宋体" w:hAnsi="宋体" w:eastAsia="宋体" w:cs="宋体"/>
          <w:b w:val="0"/>
          <w:bCs/>
          <w:color w:val="000000" w:themeColor="text1"/>
          <w:sz w:val="24"/>
          <w:szCs w:val="24"/>
          <w:highlight w:val="none"/>
          <w14:textFill>
            <w14:solidFill>
              <w14:schemeClr w14:val="tx1"/>
            </w14:solidFill>
          </w14:textFill>
        </w:rPr>
        <w:t>按本章第2.2.4项（2）目规定的评审因素和分值对主要人员部分计算出得分B；</w:t>
      </w:r>
    </w:p>
    <w:p w14:paraId="5EA3C1BD">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 xml:space="preserve">按本章第2.2.4项（4）目规定的评审因素和分值对其他部分计算出得D。 </w:t>
      </w:r>
    </w:p>
    <w:p w14:paraId="46661A18">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3.2.2投标人的商务和技术得分分值计算保留小数点后两位，小数点后第三位“四舍五入”。</w:t>
      </w:r>
    </w:p>
    <w:p w14:paraId="75198CCB">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3.2.3投标人的商务和技术得分=A+B+D。</w:t>
      </w:r>
    </w:p>
    <w:p w14:paraId="2F617578">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3.3第二个信封开标</w:t>
      </w:r>
    </w:p>
    <w:p w14:paraId="50C004C4">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第一个信封（商务及技术文件）评审结束后，招标人将按照第二章“投标人须知”第5.1款规定的时间和地点对通过投标文件第一个信封（商务及技术文件）评审的投标文件第二个信封（报价文件）进行开标。</w:t>
      </w:r>
    </w:p>
    <w:p w14:paraId="07704CB8">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3.4第二个信封初步评审</w:t>
      </w:r>
    </w:p>
    <w:p w14:paraId="1E5AADEB">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3.4.1评标委员会依据本章第2.1.1项、第2.1.3项规定的评审标准对投标文件第二个信封（报价文件）进行初步评审。有一项不符合评审标准的，评标委员会应否决其投标。</w:t>
      </w:r>
    </w:p>
    <w:p w14:paraId="307D7BA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3.4.2投标报价有算术错误的，评标委员会按以下原则对投标报价进行修正，修正的价格经投标人书面确认后具有约束力。投标人不接受修正价格的，评标委员会应否决其投标。</w:t>
      </w:r>
    </w:p>
    <w:p w14:paraId="6635FDF6">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投标文件中的大写金额与小写金额不一致的，以大写金额为准；</w:t>
      </w:r>
    </w:p>
    <w:p w14:paraId="5B94AB4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（2）</w:t>
      </w:r>
      <w:r>
        <w:rPr>
          <w:rFonts w:hint="eastAsia" w:ascii="宋体" w:hAnsi="宋体" w:eastAsia="宋体" w:cs="宋体"/>
          <w:b w:val="0"/>
          <w:bCs/>
          <w:color w:val="000000" w:themeColor="text1"/>
          <w:sz w:val="24"/>
          <w:szCs w:val="24"/>
          <w:highlight w:val="none"/>
          <w14:textFill>
            <w14:solidFill>
              <w14:schemeClr w14:val="tx1"/>
            </w14:solidFill>
          </w14:textFill>
        </w:rPr>
        <w:t>总价金额与依据单价计算出的结果不一致的，以单价金额为准修正总价，但单价金额小数点有明显错误的除外；</w:t>
      </w:r>
    </w:p>
    <w:p w14:paraId="190036C9">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当单价与数量相乘不等于合价时，以单价计算为准，如果单价有明显的小数点位置差错，应以标出的合价为准，同时对单价予以修正；</w:t>
      </w:r>
    </w:p>
    <w:p w14:paraId="10A9E247">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（4）</w:t>
      </w:r>
      <w:r>
        <w:rPr>
          <w:rFonts w:hint="eastAsia" w:ascii="宋体" w:hAnsi="宋体" w:eastAsia="宋体" w:cs="宋体"/>
          <w:b w:val="0"/>
          <w:bCs/>
          <w:color w:val="000000" w:themeColor="text1"/>
          <w:sz w:val="24"/>
          <w:szCs w:val="24"/>
          <w:highlight w:val="none"/>
          <w14:textFill>
            <w14:solidFill>
              <w14:schemeClr w14:val="tx1"/>
            </w14:solidFill>
          </w14:textFill>
        </w:rPr>
        <w:t>当各子目的合价累计不等于总价时，应以各子目合价累计数为准，修正总价。</w:t>
      </w:r>
    </w:p>
    <w:p w14:paraId="43496419">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3.4.3修正后的最终投标报价若超过最高投标限价（如有），评标委员会应否决其投标。</w:t>
      </w:r>
    </w:p>
    <w:p w14:paraId="367E21B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3.4.4修正后的最终投标报价仅作为签订合同的一个依据，不参与评标价得分的计算。</w:t>
      </w:r>
    </w:p>
    <w:p w14:paraId="3CF58CA8">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3.5第二个信封详细评审</w:t>
      </w:r>
    </w:p>
    <w:p w14:paraId="48B5A52F">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3.5.1评标委员会按本章第2.2.4项（3）目规定的评审因素和分值对评标价计算出得分C。评标价得分分值计算保留小数点后两位，小数点后第三位“四舍五入”。 </w:t>
      </w:r>
    </w:p>
    <w:p w14:paraId="6A4AD583">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3.5.2投标人综合得分=投标人的商务和技术得分+C。</w:t>
      </w:r>
    </w:p>
    <w:p w14:paraId="43573643">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6ACEF9C3">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3.6投标文件相关信息的核查</w:t>
      </w:r>
    </w:p>
    <w:p w14:paraId="33B8686F">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3.6.1在评标过程中，评标委员会有权对投标人的资质、业绩、主要人员资历等信息进行核实。若核实的信息使得投标人的资格条件不符合招标文件规定的，评标委员会应否决其投标。</w:t>
      </w:r>
    </w:p>
    <w:p w14:paraId="18AF20AF">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2854EAF9">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有下列情形之一的，属于投标人相互串通投标：</w:t>
      </w:r>
    </w:p>
    <w:p w14:paraId="3A73839F">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a. 投标人之间协商</w:t>
      </w:r>
      <w:r>
        <w:rPr>
          <w:rFonts w:hint="eastAsia" w:ascii="宋体" w:hAnsi="宋体" w:cs="宋体"/>
          <w:b w:val="0"/>
          <w:bCs/>
          <w:color w:val="000000" w:themeColor="text1"/>
          <w:sz w:val="24"/>
          <w:szCs w:val="24"/>
          <w:highlight w:val="none"/>
          <w:lang w:val="en-US" w:eastAsia="zh-CN"/>
          <w14:textFill>
            <w14:solidFill>
              <w14:schemeClr w14:val="tx1"/>
            </w14:solidFill>
          </w14:textFill>
        </w:rPr>
        <w:t>确定</w:t>
      </w:r>
      <w:r>
        <w:rPr>
          <w:rFonts w:hint="eastAsia" w:ascii="宋体" w:hAnsi="宋体" w:eastAsia="宋体" w:cs="宋体"/>
          <w:b w:val="0"/>
          <w:bCs/>
          <w:color w:val="000000" w:themeColor="text1"/>
          <w:sz w:val="24"/>
          <w:szCs w:val="24"/>
          <w:highlight w:val="none"/>
          <w14:textFill>
            <w14:solidFill>
              <w14:schemeClr w14:val="tx1"/>
            </w14:solidFill>
          </w14:textFill>
        </w:rPr>
        <w:t>投标报价等投标文件的实质性内容；</w:t>
      </w:r>
    </w:p>
    <w:p w14:paraId="2B806CF1">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b.</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投标人之间约定中标人；</w:t>
      </w:r>
    </w:p>
    <w:p w14:paraId="03804C1E">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c.</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投标人之间约定部分投标人放弃投标或中标；</w:t>
      </w:r>
    </w:p>
    <w:p w14:paraId="7E797D4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d.</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属于同一集团、协会、商会等组织成员的投标人按照该组织要求协同投标；</w:t>
      </w:r>
    </w:p>
    <w:p w14:paraId="1FC6163B">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e.</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投标人之间为谋取中标或排斥特定投标人而采取的其他联合行动。</w:t>
      </w:r>
    </w:p>
    <w:p w14:paraId="15340804">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（2）</w:t>
      </w:r>
      <w:r>
        <w:rPr>
          <w:rFonts w:hint="eastAsia" w:ascii="宋体" w:hAnsi="宋体" w:eastAsia="宋体" w:cs="宋体"/>
          <w:b w:val="0"/>
          <w:bCs/>
          <w:color w:val="000000" w:themeColor="text1"/>
          <w:sz w:val="24"/>
          <w:szCs w:val="24"/>
          <w:highlight w:val="none"/>
          <w14:textFill>
            <w14:solidFill>
              <w14:schemeClr w14:val="tx1"/>
            </w14:solidFill>
          </w14:textFill>
        </w:rPr>
        <w:t>有下列情形之一的，视为投标人相互串通投标：</w:t>
      </w:r>
    </w:p>
    <w:p w14:paraId="6C58DF9A">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a.</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不同投标人的投标文件由同一单位或个人编制；</w:t>
      </w:r>
    </w:p>
    <w:p w14:paraId="0A10CB26">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b.</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不同投标人委托同一单位或个人办理投标事宜；</w:t>
      </w:r>
    </w:p>
    <w:p w14:paraId="062EA267">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c.</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不同投标人的投标文件载明的项目管理成员为同一人；</w:t>
      </w:r>
    </w:p>
    <w:p w14:paraId="501D220C">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d.</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不同投标人的投标文件异常一致或投标报价呈规律性差异；</w:t>
      </w:r>
    </w:p>
    <w:p w14:paraId="2CBD9F79">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e.</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不同投标人的投标文件相互混装；</w:t>
      </w:r>
    </w:p>
    <w:p w14:paraId="68258466">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f.</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不同投标人的投标保证金从同一单位或个人的账户转出。</w:t>
      </w:r>
    </w:p>
    <w:p w14:paraId="340EF236">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有下列情形之一的，属于招标人与投标人串通投标：</w:t>
      </w:r>
    </w:p>
    <w:p w14:paraId="0AE0ED3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a.</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招标人在开标前开启投标文件并将有关信息泄露给其他投标人；</w:t>
      </w:r>
    </w:p>
    <w:p w14:paraId="05ACB17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b.</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招标人直接或间接向投标人泄露标底、评标委员会成员等信息；</w:t>
      </w:r>
    </w:p>
    <w:p w14:paraId="342C7EFE">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c.</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招标人明示或暗示投标人压低或抬高投标报价；</w:t>
      </w:r>
    </w:p>
    <w:p w14:paraId="53BF8409">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d.</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招标人授意投标人撤换、修改投标文件；</w:t>
      </w:r>
    </w:p>
    <w:p w14:paraId="4FF7D105">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e.</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招标人明示或暗示投标人为特定投标人中标提供方便；</w:t>
      </w:r>
    </w:p>
    <w:p w14:paraId="6C07B0A7">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f.</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招标人与投标人为谋求特定投标人中标而采取的其他串通行为。</w:t>
      </w:r>
    </w:p>
    <w:p w14:paraId="7930266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（4）</w:t>
      </w:r>
      <w:r>
        <w:rPr>
          <w:rFonts w:hint="eastAsia" w:ascii="宋体" w:hAnsi="宋体" w:eastAsia="宋体" w:cs="宋体"/>
          <w:b w:val="0"/>
          <w:bCs/>
          <w:color w:val="000000" w:themeColor="text1"/>
          <w:sz w:val="24"/>
          <w:szCs w:val="24"/>
          <w:highlight w:val="none"/>
          <w14:textFill>
            <w14:solidFill>
              <w14:schemeClr w14:val="tx1"/>
            </w14:solidFill>
          </w14:textFill>
        </w:rPr>
        <w:t>投标人有下列情形之一的，属于弄虚作假的行为：</w:t>
      </w:r>
    </w:p>
    <w:p w14:paraId="0B6BEBDD">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a.</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使用通过受让或租借等方式获取的资格、资质证书投标；</w:t>
      </w:r>
    </w:p>
    <w:p w14:paraId="6922183B">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b.</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使用伪造、变造的许可证件；</w:t>
      </w:r>
    </w:p>
    <w:p w14:paraId="3D968CDC">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c.</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提供虚假的业绩；</w:t>
      </w:r>
    </w:p>
    <w:p w14:paraId="46128043">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d.</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提供虚假的项目负责人或主要技术人员简历、劳动关系证明；</w:t>
      </w:r>
    </w:p>
    <w:p w14:paraId="62F5EBA3">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e.</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提供虚假的信用状况；</w:t>
      </w:r>
    </w:p>
    <w:p w14:paraId="3ED40E7E">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f.</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其他弄虚作假的行为。</w:t>
      </w:r>
    </w:p>
    <w:p w14:paraId="0F3C4E08">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3.7投标文件的澄清和说明</w:t>
      </w:r>
    </w:p>
    <w:p w14:paraId="378668D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7E4975AD">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3.7.2澄清和说明不得超出投标文件的范围或改变投标文件的实质性内容（算术性错误的修正除外）。投标人的书面澄清、说明属于投标文件的组成部分。</w:t>
      </w:r>
    </w:p>
    <w:p w14:paraId="71F37475">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3.7.3评标委员会不得暗示或诱导投标人作出澄清、说明，对投标人提交的澄清、说明有疑问的，可以要求投标人进一步澄清或说明，直至满足评标委员会的要求。</w:t>
      </w:r>
    </w:p>
    <w:p w14:paraId="30655B9E">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3.7.4凡超出招标文件规定的或给发包人带来未曾要求的利益的变化、偏差或其他因素在评标时不予考虑。 </w:t>
      </w:r>
    </w:p>
    <w:p w14:paraId="281046F1">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3.8不得否决投标的情形</w:t>
      </w:r>
    </w:p>
    <w:p w14:paraId="1ABD6A03">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投标文件存在第二章“投标人须知”第1.12.3项所列情形的，均视为细微偏差，评标委员会不得否决投标人的投标，应按照第二章“投标人须知”第1.12.4项规定的原则处理。</w:t>
      </w:r>
    </w:p>
    <w:p w14:paraId="791ED7C4">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3.9评标结果</w:t>
      </w:r>
    </w:p>
    <w:p w14:paraId="19C242F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3.9.1除第二章“投标人须知”前附表授权直接确定中标人外，评标委员会按照 得分由高到低的顺序推荐中标候选人，并标明排序。</w:t>
      </w:r>
    </w:p>
    <w:p w14:paraId="1E861B8C">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3.9.2评标委员会完成评标后，应向招标人提交书面评标报告。</w:t>
      </w:r>
    </w:p>
    <w:p w14:paraId="5EB44730">
      <w:pP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br w:type="page"/>
      </w:r>
    </w:p>
    <w:p w14:paraId="107D8924">
      <w:pPr>
        <w:keepNext w:val="0"/>
        <w:keepLines w:val="0"/>
        <w:pageBreakBefore w:val="0"/>
        <w:widowControl w:val="0"/>
        <w:tabs>
          <w:tab w:val="left" w:pos="6397"/>
        </w:tabs>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四、其它需要公开的内容</w:t>
      </w:r>
    </w:p>
    <w:p w14:paraId="3517DA59">
      <w:pPr>
        <w:keepNext w:val="0"/>
        <w:keepLines w:val="0"/>
        <w:pageBreakBefore w:val="0"/>
        <w:widowControl w:val="0"/>
        <w:kinsoku/>
        <w:wordWrap/>
        <w:overflowPunct/>
        <w:topLinePunct w:val="0"/>
        <w:autoSpaceDN/>
        <w:bidi w:val="0"/>
        <w:rPr>
          <w:rFonts w:hint="eastAsia" w:ascii="宋体" w:hAnsi="宋体" w:eastAsia="宋体" w:cs="宋体"/>
          <w:b w:val="0"/>
          <w:bCs/>
          <w:color w:val="000000" w:themeColor="text1"/>
          <w:sz w:val="28"/>
          <w:szCs w:val="28"/>
          <w:highlight w:val="none"/>
          <w14:textFill>
            <w14:solidFill>
              <w14:schemeClr w14:val="tx1"/>
            </w14:solidFill>
          </w14:textFill>
        </w:rPr>
      </w:pPr>
      <w:bookmarkStart w:id="10" w:name="_Toc396460427"/>
      <w:bookmarkStart w:id="11" w:name="_Toc396461595"/>
      <w:r>
        <w:rPr>
          <w:rFonts w:hint="eastAsia" w:ascii="宋体" w:hAnsi="宋体" w:eastAsia="宋体" w:cs="宋体"/>
          <w:b w:val="0"/>
          <w:bCs/>
          <w:color w:val="000000" w:themeColor="text1"/>
          <w:sz w:val="28"/>
          <w:szCs w:val="28"/>
          <w:highlight w:val="none"/>
          <w14:textFill>
            <w14:solidFill>
              <w14:schemeClr w14:val="tx1"/>
            </w14:solidFill>
          </w14:textFill>
        </w:rPr>
        <w:t>附 录</w:t>
      </w:r>
      <w:bookmarkEnd w:id="10"/>
      <w:bookmarkEnd w:id="11"/>
    </w:p>
    <w:p w14:paraId="6EA12F74">
      <w:pPr>
        <w:keepNext w:val="0"/>
        <w:keepLines w:val="0"/>
        <w:pageBreakBefore w:val="0"/>
        <w:widowControl w:val="0"/>
        <w:kinsoku/>
        <w:wordWrap/>
        <w:overflowPunct/>
        <w:topLinePunct w:val="0"/>
        <w:autoSpaceDN/>
        <w:bidi w:val="0"/>
        <w:adjustRightInd w:val="0"/>
        <w:snapToGrid w:val="0"/>
        <w:spacing w:line="300" w:lineRule="exact"/>
        <w:jc w:val="center"/>
        <w:outlineLvl w:val="9"/>
        <w:rPr>
          <w:rFonts w:hint="eastAsia" w:ascii="宋体" w:hAnsi="宋体" w:eastAsia="宋体" w:cs="宋体"/>
          <w:b w:val="0"/>
          <w:bCs/>
          <w:color w:val="000000" w:themeColor="text1"/>
          <w:sz w:val="28"/>
          <w:szCs w:val="28"/>
          <w:highlight w:val="none"/>
          <w14:textFill>
            <w14:solidFill>
              <w14:schemeClr w14:val="tx1"/>
            </w14:solidFill>
          </w14:textFill>
        </w:rPr>
      </w:pPr>
      <w:bookmarkStart w:id="12" w:name="_Toc396461596"/>
      <w:bookmarkStart w:id="13" w:name="_Toc447602682"/>
      <w:bookmarkStart w:id="14" w:name="_Toc396460428"/>
    </w:p>
    <w:p w14:paraId="465768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2"/>
        <w:rPr>
          <w:rFonts w:hint="eastAsia" w:ascii="宋体" w:hAnsi="宋体" w:eastAsia="宋体" w:cs="宋体"/>
          <w:b w:val="0"/>
          <w:bCs/>
          <w:color w:val="000000" w:themeColor="text1"/>
          <w:sz w:val="32"/>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附录1  资格审查条件（资质最低要求）</w:t>
      </w:r>
      <w:bookmarkEnd w:id="12"/>
      <w:bookmarkEnd w:id="13"/>
      <w:bookmarkEnd w:id="14"/>
    </w:p>
    <w:tbl>
      <w:tblPr>
        <w:tblStyle w:val="13"/>
        <w:tblW w:w="92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14:paraId="5D38B0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3" w:type="dxa"/>
            <w:tcBorders>
              <w:tl2br w:val="nil"/>
              <w:tr2bl w:val="nil"/>
            </w:tcBorders>
            <w:shd w:val="clear" w:color="auto" w:fill="auto"/>
            <w:vAlign w:val="center"/>
          </w:tcPr>
          <w:p w14:paraId="542A6E58">
            <w:pPr>
              <w:keepNext w:val="0"/>
              <w:keepLines w:val="0"/>
              <w:pageBreakBefore w:val="0"/>
              <w:widowControl w:val="0"/>
              <w:kinsoku/>
              <w:wordWrap/>
              <w:overflowPunct/>
              <w:topLinePunct w:val="0"/>
              <w:autoSpaceDN/>
              <w:bidi w:val="0"/>
              <w:spacing w:line="400" w:lineRule="exact"/>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资质最低要求</w:t>
            </w:r>
          </w:p>
        </w:tc>
      </w:tr>
      <w:tr w14:paraId="77AB1F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9273" w:type="dxa"/>
            <w:tcBorders>
              <w:tl2br w:val="nil"/>
              <w:tr2bl w:val="nil"/>
            </w:tcBorders>
            <w:shd w:val="clear" w:color="auto" w:fill="auto"/>
            <w:vAlign w:val="center"/>
          </w:tcPr>
          <w:p w14:paraId="2C67194F">
            <w:pPr>
              <w:keepNext w:val="0"/>
              <w:keepLines w:val="0"/>
              <w:pageBreakBefore w:val="0"/>
              <w:widowControl w:val="0"/>
              <w:numPr>
                <w:ilvl w:val="0"/>
                <w:numId w:val="0"/>
              </w:numPr>
              <w:kinsoku/>
              <w:wordWrap/>
              <w:overflowPunct/>
              <w:topLinePunct w:val="0"/>
              <w:autoSpaceDN/>
              <w:bidi w:val="0"/>
              <w:spacing w:line="360" w:lineRule="auto"/>
              <w:ind w:firstLine="420" w:firstLineChars="200"/>
              <w:jc w:val="both"/>
              <w:rPr>
                <w:rFonts w:hint="eastAsia" w:ascii="宋体" w:hAnsi="宋体" w:eastAsia="宋体" w:cs="宋体"/>
                <w:b w:val="0"/>
                <w:bCs/>
                <w:highlight w:val="none"/>
                <w:lang w:val="en-US" w:eastAsia="zh-CN"/>
              </w:rPr>
            </w:pPr>
            <w:r>
              <w:rPr>
                <w:rFonts w:hint="eastAsia" w:ascii="宋体" w:hAnsi="宋体" w:eastAsia="宋体" w:cs="宋体"/>
                <w:b w:val="0"/>
                <w:bCs/>
                <w:highlight w:val="none"/>
                <w:lang w:val="en-US" w:eastAsia="zh-CN"/>
              </w:rPr>
              <w:t>投标人须同时具备行业主管部门颁发的资产评估机构备案证明和房地产估价机构</w:t>
            </w:r>
            <w:r>
              <w:rPr>
                <w:rFonts w:hint="eastAsia" w:ascii="宋体" w:hAnsi="宋体" w:cs="宋体"/>
                <w:b w:val="0"/>
                <w:bCs/>
                <w:highlight w:val="none"/>
                <w:lang w:val="en-US" w:eastAsia="zh-CN"/>
              </w:rPr>
              <w:t>三</w:t>
            </w:r>
            <w:bookmarkStart w:id="25" w:name="_GoBack"/>
            <w:bookmarkEnd w:id="25"/>
            <w:r>
              <w:rPr>
                <w:rFonts w:hint="eastAsia" w:ascii="宋体" w:hAnsi="宋体" w:eastAsia="宋体" w:cs="宋体"/>
                <w:b w:val="0"/>
                <w:bCs/>
                <w:highlight w:val="none"/>
                <w:lang w:val="en-US" w:eastAsia="zh-CN"/>
              </w:rPr>
              <w:t>级及以上资质。</w:t>
            </w:r>
          </w:p>
        </w:tc>
      </w:tr>
    </w:tbl>
    <w:p w14:paraId="1A332A4D">
      <w:pPr>
        <w:keepNext w:val="0"/>
        <w:keepLines w:val="0"/>
        <w:pageBreakBefore w:val="0"/>
        <w:widowControl w:val="0"/>
        <w:kinsoku/>
        <w:wordWrap/>
        <w:overflowPunct/>
        <w:topLinePunct w:val="0"/>
        <w:autoSpaceDN/>
        <w:bidi w:val="0"/>
        <w:adjustRightInd w:val="0"/>
        <w:snapToGrid w:val="0"/>
        <w:spacing w:line="300" w:lineRule="exact"/>
        <w:jc w:val="left"/>
        <w:rPr>
          <w:rFonts w:hint="eastAsia" w:ascii="宋体" w:hAnsi="宋体" w:eastAsia="宋体" w:cs="宋体"/>
          <w:b w:val="0"/>
          <w:bCs/>
          <w:color w:val="000000" w:themeColor="text1"/>
          <w:sz w:val="32"/>
          <w:highlight w:val="none"/>
          <w14:textFill>
            <w14:solidFill>
              <w14:schemeClr w14:val="tx1"/>
            </w14:solidFill>
          </w14:textFill>
        </w:rPr>
      </w:pPr>
    </w:p>
    <w:p w14:paraId="6E7CAEB0">
      <w:pPr>
        <w:keepNext w:val="0"/>
        <w:keepLines w:val="0"/>
        <w:pageBreakBefore w:val="0"/>
        <w:widowControl w:val="0"/>
        <w:kinsoku/>
        <w:wordWrap/>
        <w:overflowPunct/>
        <w:topLinePunct w:val="0"/>
        <w:autoSpaceDN/>
        <w:bidi w:val="0"/>
        <w:adjustRightInd w:val="0"/>
        <w:snapToGrid w:val="0"/>
        <w:spacing w:line="300" w:lineRule="exact"/>
        <w:jc w:val="left"/>
        <w:rPr>
          <w:rFonts w:hint="eastAsia" w:ascii="宋体" w:hAnsi="宋体" w:eastAsia="宋体" w:cs="宋体"/>
          <w:b w:val="0"/>
          <w:bCs/>
          <w:color w:val="000000" w:themeColor="text1"/>
          <w:sz w:val="32"/>
          <w:highlight w:val="none"/>
          <w14:textFill>
            <w14:solidFill>
              <w14:schemeClr w14:val="tx1"/>
            </w14:solidFill>
          </w14:textFill>
        </w:rPr>
      </w:pPr>
    </w:p>
    <w:p w14:paraId="3E1840FB">
      <w:pPr>
        <w:keepNext w:val="0"/>
        <w:keepLines w:val="0"/>
        <w:pageBreakBefore w:val="0"/>
        <w:widowControl w:val="0"/>
        <w:kinsoku/>
        <w:wordWrap/>
        <w:overflowPunct/>
        <w:topLinePunct w:val="0"/>
        <w:autoSpaceDN/>
        <w:bidi w:val="0"/>
        <w:adjustRightInd w:val="0"/>
        <w:snapToGrid w:val="0"/>
        <w:spacing w:line="300" w:lineRule="exact"/>
        <w:jc w:val="left"/>
        <w:rPr>
          <w:rFonts w:hint="eastAsia" w:ascii="宋体" w:hAnsi="宋体" w:eastAsia="宋体" w:cs="宋体"/>
          <w:b w:val="0"/>
          <w:bCs/>
          <w:color w:val="000000" w:themeColor="text1"/>
          <w:sz w:val="32"/>
          <w:highlight w:val="none"/>
          <w14:textFill>
            <w14:solidFill>
              <w14:schemeClr w14:val="tx1"/>
            </w14:solidFill>
          </w14:textFill>
        </w:rPr>
      </w:pPr>
    </w:p>
    <w:p w14:paraId="56443A90">
      <w:pPr>
        <w:keepNext w:val="0"/>
        <w:keepLines w:val="0"/>
        <w:pageBreakBefore w:val="0"/>
        <w:widowControl w:val="0"/>
        <w:kinsoku/>
        <w:wordWrap/>
        <w:overflowPunct/>
        <w:topLinePunct w:val="0"/>
        <w:autoSpaceDN/>
        <w:bidi w:val="0"/>
        <w:adjustRightInd w:val="0"/>
        <w:snapToGrid w:val="0"/>
        <w:spacing w:line="300" w:lineRule="exact"/>
        <w:jc w:val="left"/>
        <w:rPr>
          <w:rFonts w:hint="eastAsia" w:ascii="宋体" w:hAnsi="宋体" w:eastAsia="宋体" w:cs="宋体"/>
          <w:b w:val="0"/>
          <w:bCs/>
          <w:color w:val="000000" w:themeColor="text1"/>
          <w:sz w:val="32"/>
          <w:highlight w:val="none"/>
          <w14:textFill>
            <w14:solidFill>
              <w14:schemeClr w14:val="tx1"/>
            </w14:solidFill>
          </w14:textFill>
        </w:rPr>
      </w:pPr>
    </w:p>
    <w:p w14:paraId="7B6E3A43">
      <w:pPr>
        <w:keepNext w:val="0"/>
        <w:keepLines w:val="0"/>
        <w:pageBreakBefore w:val="0"/>
        <w:widowControl w:val="0"/>
        <w:kinsoku/>
        <w:wordWrap/>
        <w:overflowPunct/>
        <w:topLinePunct w:val="0"/>
        <w:autoSpaceDN/>
        <w:bidi w:val="0"/>
        <w:adjustRightInd w:val="0"/>
        <w:snapToGrid w:val="0"/>
        <w:spacing w:line="300" w:lineRule="exact"/>
        <w:jc w:val="left"/>
        <w:rPr>
          <w:rFonts w:hint="eastAsia" w:ascii="宋体" w:hAnsi="宋体" w:eastAsia="宋体" w:cs="宋体"/>
          <w:b w:val="0"/>
          <w:bCs/>
          <w:color w:val="000000" w:themeColor="text1"/>
          <w:sz w:val="32"/>
          <w:highlight w:val="none"/>
          <w14:textFill>
            <w14:solidFill>
              <w14:schemeClr w14:val="tx1"/>
            </w14:solidFill>
          </w14:textFill>
        </w:rPr>
      </w:pPr>
    </w:p>
    <w:p w14:paraId="46AB752F">
      <w:pPr>
        <w:keepNext w:val="0"/>
        <w:keepLines w:val="0"/>
        <w:pageBreakBefore w:val="0"/>
        <w:widowControl w:val="0"/>
        <w:kinsoku/>
        <w:wordWrap/>
        <w:overflowPunct/>
        <w:topLinePunct w:val="0"/>
        <w:autoSpaceDN/>
        <w:bidi w:val="0"/>
        <w:adjustRightInd w:val="0"/>
        <w:snapToGrid w:val="0"/>
        <w:spacing w:line="300" w:lineRule="exact"/>
        <w:jc w:val="left"/>
        <w:rPr>
          <w:rFonts w:hint="eastAsia" w:ascii="宋体" w:hAnsi="宋体" w:eastAsia="宋体" w:cs="宋体"/>
          <w:b w:val="0"/>
          <w:bCs/>
          <w:color w:val="000000" w:themeColor="text1"/>
          <w:sz w:val="32"/>
          <w:highlight w:val="none"/>
          <w14:textFill>
            <w14:solidFill>
              <w14:schemeClr w14:val="tx1"/>
            </w14:solidFill>
          </w14:textFill>
        </w:rPr>
      </w:pPr>
    </w:p>
    <w:p w14:paraId="161657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2"/>
        <w:rPr>
          <w:rFonts w:hint="eastAsia" w:ascii="宋体" w:hAnsi="宋体" w:eastAsia="宋体" w:cs="宋体"/>
          <w:b w:val="0"/>
          <w:bCs/>
          <w:color w:val="000000" w:themeColor="text1"/>
          <w:sz w:val="28"/>
          <w:szCs w:val="28"/>
          <w:highlight w:val="none"/>
          <w14:textFill>
            <w14:solidFill>
              <w14:schemeClr w14:val="tx1"/>
            </w14:solidFill>
          </w14:textFill>
        </w:rPr>
      </w:pPr>
      <w:bookmarkStart w:id="15" w:name="_Toc396460429"/>
      <w:bookmarkStart w:id="16" w:name="_Toc447602683"/>
      <w:bookmarkStart w:id="17" w:name="_Toc396461597"/>
      <w:r>
        <w:rPr>
          <w:rFonts w:hint="eastAsia" w:ascii="宋体" w:hAnsi="宋体" w:eastAsia="宋体" w:cs="宋体"/>
          <w:b w:val="0"/>
          <w:bCs/>
          <w:color w:val="000000" w:themeColor="text1"/>
          <w:sz w:val="28"/>
          <w:szCs w:val="28"/>
          <w:highlight w:val="none"/>
          <w14:textFill>
            <w14:solidFill>
              <w14:schemeClr w14:val="tx1"/>
            </w14:solidFill>
          </w14:textFill>
        </w:rPr>
        <w:t>附录2  资格审查条件（业绩最低要求）</w:t>
      </w:r>
      <w:bookmarkEnd w:id="15"/>
      <w:bookmarkEnd w:id="16"/>
      <w:bookmarkEnd w:id="17"/>
    </w:p>
    <w:tbl>
      <w:tblPr>
        <w:tblStyle w:val="13"/>
        <w:tblW w:w="92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14:paraId="79771E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58" w:type="dxa"/>
            <w:tcBorders>
              <w:tl2br w:val="nil"/>
              <w:tr2bl w:val="nil"/>
            </w:tcBorders>
            <w:vAlign w:val="center"/>
          </w:tcPr>
          <w:p w14:paraId="44F30E95">
            <w:pPr>
              <w:keepNext w:val="0"/>
              <w:keepLines w:val="0"/>
              <w:pageBreakBefore w:val="0"/>
              <w:widowControl w:val="0"/>
              <w:kinsoku/>
              <w:wordWrap/>
              <w:overflowPunct/>
              <w:topLinePunct w:val="0"/>
              <w:autoSpaceDN/>
              <w:bidi w:val="0"/>
              <w:spacing w:line="400" w:lineRule="exact"/>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业绩最低要求</w:t>
            </w:r>
          </w:p>
        </w:tc>
      </w:tr>
      <w:tr w14:paraId="53F57E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58" w:type="dxa"/>
            <w:tcBorders>
              <w:tl2br w:val="nil"/>
              <w:tr2bl w:val="nil"/>
            </w:tcBorders>
            <w:vAlign w:val="center"/>
          </w:tcPr>
          <w:p w14:paraId="10E1F70E">
            <w:pPr>
              <w:keepNext w:val="0"/>
              <w:keepLines w:val="0"/>
              <w:pageBreakBefore w:val="0"/>
              <w:widowControl w:val="0"/>
              <w:kinsoku/>
              <w:wordWrap/>
              <w:overflowPunct/>
              <w:topLinePunct w:val="0"/>
              <w:autoSpaceDN/>
              <w:bidi w:val="0"/>
              <w:spacing w:line="360" w:lineRule="auto"/>
              <w:ind w:firstLine="420" w:firstLineChars="200"/>
              <w:jc w:val="both"/>
              <w:rPr>
                <w:rFonts w:hint="eastAsia" w:ascii="宋体" w:hAnsi="宋体" w:eastAsia="宋体" w:cs="宋体"/>
                <w:b w:val="0"/>
                <w:bCs/>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highlight w:val="none"/>
                <w:lang w:val="en-US" w:eastAsia="zh-CN"/>
                <w14:textFill>
                  <w14:solidFill>
                    <w14:schemeClr w14:val="tx1"/>
                  </w14:solidFill>
                </w14:textFill>
              </w:rPr>
              <w:t>投标人近五年内（2021年</w:t>
            </w:r>
            <w:r>
              <w:rPr>
                <w:rFonts w:hint="eastAsia" w:ascii="宋体" w:hAnsi="宋体" w:cs="宋体"/>
                <w:b w:val="0"/>
                <w:bCs/>
                <w:color w:val="000000" w:themeColor="text1"/>
                <w:highlight w:val="none"/>
                <w:lang w:val="en-US" w:eastAsia="zh-CN"/>
                <w14:textFill>
                  <w14:solidFill>
                    <w14:schemeClr w14:val="tx1"/>
                  </w14:solidFill>
                </w14:textFill>
              </w:rPr>
              <w:t>5月</w:t>
            </w:r>
            <w:r>
              <w:rPr>
                <w:rFonts w:hint="eastAsia" w:ascii="宋体" w:hAnsi="宋体" w:eastAsia="宋体" w:cs="宋体"/>
                <w:b w:val="0"/>
                <w:bCs/>
                <w:color w:val="000000" w:themeColor="text1"/>
                <w:highlight w:val="none"/>
                <w:lang w:val="en-US" w:eastAsia="zh-CN"/>
                <w14:textFill>
                  <w14:solidFill>
                    <w14:schemeClr w14:val="tx1"/>
                  </w14:solidFill>
                </w14:textFill>
              </w:rPr>
              <w:t>1日至投标文件递交截止日，以成果文件出具时间为准）至少完成过1项征地拆迁评估服务项目。</w:t>
            </w:r>
          </w:p>
        </w:tc>
      </w:tr>
    </w:tbl>
    <w:p w14:paraId="79538C93">
      <w:pPr>
        <w:keepNext w:val="0"/>
        <w:keepLines w:val="0"/>
        <w:pageBreakBefore w:val="0"/>
        <w:widowControl w:val="0"/>
        <w:kinsoku/>
        <w:wordWrap/>
        <w:overflowPunct/>
        <w:topLinePunct w:val="0"/>
        <w:autoSpaceDN/>
        <w:bidi w:val="0"/>
        <w:adjustRightInd w:val="0"/>
        <w:snapToGrid w:val="0"/>
        <w:spacing w:line="300" w:lineRule="exact"/>
        <w:jc w:val="center"/>
        <w:rPr>
          <w:rFonts w:hint="eastAsia" w:ascii="宋体" w:hAnsi="宋体" w:eastAsia="宋体" w:cs="宋体"/>
          <w:b w:val="0"/>
          <w:bCs/>
          <w:color w:val="000000" w:themeColor="text1"/>
          <w:sz w:val="28"/>
          <w:szCs w:val="28"/>
          <w:highlight w:val="none"/>
          <w14:textFill>
            <w14:solidFill>
              <w14:schemeClr w14:val="tx1"/>
            </w14:solidFill>
          </w14:textFill>
        </w:rPr>
      </w:pPr>
    </w:p>
    <w:p w14:paraId="048B1B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2"/>
        <w:rPr>
          <w:rFonts w:hint="eastAsia" w:ascii="宋体" w:hAnsi="宋体" w:eastAsia="宋体" w:cs="宋体"/>
          <w:b w:val="0"/>
          <w:bCs/>
          <w:color w:val="000000" w:themeColor="text1"/>
          <w:highlight w:val="none"/>
          <w14:textFill>
            <w14:solidFill>
              <w14:schemeClr w14:val="tx1"/>
            </w14:solidFill>
          </w14:textFill>
        </w:rPr>
      </w:pPr>
      <w:bookmarkStart w:id="18" w:name="_Toc396461598"/>
      <w:bookmarkStart w:id="19" w:name="_Toc396460430"/>
      <w:r>
        <w:rPr>
          <w:rFonts w:hint="eastAsia" w:ascii="宋体" w:hAnsi="宋体" w:eastAsia="宋体" w:cs="宋体"/>
          <w:b w:val="0"/>
          <w:bCs/>
          <w:color w:val="000000" w:themeColor="text1"/>
          <w:sz w:val="28"/>
          <w:szCs w:val="28"/>
          <w:highlight w:val="none"/>
          <w14:textFill>
            <w14:solidFill>
              <w14:schemeClr w14:val="tx1"/>
            </w14:solidFill>
          </w14:textFill>
        </w:rPr>
        <w:br w:type="page"/>
      </w:r>
      <w:bookmarkStart w:id="20" w:name="_Toc447602684"/>
      <w:r>
        <w:rPr>
          <w:rFonts w:hint="eastAsia" w:ascii="宋体" w:hAnsi="宋体" w:eastAsia="宋体" w:cs="宋体"/>
          <w:b w:val="0"/>
          <w:bCs/>
          <w:color w:val="000000" w:themeColor="text1"/>
          <w:sz w:val="28"/>
          <w:szCs w:val="28"/>
          <w:highlight w:val="none"/>
          <w14:textFill>
            <w14:solidFill>
              <w14:schemeClr w14:val="tx1"/>
            </w14:solidFill>
          </w14:textFill>
        </w:rPr>
        <w:t xml:space="preserve">附录3  </w:t>
      </w:r>
      <w:bookmarkEnd w:id="18"/>
      <w:bookmarkEnd w:id="19"/>
      <w:bookmarkEnd w:id="20"/>
      <w:bookmarkStart w:id="21" w:name="_Toc396461599"/>
      <w:bookmarkStart w:id="22" w:name="_Toc447602685"/>
      <w:bookmarkStart w:id="23" w:name="_Toc396460431"/>
      <w:r>
        <w:rPr>
          <w:rFonts w:hint="eastAsia" w:ascii="宋体" w:hAnsi="宋体" w:eastAsia="宋体" w:cs="宋体"/>
          <w:b w:val="0"/>
          <w:bCs/>
          <w:color w:val="000000" w:themeColor="text1"/>
          <w:sz w:val="28"/>
          <w:szCs w:val="28"/>
          <w:highlight w:val="none"/>
          <w14:textFill>
            <w14:solidFill>
              <w14:schemeClr w14:val="tx1"/>
            </w14:solidFill>
          </w14:textFill>
        </w:rPr>
        <w:t>资格审查条件（信誉最低要求）</w:t>
      </w:r>
      <w:bookmarkEnd w:id="21"/>
      <w:bookmarkEnd w:id="22"/>
      <w:bookmarkEnd w:id="23"/>
    </w:p>
    <w:tbl>
      <w:tblPr>
        <w:tblStyle w:val="13"/>
        <w:tblW w:w="92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14:paraId="32D0E4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58" w:type="dxa"/>
            <w:tcBorders>
              <w:tl2br w:val="nil"/>
              <w:tr2bl w:val="nil"/>
            </w:tcBorders>
            <w:vAlign w:val="center"/>
          </w:tcPr>
          <w:p w14:paraId="78C56415">
            <w:pPr>
              <w:keepNext w:val="0"/>
              <w:keepLines w:val="0"/>
              <w:pageBreakBefore w:val="0"/>
              <w:widowControl w:val="0"/>
              <w:kinsoku/>
              <w:wordWrap/>
              <w:overflowPunct/>
              <w:topLinePunct w:val="0"/>
              <w:autoSpaceDN/>
              <w:bidi w:val="0"/>
              <w:spacing w:line="360" w:lineRule="exact"/>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信誉最低要求</w:t>
            </w:r>
          </w:p>
        </w:tc>
      </w:tr>
      <w:tr w14:paraId="1145D0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jc w:val="center"/>
        </w:trPr>
        <w:tc>
          <w:tcPr>
            <w:tcW w:w="9258" w:type="dxa"/>
            <w:tcBorders>
              <w:tl2br w:val="nil"/>
              <w:tr2bl w:val="nil"/>
            </w:tcBorders>
            <w:vAlign w:val="center"/>
          </w:tcPr>
          <w:p w14:paraId="1F0CE541">
            <w:pPr>
              <w:keepNext w:val="0"/>
              <w:keepLines w:val="0"/>
              <w:pageBreakBefore w:val="0"/>
              <w:widowControl w:val="0"/>
              <w:numPr>
                <w:ilvl w:val="0"/>
                <w:numId w:val="0"/>
              </w:numPr>
              <w:kinsoku/>
              <w:wordWrap/>
              <w:overflowPunct/>
              <w:topLinePunct w:val="0"/>
              <w:autoSpaceDN/>
              <w:bidi w:val="0"/>
              <w:spacing w:line="360" w:lineRule="auto"/>
              <w:ind w:firstLine="420" w:firstLineChars="200"/>
              <w:jc w:val="both"/>
              <w:rPr>
                <w:rFonts w:hint="eastAsia" w:ascii="宋体" w:hAnsi="宋体" w:eastAsia="宋体" w:cs="宋体"/>
                <w:b w:val="0"/>
                <w:bCs/>
                <w:highlight w:val="none"/>
                <w:lang w:val="en-US" w:eastAsia="zh-CN"/>
              </w:rPr>
            </w:pPr>
            <w:r>
              <w:rPr>
                <w:rFonts w:hint="eastAsia" w:ascii="宋体" w:hAnsi="宋体" w:eastAsia="宋体" w:cs="宋体"/>
                <w:b w:val="0"/>
                <w:bCs/>
                <w:highlight w:val="none"/>
                <w:lang w:val="en-US" w:eastAsia="zh-CN"/>
              </w:rPr>
              <w:t>1.投标人未被省级及以上交通运输主管部门取消招标项目所在地的投标资格且未处于有效期内。</w:t>
            </w:r>
          </w:p>
          <w:p w14:paraId="5975B331">
            <w:pPr>
              <w:keepNext w:val="0"/>
              <w:keepLines w:val="0"/>
              <w:pageBreakBefore w:val="0"/>
              <w:widowControl w:val="0"/>
              <w:numPr>
                <w:ilvl w:val="0"/>
                <w:numId w:val="0"/>
              </w:numPr>
              <w:kinsoku/>
              <w:wordWrap/>
              <w:overflowPunct/>
              <w:topLinePunct w:val="0"/>
              <w:autoSpaceDN/>
              <w:bidi w:val="0"/>
              <w:spacing w:line="360" w:lineRule="auto"/>
              <w:ind w:firstLine="420" w:firstLineChars="200"/>
              <w:jc w:val="both"/>
              <w:rPr>
                <w:rFonts w:hint="eastAsia" w:ascii="宋体" w:hAnsi="宋体" w:eastAsia="宋体" w:cs="宋体"/>
                <w:b w:val="0"/>
                <w:bCs/>
                <w:highlight w:val="none"/>
                <w:lang w:val="en-US" w:eastAsia="zh-CN"/>
              </w:rPr>
            </w:pPr>
            <w:r>
              <w:rPr>
                <w:rFonts w:hint="eastAsia" w:ascii="宋体" w:hAnsi="宋体" w:eastAsia="宋体" w:cs="宋体"/>
                <w:b w:val="0"/>
                <w:bCs/>
                <w:highlight w:val="none"/>
                <w:lang w:val="en-US" w:eastAsia="zh-CN"/>
              </w:rPr>
              <w:t>2.投标人未被责令停业，暂扣或吊销执照，或吊销资质证书。</w:t>
            </w:r>
          </w:p>
          <w:p w14:paraId="196B0769">
            <w:pPr>
              <w:keepNext w:val="0"/>
              <w:keepLines w:val="0"/>
              <w:pageBreakBefore w:val="0"/>
              <w:widowControl w:val="0"/>
              <w:numPr>
                <w:ilvl w:val="0"/>
                <w:numId w:val="0"/>
              </w:numPr>
              <w:kinsoku/>
              <w:wordWrap/>
              <w:overflowPunct/>
              <w:topLinePunct w:val="0"/>
              <w:autoSpaceDN/>
              <w:bidi w:val="0"/>
              <w:spacing w:line="360" w:lineRule="auto"/>
              <w:ind w:firstLine="420" w:firstLineChars="200"/>
              <w:jc w:val="both"/>
              <w:rPr>
                <w:rFonts w:hint="eastAsia" w:ascii="宋体" w:hAnsi="宋体" w:eastAsia="宋体" w:cs="宋体"/>
                <w:b w:val="0"/>
                <w:bCs/>
                <w:highlight w:val="none"/>
                <w:lang w:val="en-US" w:eastAsia="zh-CN"/>
              </w:rPr>
            </w:pPr>
            <w:r>
              <w:rPr>
                <w:rFonts w:hint="eastAsia" w:ascii="宋体" w:hAnsi="宋体" w:eastAsia="宋体" w:cs="宋体"/>
                <w:b w:val="0"/>
                <w:bCs/>
                <w:highlight w:val="none"/>
                <w:lang w:val="en-US" w:eastAsia="zh-CN"/>
              </w:rPr>
              <w:t>3.投标人未进入清算程序，或被宣告破产，或其他丧失履约能力的情形。</w:t>
            </w:r>
          </w:p>
          <w:p w14:paraId="790289EB">
            <w:pPr>
              <w:keepNext w:val="0"/>
              <w:keepLines w:val="0"/>
              <w:pageBreakBefore w:val="0"/>
              <w:widowControl w:val="0"/>
              <w:numPr>
                <w:ilvl w:val="0"/>
                <w:numId w:val="0"/>
              </w:numPr>
              <w:kinsoku/>
              <w:wordWrap/>
              <w:overflowPunct/>
              <w:topLinePunct w:val="0"/>
              <w:autoSpaceDN/>
              <w:bidi w:val="0"/>
              <w:spacing w:line="360" w:lineRule="auto"/>
              <w:ind w:firstLine="420" w:firstLineChars="200"/>
              <w:jc w:val="both"/>
              <w:rPr>
                <w:rFonts w:hint="eastAsia" w:ascii="宋体" w:hAnsi="宋体" w:eastAsia="宋体" w:cs="宋体"/>
                <w:b w:val="0"/>
                <w:bCs/>
                <w:highlight w:val="none"/>
                <w:lang w:val="en-US" w:eastAsia="zh-CN"/>
              </w:rPr>
            </w:pPr>
            <w:r>
              <w:rPr>
                <w:rFonts w:hint="eastAsia" w:ascii="宋体" w:hAnsi="宋体" w:eastAsia="宋体" w:cs="宋体"/>
                <w:b w:val="0"/>
                <w:bCs/>
                <w:highlight w:val="none"/>
                <w:lang w:val="en-US" w:eastAsia="zh-CN"/>
              </w:rPr>
              <w:t>4.投标人在“国家企业信用信息公示系统”（http://www.gsxt.gov.cn/）中未被列入严重违法失信企业名单（黑名单）信息。</w:t>
            </w:r>
          </w:p>
          <w:p w14:paraId="247F633C">
            <w:pPr>
              <w:keepNext w:val="0"/>
              <w:keepLines w:val="0"/>
              <w:pageBreakBefore w:val="0"/>
              <w:widowControl w:val="0"/>
              <w:numPr>
                <w:ilvl w:val="0"/>
                <w:numId w:val="0"/>
              </w:numPr>
              <w:kinsoku/>
              <w:wordWrap/>
              <w:overflowPunct/>
              <w:topLinePunct w:val="0"/>
              <w:autoSpaceDN/>
              <w:bidi w:val="0"/>
              <w:spacing w:line="360" w:lineRule="auto"/>
              <w:ind w:firstLine="420" w:firstLineChars="200"/>
              <w:jc w:val="both"/>
              <w:rPr>
                <w:rFonts w:hint="eastAsia" w:ascii="宋体" w:hAnsi="宋体" w:eastAsia="宋体" w:cs="宋体"/>
                <w:b w:val="0"/>
                <w:bCs/>
                <w:highlight w:val="none"/>
                <w:lang w:val="en-US" w:eastAsia="zh-CN"/>
              </w:rPr>
            </w:pPr>
            <w:r>
              <w:rPr>
                <w:rFonts w:hint="eastAsia" w:ascii="宋体" w:hAnsi="宋体" w:eastAsia="宋体" w:cs="宋体"/>
                <w:b w:val="0"/>
                <w:bCs/>
                <w:highlight w:val="none"/>
                <w:lang w:val="en-US" w:eastAsia="zh-CN"/>
              </w:rPr>
              <w:t>5.投标人在“信用中国”网站（http://www.creditchina.gov.cn/）中未被列入严重失信主体名单。</w:t>
            </w:r>
          </w:p>
          <w:p w14:paraId="63304B29">
            <w:pPr>
              <w:keepNext w:val="0"/>
              <w:keepLines w:val="0"/>
              <w:pageBreakBefore w:val="0"/>
              <w:widowControl w:val="0"/>
              <w:numPr>
                <w:ilvl w:val="0"/>
                <w:numId w:val="0"/>
              </w:numPr>
              <w:kinsoku/>
              <w:wordWrap/>
              <w:overflowPunct/>
              <w:topLinePunct w:val="0"/>
              <w:autoSpaceDN/>
              <w:bidi w:val="0"/>
              <w:spacing w:line="360" w:lineRule="auto"/>
              <w:ind w:firstLine="420" w:firstLineChars="200"/>
              <w:jc w:val="both"/>
              <w:rPr>
                <w:rFonts w:hint="eastAsia" w:ascii="宋体" w:hAnsi="宋体" w:eastAsia="宋体" w:cs="宋体"/>
                <w:b w:val="0"/>
                <w:bCs/>
                <w:highlight w:val="none"/>
                <w:lang w:val="en-US" w:eastAsia="zh-CN"/>
              </w:rPr>
            </w:pPr>
            <w:r>
              <w:rPr>
                <w:rFonts w:hint="eastAsia" w:ascii="宋体" w:hAnsi="宋体" w:eastAsia="宋体" w:cs="宋体"/>
                <w:b w:val="0"/>
                <w:bCs/>
                <w:highlight w:val="none"/>
                <w:lang w:val="en-US" w:eastAsia="zh-CN"/>
              </w:rPr>
              <w:t>6.投标人及其法定代表人（或合伙人）、拟担任本项目的项目负责人、房地产专项评估负责人近三年内（2023年</w:t>
            </w:r>
            <w:r>
              <w:rPr>
                <w:rFonts w:hint="eastAsia" w:ascii="宋体" w:hAnsi="宋体" w:cs="宋体"/>
                <w:b w:val="0"/>
                <w:bCs/>
                <w:highlight w:val="none"/>
                <w:lang w:val="en-US" w:eastAsia="zh-CN"/>
              </w:rPr>
              <w:t>5月</w:t>
            </w:r>
            <w:r>
              <w:rPr>
                <w:rFonts w:hint="eastAsia" w:ascii="宋体" w:hAnsi="宋体" w:eastAsia="宋体" w:cs="宋体"/>
                <w:b w:val="0"/>
                <w:bCs/>
                <w:highlight w:val="none"/>
                <w:lang w:val="en-US" w:eastAsia="zh-CN"/>
              </w:rPr>
              <w:t>1日至今）无行贿犯罪行为。</w:t>
            </w:r>
          </w:p>
          <w:p w14:paraId="33CB258B">
            <w:pPr>
              <w:keepNext w:val="0"/>
              <w:keepLines w:val="0"/>
              <w:pageBreakBefore w:val="0"/>
              <w:widowControl w:val="0"/>
              <w:numPr>
                <w:ilvl w:val="0"/>
                <w:numId w:val="0"/>
              </w:numPr>
              <w:kinsoku/>
              <w:wordWrap/>
              <w:overflowPunct/>
              <w:topLinePunct w:val="0"/>
              <w:autoSpaceDN/>
              <w:bidi w:val="0"/>
              <w:spacing w:line="360" w:lineRule="auto"/>
              <w:ind w:firstLine="420" w:firstLineChars="200"/>
              <w:jc w:val="both"/>
              <w:rPr>
                <w:rFonts w:hint="eastAsia" w:ascii="宋体" w:hAnsi="宋体" w:eastAsia="宋体" w:cs="宋体"/>
                <w:b w:val="0"/>
                <w:bCs/>
                <w:highlight w:val="none"/>
                <w:lang w:val="en-US"/>
              </w:rPr>
            </w:pPr>
            <w:r>
              <w:rPr>
                <w:rFonts w:hint="eastAsia" w:ascii="宋体" w:hAnsi="宋体" w:eastAsia="宋体" w:cs="宋体"/>
                <w:b w:val="0"/>
                <w:bCs/>
                <w:highlight w:val="none"/>
                <w:lang w:val="en-US" w:eastAsia="zh-CN"/>
              </w:rPr>
              <w:t>7.投标人不存在法律法规规定的其他情形。</w:t>
            </w:r>
          </w:p>
        </w:tc>
      </w:tr>
    </w:tbl>
    <w:p w14:paraId="62BA0989">
      <w:pPr>
        <w:keepNext w:val="0"/>
        <w:keepLines w:val="0"/>
        <w:pageBreakBefore w:val="0"/>
        <w:widowControl w:val="0"/>
        <w:kinsoku/>
        <w:wordWrap/>
        <w:overflowPunct/>
        <w:topLinePunct w:val="0"/>
        <w:autoSpaceDN/>
        <w:bidi w:val="0"/>
        <w:adjustRightInd w:val="0"/>
        <w:snapToGrid w:val="0"/>
        <w:spacing w:before="120" w:beforeLines="50" w:after="120" w:afterLines="50" w:line="400" w:lineRule="exact"/>
        <w:jc w:val="left"/>
        <w:outlineLvl w:val="9"/>
        <w:rPr>
          <w:rFonts w:hint="eastAsia" w:ascii="宋体" w:hAnsi="宋体" w:eastAsia="宋体" w:cs="宋体"/>
          <w:b w:val="0"/>
          <w:bCs/>
          <w:color w:val="000000" w:themeColor="text1"/>
          <w:sz w:val="28"/>
          <w:szCs w:val="28"/>
          <w:highlight w:val="none"/>
          <w14:textFill>
            <w14:solidFill>
              <w14:schemeClr w14:val="tx1"/>
            </w14:solidFill>
          </w14:textFill>
        </w:rPr>
      </w:pPr>
      <w:bookmarkStart w:id="24" w:name="_Toc447602686"/>
    </w:p>
    <w:p w14:paraId="63F17601">
      <w:pPr>
        <w:keepNext w:val="0"/>
        <w:keepLines w:val="0"/>
        <w:pageBreakBefore w:val="0"/>
        <w:widowControl w:val="0"/>
        <w:kinsoku/>
        <w:wordWrap/>
        <w:overflowPunct/>
        <w:topLinePunct w:val="0"/>
        <w:autoSpaceDN/>
        <w:bidi w:val="0"/>
        <w:adjustRightInd w:val="0"/>
        <w:snapToGrid w:val="0"/>
        <w:spacing w:before="120" w:beforeLines="50" w:after="120" w:afterLines="50" w:line="400" w:lineRule="exact"/>
        <w:jc w:val="left"/>
        <w:outlineLvl w:val="9"/>
        <w:rPr>
          <w:rFonts w:hint="eastAsia" w:ascii="宋体" w:hAnsi="宋体" w:eastAsia="宋体" w:cs="宋体"/>
          <w:b w:val="0"/>
          <w:bCs/>
          <w:color w:val="000000" w:themeColor="text1"/>
          <w:sz w:val="28"/>
          <w:szCs w:val="28"/>
          <w:highlight w:val="none"/>
          <w14:textFill>
            <w14:solidFill>
              <w14:schemeClr w14:val="tx1"/>
            </w14:solidFill>
          </w14:textFill>
        </w:rPr>
      </w:pPr>
    </w:p>
    <w:bookmarkEnd w:id="24"/>
    <w:p w14:paraId="18F0CB9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auto"/>
        <w:jc w:val="center"/>
        <w:textAlignment w:val="auto"/>
        <w:outlineLvl w:val="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附录4  资格审查条件（</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主要人员</w:t>
      </w:r>
      <w:r>
        <w:rPr>
          <w:rFonts w:hint="eastAsia" w:ascii="宋体" w:hAnsi="宋体" w:eastAsia="宋体" w:cs="宋体"/>
          <w:b w:val="0"/>
          <w:bCs w:val="0"/>
          <w:color w:val="000000" w:themeColor="text1"/>
          <w:sz w:val="28"/>
          <w:szCs w:val="28"/>
          <w:highlight w:val="none"/>
          <w14:textFill>
            <w14:solidFill>
              <w14:schemeClr w14:val="tx1"/>
            </w14:solidFill>
          </w14:textFill>
        </w:rPr>
        <w:t>最低要求）</w:t>
      </w:r>
    </w:p>
    <w:tbl>
      <w:tblPr>
        <w:tblStyle w:val="13"/>
        <w:tblW w:w="916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902"/>
        <w:gridCol w:w="6932"/>
      </w:tblGrid>
      <w:tr w14:paraId="22E97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tcBorders>
              <w:tl2br w:val="nil"/>
              <w:tr2bl w:val="nil"/>
            </w:tcBorders>
            <w:vAlign w:val="center"/>
          </w:tcPr>
          <w:p w14:paraId="5BA88B3B">
            <w:pPr>
              <w:keepNext w:val="0"/>
              <w:keepLines w:val="0"/>
              <w:pageBreakBefore w:val="0"/>
              <w:widowControl w:val="0"/>
              <w:kinsoku/>
              <w:wordWrap/>
              <w:overflowPunct/>
              <w:topLinePunct w:val="0"/>
              <w:autoSpaceDN/>
              <w:bidi w:val="0"/>
              <w:snapToGrid w:val="0"/>
              <w:spacing w:line="36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人员</w:t>
            </w:r>
          </w:p>
        </w:tc>
        <w:tc>
          <w:tcPr>
            <w:tcW w:w="902" w:type="dxa"/>
            <w:tcBorders>
              <w:tl2br w:val="nil"/>
              <w:tr2bl w:val="nil"/>
            </w:tcBorders>
            <w:vAlign w:val="center"/>
          </w:tcPr>
          <w:p w14:paraId="50BAE4D3">
            <w:pPr>
              <w:keepNext w:val="0"/>
              <w:keepLines w:val="0"/>
              <w:pageBreakBefore w:val="0"/>
              <w:widowControl w:val="0"/>
              <w:kinsoku/>
              <w:wordWrap/>
              <w:overflowPunct/>
              <w:topLinePunct w:val="0"/>
              <w:autoSpaceDN/>
              <w:bidi w:val="0"/>
              <w:snapToGrid w:val="0"/>
              <w:spacing w:line="36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数量</w:t>
            </w:r>
          </w:p>
        </w:tc>
        <w:tc>
          <w:tcPr>
            <w:tcW w:w="6932" w:type="dxa"/>
            <w:tcBorders>
              <w:tl2br w:val="nil"/>
              <w:tr2bl w:val="nil"/>
            </w:tcBorders>
            <w:vAlign w:val="center"/>
          </w:tcPr>
          <w:p w14:paraId="144C9BC1">
            <w:pPr>
              <w:keepNext w:val="0"/>
              <w:keepLines w:val="0"/>
              <w:pageBreakBefore w:val="0"/>
              <w:widowControl w:val="0"/>
              <w:kinsoku/>
              <w:wordWrap/>
              <w:overflowPunct/>
              <w:topLinePunct w:val="0"/>
              <w:autoSpaceDN/>
              <w:bidi w:val="0"/>
              <w:snapToGrid w:val="0"/>
              <w:spacing w:line="36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主要人员</w:t>
            </w:r>
            <w:r>
              <w:rPr>
                <w:rFonts w:hint="eastAsia" w:ascii="宋体" w:hAnsi="宋体" w:eastAsia="宋体" w:cs="宋体"/>
                <w:b w:val="0"/>
                <w:bCs w:val="0"/>
                <w:color w:val="000000" w:themeColor="text1"/>
                <w:sz w:val="21"/>
                <w:szCs w:val="21"/>
                <w:highlight w:val="none"/>
                <w14:textFill>
                  <w14:solidFill>
                    <w14:schemeClr w14:val="tx1"/>
                  </w14:solidFill>
                </w14:textFill>
              </w:rPr>
              <w:t>最低要求</w:t>
            </w:r>
          </w:p>
        </w:tc>
      </w:tr>
      <w:tr w14:paraId="00E62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327" w:type="dxa"/>
            <w:tcBorders>
              <w:tl2br w:val="nil"/>
              <w:tr2bl w:val="nil"/>
            </w:tcBorders>
            <w:vAlign w:val="center"/>
          </w:tcPr>
          <w:p w14:paraId="39E42892">
            <w:pPr>
              <w:keepNext w:val="0"/>
              <w:keepLines w:val="0"/>
              <w:pageBreakBefore w:val="0"/>
              <w:widowControl w:val="0"/>
              <w:kinsoku/>
              <w:wordWrap/>
              <w:overflowPunct/>
              <w:topLinePunct w:val="0"/>
              <w:autoSpaceDN/>
              <w:bidi w:val="0"/>
              <w:spacing w:line="36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项目负责人</w:t>
            </w:r>
          </w:p>
        </w:tc>
        <w:tc>
          <w:tcPr>
            <w:tcW w:w="902" w:type="dxa"/>
            <w:tcBorders>
              <w:tl2br w:val="nil"/>
              <w:tr2bl w:val="nil"/>
            </w:tcBorders>
            <w:vAlign w:val="center"/>
          </w:tcPr>
          <w:p w14:paraId="5A0435DA">
            <w:pPr>
              <w:keepNext w:val="0"/>
              <w:keepLines w:val="0"/>
              <w:pageBreakBefore w:val="0"/>
              <w:widowControl w:val="0"/>
              <w:kinsoku/>
              <w:wordWrap/>
              <w:overflowPunct/>
              <w:topLinePunct w:val="0"/>
              <w:autoSpaceDN/>
              <w:bidi w:val="0"/>
              <w:spacing w:line="36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6932" w:type="dxa"/>
            <w:tcBorders>
              <w:tl2br w:val="nil"/>
              <w:tr2bl w:val="nil"/>
            </w:tcBorders>
            <w:vAlign w:val="center"/>
          </w:tcPr>
          <w:p w14:paraId="29348C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持有注册房地产估价师证书且注册单位必须与投标人名称一致，具有资产评估师资格证书；作为项目负责人或资产评估负责人或房地产估价负责人近五年内（2021年</w:t>
            </w:r>
            <w:r>
              <w:rPr>
                <w:rFonts w:hint="eastAsia" w:ascii="宋体" w:hAnsi="宋体" w:cs="宋体"/>
                <w:b w:val="0"/>
                <w:bCs w:val="0"/>
                <w:color w:val="000000" w:themeColor="text1"/>
                <w:highlight w:val="none"/>
                <w:lang w:val="en-US" w:eastAsia="zh-CN"/>
                <w14:textFill>
                  <w14:solidFill>
                    <w14:schemeClr w14:val="tx1"/>
                  </w14:solidFill>
                </w14:textFill>
              </w:rPr>
              <w:t>5月</w:t>
            </w:r>
            <w:r>
              <w:rPr>
                <w:rFonts w:hint="eastAsia" w:ascii="宋体" w:hAnsi="宋体" w:eastAsia="宋体" w:cs="宋体"/>
                <w:b w:val="0"/>
                <w:bCs w:val="0"/>
                <w:color w:val="000000" w:themeColor="text1"/>
                <w:highlight w:val="none"/>
                <w:lang w:val="en-US" w:eastAsia="zh-CN"/>
                <w14:textFill>
                  <w14:solidFill>
                    <w14:schemeClr w14:val="tx1"/>
                  </w14:solidFill>
                </w14:textFill>
              </w:rPr>
              <w:t>1日至投标文件递交截止日，以成果文件出具时间为准）至少完成过1项征地拆迁评估服务项目。</w:t>
            </w:r>
          </w:p>
        </w:tc>
      </w:tr>
      <w:tr w14:paraId="176861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327" w:type="dxa"/>
            <w:tcBorders>
              <w:tl2br w:val="nil"/>
              <w:tr2bl w:val="nil"/>
            </w:tcBorders>
            <w:vAlign w:val="center"/>
          </w:tcPr>
          <w:p w14:paraId="0935264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房地产专项评估负责人</w:t>
            </w:r>
          </w:p>
        </w:tc>
        <w:tc>
          <w:tcPr>
            <w:tcW w:w="902" w:type="dxa"/>
            <w:tcBorders>
              <w:tl2br w:val="nil"/>
              <w:tr2bl w:val="nil"/>
            </w:tcBorders>
            <w:vAlign w:val="center"/>
          </w:tcPr>
          <w:p w14:paraId="5B8FE342">
            <w:pPr>
              <w:keepNext w:val="0"/>
              <w:keepLines w:val="0"/>
              <w:pageBreakBefore w:val="0"/>
              <w:widowControl w:val="0"/>
              <w:kinsoku/>
              <w:wordWrap/>
              <w:overflowPunct/>
              <w:topLinePunct w:val="0"/>
              <w:autoSpaceDN/>
              <w:bidi w:val="0"/>
              <w:spacing w:line="360" w:lineRule="exact"/>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p>
        </w:tc>
        <w:tc>
          <w:tcPr>
            <w:tcW w:w="6932" w:type="dxa"/>
            <w:tcBorders>
              <w:tl2br w:val="nil"/>
              <w:tr2bl w:val="nil"/>
            </w:tcBorders>
            <w:vAlign w:val="center"/>
          </w:tcPr>
          <w:p w14:paraId="06330C0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持有注册房地产估价师证书且注册单位必须与投标人名称一致；作为房地产评估负责人或项目负责人近五年内（2021年</w:t>
            </w:r>
            <w:r>
              <w:rPr>
                <w:rFonts w:hint="eastAsia" w:ascii="宋体" w:hAnsi="宋体" w:cs="宋体"/>
                <w:b w:val="0"/>
                <w:bCs w:val="0"/>
                <w:color w:val="000000" w:themeColor="text1"/>
                <w:highlight w:val="none"/>
                <w:lang w:val="en-US" w:eastAsia="zh-CN"/>
                <w14:textFill>
                  <w14:solidFill>
                    <w14:schemeClr w14:val="tx1"/>
                  </w14:solidFill>
                </w14:textFill>
              </w:rPr>
              <w:t>5月</w:t>
            </w:r>
            <w:r>
              <w:rPr>
                <w:rFonts w:hint="eastAsia" w:ascii="宋体" w:hAnsi="宋体" w:eastAsia="宋体" w:cs="宋体"/>
                <w:b w:val="0"/>
                <w:bCs w:val="0"/>
                <w:color w:val="000000" w:themeColor="text1"/>
                <w:highlight w:val="none"/>
                <w:lang w:val="en-US" w:eastAsia="zh-CN"/>
                <w14:textFill>
                  <w14:solidFill>
                    <w14:schemeClr w14:val="tx1"/>
                  </w14:solidFill>
                </w14:textFill>
              </w:rPr>
              <w:t>1日至投标文件递交截止日，以成果文件出具时间为准）至少完成过1项征地拆迁评估服务项目。</w:t>
            </w:r>
          </w:p>
        </w:tc>
      </w:tr>
    </w:tbl>
    <w:p w14:paraId="635C296A">
      <w:pPr>
        <w:rPr>
          <w:rFonts w:hint="eastAsia" w:ascii="宋体" w:hAnsi="宋体" w:eastAsia="宋体" w:cs="宋体"/>
          <w:b w:val="0"/>
          <w:bCs/>
        </w:rPr>
      </w:pPr>
    </w:p>
    <w:sectPr>
      <w:footerReference r:id="rId6"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7F897">
    <w:pPr>
      <w:pStyle w:val="8"/>
      <w:pBdr>
        <w:top w:val="none" w:color="000000" w:sz="0" w:space="0"/>
        <w:left w:val="none" w:color="auto" w:sz="0" w:space="4"/>
        <w:bottom w:val="none" w:color="auto" w:sz="0" w:space="1"/>
        <w:right w:val="none" w:color="auto" w:sz="0" w:space="4"/>
        <w:between w:val="none" w:color="auto" w:sz="0" w:space="0"/>
      </w:pBdr>
      <w:rPr>
        <w:rFonts w:ascii="宋体" w:hAnsi="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251BC">
    <w:pPr>
      <w:pStyle w:val="8"/>
      <w:widowControl w:val="0"/>
      <w:pBdr>
        <w:top w:val="none" w:color="000000" w:sz="0" w:space="0"/>
        <w:left w:val="none" w:color="auto" w:sz="0" w:space="4"/>
        <w:bottom w:val="none" w:color="auto" w:sz="0" w:space="1"/>
        <w:right w:val="none" w:color="auto" w:sz="0" w:space="4"/>
        <w:between w:val="none" w:color="auto" w:sz="0" w:space="0"/>
      </w:pBdr>
      <w:snapToGrid w:val="0"/>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3C1D9C">
      <w:pPr>
        <w:pStyle w:val="11"/>
        <w:spacing w:line="400" w:lineRule="atLeast"/>
        <w:ind w:firstLine="360" w:firstLineChars="200"/>
        <w:rPr>
          <w:rFonts w:eastAsia="黑体"/>
        </w:rPr>
      </w:pPr>
      <w:r>
        <w:rPr>
          <w:rStyle w:val="16"/>
        </w:rPr>
        <w:footnoteRef/>
      </w:r>
      <w:r>
        <w:rPr>
          <w:rFonts w:eastAsia="黑体"/>
        </w:rPr>
        <w:t xml:space="preserve"> </w:t>
      </w:r>
      <w:r>
        <w:rPr>
          <w:rFonts w:ascii="宋体" w:hAnsi="宋体" w:eastAsia="黑体"/>
        </w:rPr>
        <w:t>“</w:t>
      </w:r>
      <w:r>
        <w:rPr>
          <w:rFonts w:hint="eastAsia" w:eastAsia="黑体"/>
        </w:rPr>
        <w:t>评标</w:t>
      </w:r>
      <w:r>
        <w:rPr>
          <w:rFonts w:eastAsia="黑体"/>
        </w:rPr>
        <w:t>办法前附表</w:t>
      </w:r>
      <w:r>
        <w:rPr>
          <w:rFonts w:ascii="宋体" w:hAnsi="宋体" w:eastAsia="黑体"/>
        </w:rPr>
        <w:t>”</w:t>
      </w:r>
      <w:r>
        <w:rPr>
          <w:rFonts w:eastAsia="黑体"/>
        </w:rPr>
        <w:t>用于进一步明确正文中的未尽事宜，由招标人根据招标项目具体特点和实际需要编制和填写。</w:t>
      </w:r>
      <w:r>
        <w:rPr>
          <w:rFonts w:hint="eastAsia" w:eastAsia="黑体"/>
        </w:rPr>
        <w:t>评标</w:t>
      </w:r>
      <w:r>
        <w:rPr>
          <w:rFonts w:eastAsia="黑体"/>
        </w:rPr>
        <w:t>办法前附表是对</w:t>
      </w:r>
      <w:r>
        <w:rPr>
          <w:rFonts w:hint="eastAsia" w:eastAsia="黑体"/>
        </w:rPr>
        <w:t>评标</w:t>
      </w:r>
      <w:r>
        <w:rPr>
          <w:rFonts w:eastAsia="黑体"/>
        </w:rPr>
        <w:t>办法正文的修改、补充和细化，应对照</w:t>
      </w:r>
      <w:r>
        <w:rPr>
          <w:rFonts w:hint="eastAsia" w:eastAsia="黑体"/>
        </w:rPr>
        <w:t>评标</w:t>
      </w:r>
      <w:r>
        <w:rPr>
          <w:rFonts w:eastAsia="黑体"/>
        </w:rPr>
        <w:t>办法正文中同一编号的条款一起阅读和理解。</w:t>
      </w:r>
      <w:r>
        <w:rPr>
          <w:rFonts w:eastAsia="黑体"/>
          <w:b/>
        </w:rPr>
        <w:t>如前附表与正文不一致时，以前附表的规定为准。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9B07">
    <w:pPr>
      <w:pBdr>
        <w:bottom w:val="single" w:color="auto" w:sz="4" w:space="1"/>
      </w:pBdr>
      <w:topLinePunct/>
      <w:spacing w:line="240" w:lineRule="atLeast"/>
      <w:jc w:val="right"/>
      <w:rPr>
        <w:rStyle w:val="22"/>
        <w:rFonts w:eastAsia="黑体"/>
        <w:b w:val="0"/>
        <w:kern w:val="10"/>
        <w:sz w:val="18"/>
        <w:szCs w:val="18"/>
      </w:rPr>
    </w:pPr>
    <w:r>
      <w:rPr>
        <w:rStyle w:val="22"/>
        <w:rFonts w:hint="eastAsia" w:eastAsia="黑体"/>
        <w:b w:val="0"/>
        <w:kern w:val="10"/>
        <w:sz w:val="18"/>
        <w:szCs w:val="18"/>
      </w:rPr>
      <w:t>第三章  评标办法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Y2RiZWI4ZjkxZjRkYzk5YTU1ZTZmYmFhZTA5ZDAifQ=="/>
    <w:docVar w:name="KSO_WPS_MARK_KEY" w:val="69dfa486-fb2b-4e41-9549-ac90c6a4cc98"/>
  </w:docVars>
  <w:rsids>
    <w:rsidRoot w:val="3C922D9F"/>
    <w:rsid w:val="010A29DC"/>
    <w:rsid w:val="01A9669A"/>
    <w:rsid w:val="01B446F6"/>
    <w:rsid w:val="02117D9A"/>
    <w:rsid w:val="022B0E5C"/>
    <w:rsid w:val="049D3B67"/>
    <w:rsid w:val="04FA03E7"/>
    <w:rsid w:val="05E275A9"/>
    <w:rsid w:val="063A0BB2"/>
    <w:rsid w:val="06CD24E2"/>
    <w:rsid w:val="070F5669"/>
    <w:rsid w:val="078A2181"/>
    <w:rsid w:val="07D4164E"/>
    <w:rsid w:val="08D22029"/>
    <w:rsid w:val="099F0A11"/>
    <w:rsid w:val="0A0124A3"/>
    <w:rsid w:val="0BBE4FFA"/>
    <w:rsid w:val="0C995743"/>
    <w:rsid w:val="0DA44F52"/>
    <w:rsid w:val="10014FAA"/>
    <w:rsid w:val="106A7FF6"/>
    <w:rsid w:val="10A962DF"/>
    <w:rsid w:val="11FE3E97"/>
    <w:rsid w:val="155F0378"/>
    <w:rsid w:val="18371EB1"/>
    <w:rsid w:val="19741FFC"/>
    <w:rsid w:val="19786BDA"/>
    <w:rsid w:val="197948CB"/>
    <w:rsid w:val="19CB1950"/>
    <w:rsid w:val="1B590390"/>
    <w:rsid w:val="1B7B463F"/>
    <w:rsid w:val="1B8F790E"/>
    <w:rsid w:val="1BD25A4D"/>
    <w:rsid w:val="1C670895"/>
    <w:rsid w:val="1C9378D2"/>
    <w:rsid w:val="1D303373"/>
    <w:rsid w:val="1DB93368"/>
    <w:rsid w:val="1DFF240A"/>
    <w:rsid w:val="1F7E6617"/>
    <w:rsid w:val="205770C6"/>
    <w:rsid w:val="217321CA"/>
    <w:rsid w:val="22D20500"/>
    <w:rsid w:val="237176C2"/>
    <w:rsid w:val="238E0DF3"/>
    <w:rsid w:val="24264B88"/>
    <w:rsid w:val="25E35426"/>
    <w:rsid w:val="264A51F7"/>
    <w:rsid w:val="279D6335"/>
    <w:rsid w:val="27AC35F6"/>
    <w:rsid w:val="280520F8"/>
    <w:rsid w:val="2CE64684"/>
    <w:rsid w:val="2D3B5B48"/>
    <w:rsid w:val="2EC35DF5"/>
    <w:rsid w:val="2F794705"/>
    <w:rsid w:val="30BD6874"/>
    <w:rsid w:val="31472DE0"/>
    <w:rsid w:val="33735ECA"/>
    <w:rsid w:val="341F3253"/>
    <w:rsid w:val="346516FC"/>
    <w:rsid w:val="348039CB"/>
    <w:rsid w:val="348222AE"/>
    <w:rsid w:val="34B8182C"/>
    <w:rsid w:val="35845BB2"/>
    <w:rsid w:val="364517E5"/>
    <w:rsid w:val="36686BD0"/>
    <w:rsid w:val="36D30B9F"/>
    <w:rsid w:val="38EC0DA1"/>
    <w:rsid w:val="39F350B4"/>
    <w:rsid w:val="3C922D9F"/>
    <w:rsid w:val="3CA52FDE"/>
    <w:rsid w:val="3CB52AF5"/>
    <w:rsid w:val="3E8135D7"/>
    <w:rsid w:val="424D5C63"/>
    <w:rsid w:val="42984A4B"/>
    <w:rsid w:val="42DC0DDB"/>
    <w:rsid w:val="432509D4"/>
    <w:rsid w:val="43562BAD"/>
    <w:rsid w:val="441F267B"/>
    <w:rsid w:val="44550E45"/>
    <w:rsid w:val="45E05087"/>
    <w:rsid w:val="46431172"/>
    <w:rsid w:val="46B02CAB"/>
    <w:rsid w:val="46C91677"/>
    <w:rsid w:val="478B4B7E"/>
    <w:rsid w:val="48735C6B"/>
    <w:rsid w:val="48F54C88"/>
    <w:rsid w:val="494D658F"/>
    <w:rsid w:val="49763F01"/>
    <w:rsid w:val="49983FDE"/>
    <w:rsid w:val="4A4F27DB"/>
    <w:rsid w:val="4A7933B4"/>
    <w:rsid w:val="4B245BD4"/>
    <w:rsid w:val="4CE52E40"/>
    <w:rsid w:val="4D5A74CD"/>
    <w:rsid w:val="4E000568"/>
    <w:rsid w:val="4E7A385E"/>
    <w:rsid w:val="4FA15887"/>
    <w:rsid w:val="4FA66CFD"/>
    <w:rsid w:val="50243DC2"/>
    <w:rsid w:val="505C7A00"/>
    <w:rsid w:val="510936E3"/>
    <w:rsid w:val="51905BB3"/>
    <w:rsid w:val="53424C8B"/>
    <w:rsid w:val="534C78B7"/>
    <w:rsid w:val="53D53D51"/>
    <w:rsid w:val="53E02D1B"/>
    <w:rsid w:val="55C53951"/>
    <w:rsid w:val="56073F6A"/>
    <w:rsid w:val="56156687"/>
    <w:rsid w:val="56FA587C"/>
    <w:rsid w:val="56FE620B"/>
    <w:rsid w:val="57462870"/>
    <w:rsid w:val="57711FE2"/>
    <w:rsid w:val="58405511"/>
    <w:rsid w:val="586C4558"/>
    <w:rsid w:val="591C1ADA"/>
    <w:rsid w:val="592E180D"/>
    <w:rsid w:val="59531CC3"/>
    <w:rsid w:val="5AB82A46"/>
    <w:rsid w:val="5B0A1BCA"/>
    <w:rsid w:val="5B0D3DD0"/>
    <w:rsid w:val="5BA82F01"/>
    <w:rsid w:val="5CBB0655"/>
    <w:rsid w:val="5F531FCE"/>
    <w:rsid w:val="606A5C7B"/>
    <w:rsid w:val="60CB56A9"/>
    <w:rsid w:val="60CC64DC"/>
    <w:rsid w:val="61EB7EDE"/>
    <w:rsid w:val="624A3B5C"/>
    <w:rsid w:val="629628FD"/>
    <w:rsid w:val="62A6057B"/>
    <w:rsid w:val="645B3DFE"/>
    <w:rsid w:val="650F6997"/>
    <w:rsid w:val="65B01F28"/>
    <w:rsid w:val="66E30F06"/>
    <w:rsid w:val="671D7E04"/>
    <w:rsid w:val="67BC7BF4"/>
    <w:rsid w:val="68917735"/>
    <w:rsid w:val="68B02870"/>
    <w:rsid w:val="6919162A"/>
    <w:rsid w:val="6A462E5B"/>
    <w:rsid w:val="6A7E5EDE"/>
    <w:rsid w:val="6AC56475"/>
    <w:rsid w:val="6BC009EB"/>
    <w:rsid w:val="6D6E6A0A"/>
    <w:rsid w:val="6E11372D"/>
    <w:rsid w:val="6F141745"/>
    <w:rsid w:val="6F2B6AC3"/>
    <w:rsid w:val="6F614293"/>
    <w:rsid w:val="6FCA1E38"/>
    <w:rsid w:val="70052E31"/>
    <w:rsid w:val="703241C1"/>
    <w:rsid w:val="70AE0489"/>
    <w:rsid w:val="70EB475C"/>
    <w:rsid w:val="71681909"/>
    <w:rsid w:val="72C552A4"/>
    <w:rsid w:val="72C708B1"/>
    <w:rsid w:val="731C29AB"/>
    <w:rsid w:val="7434641A"/>
    <w:rsid w:val="74CC0400"/>
    <w:rsid w:val="74DB2995"/>
    <w:rsid w:val="750000AA"/>
    <w:rsid w:val="75A650F5"/>
    <w:rsid w:val="75D91027"/>
    <w:rsid w:val="76832D41"/>
    <w:rsid w:val="76D65930"/>
    <w:rsid w:val="77057BFA"/>
    <w:rsid w:val="78702892"/>
    <w:rsid w:val="78EE303B"/>
    <w:rsid w:val="79077033"/>
    <w:rsid w:val="790E2D96"/>
    <w:rsid w:val="7AF83CFD"/>
    <w:rsid w:val="7B166879"/>
    <w:rsid w:val="7BF501D2"/>
    <w:rsid w:val="7D060228"/>
    <w:rsid w:val="7D384885"/>
    <w:rsid w:val="7D80447E"/>
    <w:rsid w:val="7E5F4093"/>
    <w:rsid w:val="7EC62364"/>
    <w:rsid w:val="7FA63C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adjustRightInd w:val="0"/>
      <w:snapToGrid w:val="0"/>
      <w:spacing w:before="120" w:after="120"/>
      <w:jc w:val="center"/>
      <w:outlineLvl w:val="0"/>
    </w:pPr>
    <w:rPr>
      <w:rFonts w:eastAsia="黑体"/>
      <w:kern w:val="44"/>
      <w:sz w:val="72"/>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6"/>
    <w:qFormat/>
    <w:uiPriority w:val="99"/>
    <w:pPr>
      <w:keepNext/>
      <w:keepLines/>
      <w:spacing w:before="260" w:after="260" w:line="416" w:lineRule="auto"/>
      <w:outlineLvl w:val="2"/>
    </w:pPr>
    <w:rPr>
      <w:b/>
      <w:bCs/>
      <w:sz w:val="32"/>
      <w:szCs w:val="32"/>
    </w:rPr>
  </w:style>
  <w:style w:type="paragraph" w:styleId="7">
    <w:name w:val="heading 5"/>
    <w:basedOn w:val="1"/>
    <w:next w:val="1"/>
    <w:qFormat/>
    <w:uiPriority w:val="99"/>
    <w:pPr>
      <w:keepNext/>
      <w:adjustRightInd w:val="0"/>
      <w:spacing w:line="420" w:lineRule="atLeast"/>
      <w:jc w:val="right"/>
      <w:textAlignment w:val="baseline"/>
      <w:outlineLvl w:val="4"/>
    </w:pPr>
    <w:rPr>
      <w:i/>
      <w:kern w:val="0"/>
      <w:szCs w:val="20"/>
      <w:lang w:val="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6">
    <w:name w:val="Normal Indent"/>
    <w:basedOn w:val="1"/>
    <w:qFormat/>
    <w:uiPriority w:val="99"/>
    <w:pPr>
      <w:ind w:firstLine="420" w:firstLineChars="200"/>
    </w:pPr>
  </w:style>
  <w:style w:type="paragraph" w:styleId="8">
    <w:name w:val="footer"/>
    <w:basedOn w:val="1"/>
    <w:next w:val="9"/>
    <w:qFormat/>
    <w:uiPriority w:val="0"/>
    <w:pPr>
      <w:tabs>
        <w:tab w:val="center" w:pos="4153"/>
        <w:tab w:val="right" w:pos="8306"/>
      </w:tabs>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Arial"/>
      <w:color w:val="0000FF"/>
      <w:kern w:val="0"/>
      <w:sz w:val="24"/>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adjustRightInd w:val="0"/>
      <w:snapToGrid w:val="0"/>
      <w:spacing w:line="420" w:lineRule="atLeast"/>
      <w:ind w:firstLine="454"/>
      <w:jc w:val="left"/>
      <w:textAlignment w:val="baseline"/>
    </w:pPr>
    <w:rPr>
      <w:kern w:val="0"/>
      <w:sz w:val="18"/>
      <w:szCs w:val="20"/>
      <w:lang w:val="zh-CN"/>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otnote reference"/>
    <w:basedOn w:val="15"/>
    <w:qFormat/>
    <w:uiPriority w:val="0"/>
    <w:rPr>
      <w:vertAlign w:val="superscript"/>
    </w:rPr>
  </w:style>
  <w:style w:type="paragraph" w:customStyle="1" w:styleId="17">
    <w:name w:val="Table Paragraph"/>
    <w:basedOn w:val="1"/>
    <w:unhideWhenUsed/>
    <w:qFormat/>
    <w:uiPriority w:val="1"/>
    <w:pPr>
      <w:spacing w:beforeLines="0" w:afterLines="0"/>
    </w:pPr>
    <w:rPr>
      <w:rFonts w:hint="default"/>
      <w:sz w:val="24"/>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Body Text 21"/>
    <w:basedOn w:val="1"/>
    <w:qFormat/>
    <w:uiPriority w:val="0"/>
    <w:pPr>
      <w:widowControl w:val="0"/>
      <w:kinsoku/>
      <w:autoSpaceDE/>
      <w:autoSpaceDN/>
      <w:adjustRightInd/>
      <w:snapToGrid/>
      <w:spacing w:line="480" w:lineRule="auto"/>
      <w:jc w:val="both"/>
      <w:textAlignment w:val="auto"/>
    </w:pPr>
    <w:rPr>
      <w:rFonts w:ascii="Times New Roman" w:hAnsi="Times New Roman" w:eastAsia="宋体" w:cs="Times New Roman"/>
      <w:snapToGrid/>
      <w:color w:val="auto"/>
      <w:kern w:val="2"/>
      <w:sz w:val="20"/>
      <w:szCs w:val="24"/>
    </w:rPr>
  </w:style>
  <w:style w:type="paragraph" w:customStyle="1" w:styleId="20">
    <w:name w:val="第一章-2级"/>
    <w:basedOn w:val="3"/>
    <w:qFormat/>
    <w:uiPriority w:val="99"/>
    <w:rPr>
      <w:sz w:val="36"/>
    </w:rPr>
  </w:style>
  <w:style w:type="paragraph" w:customStyle="1" w:styleId="21">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character" w:customStyle="1" w:styleId="22">
    <w:name w:val="font161"/>
    <w:qFormat/>
    <w:uiPriority w:val="99"/>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9159</Words>
  <Characters>9852</Characters>
  <Lines>0</Lines>
  <Paragraphs>0</Paragraphs>
  <TotalTime>6</TotalTime>
  <ScaleCrop>false</ScaleCrop>
  <LinksUpToDate>false</LinksUpToDate>
  <CharactersWithSpaces>9902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2020-04-07T08:37:00Z</dcterms:created>
  <dc:creator>廖梓佑</dc:creator>
  <cp:lastModifiedBy>他带我回星球</cp:lastModifiedBy>
  <cp:lastPrinted>2023-11-08T07:41:00Z</cp:lastPrinted>
  <dcterms:modified xsi:type="dcterms:W3CDTF">2026-05-27T03:11:19Z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50EABDE802FB4B49B6F740930F654D71_12</vt:lpwstr>
  </property>
  <property fmtid="{D5CDD505-2E9C-101B-9397-08002B2CF9AE}" pid="4" name="KSOTemplateDocerSaveRecord">
    <vt:lpwstr>eyJoZGlkIjoiNWRlYjFhZGU0OTdkZTE5MDcwY2MyNzk2OGMxZGY3NTUiLCJ1c2VySWQiOiIyNjUwMDkyMDEifQ==</vt:lpwstr>
  </property>
</Properties>
</file>