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3EDCB">
      <w:pPr>
        <w:keepNext w:val="0"/>
        <w:keepLines w:val="0"/>
        <w:wordWrap/>
        <w:topLinePunct w:val="0"/>
        <w:bidi w:val="0"/>
        <w:spacing w:line="360" w:lineRule="auto"/>
        <w:ind w:right="0"/>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国道338线原平西镇至段家堡段（庙岭梁桥隧群）改线工程监理</w:t>
      </w:r>
    </w:p>
    <w:p w14:paraId="21DBCA70">
      <w:pPr>
        <w:keepNext w:val="0"/>
        <w:keepLines w:val="0"/>
        <w:wordWrap/>
        <w:topLinePunct w:val="0"/>
        <w:bidi w:val="0"/>
        <w:spacing w:line="360" w:lineRule="auto"/>
        <w:ind w:right="0"/>
        <w:jc w:val="center"/>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rPr>
        <w:t>招标</w:t>
      </w:r>
      <w:r>
        <w:rPr>
          <w:rFonts w:hint="eastAsia" w:ascii="宋体" w:hAnsi="宋体" w:cs="宋体"/>
          <w:b/>
          <w:bCs/>
          <w:color w:val="auto"/>
          <w:sz w:val="28"/>
          <w:szCs w:val="28"/>
          <w:highlight w:val="none"/>
          <w:lang w:val="en-US" w:eastAsia="zh-CN"/>
        </w:rPr>
        <w:t>关键内容公开</w:t>
      </w:r>
    </w:p>
    <w:p w14:paraId="69FB3651">
      <w:pPr>
        <w:keepNext w:val="0"/>
        <w:keepLines w:val="0"/>
        <w:widowControl/>
        <w:wordWrap/>
        <w:topLinePunct w:val="0"/>
        <w:autoSpaceDE w:val="0"/>
        <w:bidi w:val="0"/>
        <w:spacing w:line="360" w:lineRule="auto"/>
        <w:ind w:left="0" w:leftChars="0" w:right="0"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项目概况与招标范围</w:t>
      </w:r>
    </w:p>
    <w:p w14:paraId="73282819">
      <w:pPr>
        <w:keepNext w:val="0"/>
        <w:keepLines w:val="0"/>
        <w:widowControl/>
        <w:wordWrap/>
        <w:topLinePunct w:val="0"/>
        <w:autoSpaceDE w:val="0"/>
        <w:bidi w:val="0"/>
        <w:spacing w:line="360" w:lineRule="auto"/>
        <w:ind w:left="0" w:leftChars="0" w:righ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项目概况：路线全长38.442公里，设桥梁4037.5米/15座(其中:大桥3971.5米/14座、中桥66米/1座)，隧道6805米/3座(其中:特长隧道5450.5米/1座、中隧道933米/1座、短隧道421.5米/1座)，涵洞67道，通道20道，天桥2座，平面交叉12处，设互通式立交2处，收费站、超限检测站、监控管理站、养护工区、停车区、隧道管理站各1处(养护工区、超限检测站、监控管理站与收费站同址合建)。</w:t>
      </w:r>
    </w:p>
    <w:p w14:paraId="104E7497">
      <w:pPr>
        <w:keepNext w:val="0"/>
        <w:keepLines w:val="0"/>
        <w:widowControl/>
        <w:wordWrap/>
        <w:topLinePunct w:val="0"/>
        <w:autoSpaceDE w:val="0"/>
        <w:bidi w:val="0"/>
        <w:spacing w:line="360" w:lineRule="auto"/>
        <w:ind w:left="0" w:leftChars="0" w:righ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全线采用双向四车道一级公路技术标准建设，设计速度为60公里/小时，路基宽度20米。汽车荷载等级采用公路-I级，其余技术指标按部颁现行《公路工程技术标准》(JTGB01-2014)执行。</w:t>
      </w:r>
    </w:p>
    <w:p w14:paraId="47E031AB">
      <w:pPr>
        <w:keepNext w:val="0"/>
        <w:keepLines w:val="0"/>
        <w:widowControl/>
        <w:wordWrap/>
        <w:topLinePunct w:val="0"/>
        <w:autoSpaceDE w:val="0"/>
        <w:bidi w:val="0"/>
        <w:spacing w:line="360" w:lineRule="auto"/>
        <w:ind w:left="0" w:leftChars="0" w:righ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2.招标范围：本招标项目划分为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个施工标段，本次招标为其中的：</w:t>
      </w:r>
    </w:p>
    <w:p w14:paraId="545C9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001</w:t>
      </w:r>
      <w:r>
        <w:rPr>
          <w:rFonts w:hint="eastAsia" w:ascii="宋体" w:hAnsi="宋体" w:eastAsia="宋体" w:cs="宋体"/>
          <w:b w:val="0"/>
          <w:bCs w:val="0"/>
          <w:color w:val="auto"/>
          <w:sz w:val="24"/>
          <w:szCs w:val="24"/>
          <w:highlight w:val="none"/>
          <w:u w:val="none"/>
          <w:lang w:eastAsia="zh-CN"/>
        </w:rPr>
        <w:t>国道338线原平西镇至段家堡段（庙岭梁桥隧群）改线工程</w:t>
      </w:r>
      <w:r>
        <w:rPr>
          <w:rFonts w:hint="eastAsia" w:ascii="宋体" w:hAnsi="宋体" w:eastAsia="宋体" w:cs="宋体"/>
          <w:b w:val="0"/>
          <w:bCs w:val="0"/>
          <w:color w:val="auto"/>
          <w:sz w:val="24"/>
          <w:szCs w:val="24"/>
          <w:highlight w:val="none"/>
          <w:u w:val="none"/>
          <w:lang w:val="en-US" w:eastAsia="zh-CN"/>
        </w:rPr>
        <w:t>监理：</w:t>
      </w:r>
    </w:p>
    <w:p w14:paraId="334346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国道338线原平西镇至段家堡段(庙岭梁桥隧群)改线工程监理服务，其中包含路基、路面、桥梁、隧道、涵洞、房建、交安、机电、绿化、外供电(正式用电、临时供电)等全部图纸范围施工准备阶段、施工阶段、缺陷责任期阶段及交(竣)工验收阶段监理服务。</w:t>
      </w:r>
    </w:p>
    <w:p w14:paraId="7C5AACFB">
      <w:pPr>
        <w:keepNext w:val="0"/>
        <w:keepLines w:val="0"/>
        <w:widowControl/>
        <w:wordWrap/>
        <w:topLinePunct w:val="0"/>
        <w:autoSpaceDE w:val="0"/>
        <w:bidi w:val="0"/>
        <w:spacing w:line="360" w:lineRule="auto"/>
        <w:ind w:left="0" w:leftChars="0" w:righ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eastAsia="宋体" w:cs="宋体"/>
          <w:color w:val="auto"/>
          <w:sz w:val="24"/>
          <w:szCs w:val="24"/>
          <w:highlight w:val="none"/>
          <w:u w:val="none"/>
          <w:lang w:val="en-US" w:eastAsia="zh-CN"/>
        </w:rPr>
        <w:t>监理服务期限：64个月，其中：施工准备阶段监理期限：1个月；施工阶段监理期限：39个月；缺陷责任期阶段的监理期限：24个月。</w:t>
      </w:r>
    </w:p>
    <w:p w14:paraId="1196F5FA">
      <w:pPr>
        <w:keepNext w:val="0"/>
        <w:keepLines w:val="0"/>
        <w:widowControl/>
        <w:wordWrap/>
        <w:topLinePunct w:val="0"/>
        <w:autoSpaceDE w:val="0"/>
        <w:bidi w:val="0"/>
        <w:spacing w:line="360" w:lineRule="auto"/>
        <w:ind w:left="0" w:leftChars="0" w:righ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4.质量要求：</w:t>
      </w:r>
      <w:r>
        <w:rPr>
          <w:rFonts w:hint="eastAsia" w:ascii="宋体" w:hAnsi="宋体" w:cs="宋体"/>
          <w:color w:val="auto"/>
          <w:sz w:val="24"/>
          <w:szCs w:val="24"/>
          <w:highlight w:val="none"/>
          <w:lang w:val="en-US" w:eastAsia="zh-CN"/>
        </w:rPr>
        <w:t>标段工程交工验收的质量评定：合格。工程竣工验收的质量评定：优良。</w:t>
      </w:r>
    </w:p>
    <w:p w14:paraId="36B80425">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5.安全目标：满足国家和山西省安全生产相关规定,认真落实山西省委、省人民政府《关于推进安全生产领域改革发展的实施意见》，做到杜绝重、特大事故，遏制较大事故，减少一般事故。</w:t>
      </w:r>
    </w:p>
    <w:p w14:paraId="16BD3FA5">
      <w:pPr>
        <w:keepNext w:val="0"/>
        <w:keepLines w:val="0"/>
        <w:wordWrap/>
        <w:topLinePunct w:val="0"/>
        <w:bidi w:val="0"/>
        <w:spacing w:line="360" w:lineRule="auto"/>
        <w:ind w:left="0" w:leftChars="0" w:right="0" w:firstLine="480" w:firstLineChars="200"/>
        <w:jc w:val="both"/>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b/>
          <w:bCs/>
          <w:color w:val="auto"/>
          <w:sz w:val="24"/>
          <w:szCs w:val="24"/>
          <w:highlight w:val="none"/>
        </w:rPr>
        <w:t>投标人资格要求</w:t>
      </w:r>
    </w:p>
    <w:p w14:paraId="4FE7DA0A">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投标人须具备独立法人资格，有效的企业法人营业执照，并在人员、设备、资金等方面具有相应的能力；</w:t>
      </w:r>
    </w:p>
    <w:p w14:paraId="2D13C843">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1.1投标人同时具备以下资质要求：</w:t>
      </w:r>
    </w:p>
    <w:p w14:paraId="40EF59BA">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①具备交通运输主管部门颁发的公路工程专业甲级监理资质；</w:t>
      </w:r>
    </w:p>
    <w:p w14:paraId="2F811006">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②具备交通运输主管部门颁发的公路工程机电工程专项监理资质；</w:t>
      </w:r>
    </w:p>
    <w:p w14:paraId="69794B65">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③具备交通运输主管部门颁发的公路工程综合乙级及以上试验检测机构资质或公路工程专业试验检测乙级及以上资质(试验检测资质证书中的机构名称应为投标人名称，或法定代表人与投标人法定代表人为同一个人，若与投标人名称不一致时，其应为与投标人存在控股或参股或管理关系的单位，或与投标人存在控股或参股或管理关系的单位的不具有独立法人资格的下属机构)。</w:t>
      </w:r>
    </w:p>
    <w:p w14:paraId="64807633">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④具备建设行政主管部门颁发的房屋建筑工程监理乙级及以上资质；</w:t>
      </w:r>
    </w:p>
    <w:p w14:paraId="30D1EB41">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⑤具备建设行政主管部门颁发的电力工程监理乙级及以上资质。</w:t>
      </w:r>
    </w:p>
    <w:p w14:paraId="337EBB77">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1.2业绩要求：</w:t>
      </w:r>
    </w:p>
    <w:p w14:paraId="371123F6">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投标人近5年内(2021年5月1日至投标文件递交截止日)通过交工或竣工验收，至少完成过以下业绩:</w:t>
      </w:r>
    </w:p>
    <w:p w14:paraId="045492E8">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①至少独立完成过1项新(改、扩)一级及以上公路路基工程的施工监理业绩；</w:t>
      </w:r>
    </w:p>
    <w:p w14:paraId="332CE83E">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②至少独立完成过1项新(改、扩)一级及以上公路路面工程的施工监理业绩；</w:t>
      </w:r>
    </w:p>
    <w:p w14:paraId="03C9EEEC">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③至少独立完成过1 项新(改、扩)一级及以上公路交安工程的施工监理业绩；</w:t>
      </w:r>
    </w:p>
    <w:p w14:paraId="771322EB">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④至少独立完成过1项新(改、扩)一级及以上公路大桥或以上的施工监理业绩；</w:t>
      </w:r>
    </w:p>
    <w:p w14:paraId="7C278EAC">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⑤至少独立完成过1项新(改、扩)一级及以上公路机电工程施工监理业绩；</w:t>
      </w:r>
    </w:p>
    <w:p w14:paraId="3D5DDE22">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⑥至少独立完成过1项新(改、扩)一级及以上公路特长隧道的施工监理业绩；</w:t>
      </w:r>
    </w:p>
    <w:p w14:paraId="4697813E">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⑦至少独立完成过1项新建房屋建筑工程施工监理业绩；</w:t>
      </w:r>
    </w:p>
    <w:p w14:paraId="6A4B2116">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⑧至少独立完成过1项电力工程施工监理业绩。</w:t>
      </w:r>
    </w:p>
    <w:p w14:paraId="3156E7B4">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注：若某一项业绩同时满足上述多项业绩要求时，可分别予以认定。</w:t>
      </w:r>
    </w:p>
    <w:p w14:paraId="2298A8A1">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1.3人员要求：</w:t>
      </w:r>
    </w:p>
    <w:p w14:paraId="16DDF9FD">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总监理工程师1名，拟任的总监理工程师具有高级工程师及以上职称（公路相关专业），持有中华人民共和国人力资源和社会保障部、交通运输部批准颁发的交通运输工程专业的监理工程师或交通运输部颁发的公路工程监理工程师资格证书，且注册/登记单位与投标人单位名称一致，作为总监理工程师或副总监或驻地监理工程师至少完成：</w:t>
      </w:r>
    </w:p>
    <w:p w14:paraId="4B525B18">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①1项新(改、扩)一级及以上公路路基工程的施工监理业绩；</w:t>
      </w:r>
    </w:p>
    <w:p w14:paraId="00347C7D">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②1项新(改、扩)一级及以上公路路面工程的施工监理业绩；</w:t>
      </w:r>
    </w:p>
    <w:p w14:paraId="5B21BD40">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③1项新(改、扩)一级及以上公路交安工程的施工监理业绩；</w:t>
      </w:r>
    </w:p>
    <w:p w14:paraId="4EE7E7C1">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④1项新(改、扩)一级及以上公路大桥或以上的施工监理业绩；</w:t>
      </w:r>
    </w:p>
    <w:p w14:paraId="1141514C">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⑤1项新(改、扩)一级及以上公路特长隧道的施工监理业绩。</w:t>
      </w:r>
    </w:p>
    <w:p w14:paraId="2CDA369F">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注：若某一项业绩同时满足上述多项业绩要求时，可分别予以认定。</w:t>
      </w:r>
    </w:p>
    <w:p w14:paraId="4F16C0DC">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、与招标人存在利害关系且可能影响招标公正性的单位，不得参加投标。投标人具有下列情况之一的，不得同时参与本项目的投标，否则相关投标均无效。</w:t>
      </w:r>
    </w:p>
    <w:p w14:paraId="03A92158">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（一）单位负责人为同一人或者存在控股、管理关系的不同单位；</w:t>
      </w:r>
    </w:p>
    <w:p w14:paraId="0AC1AF8B">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（二）对招投标造成影响的具有投资参股关系的关联企业；</w:t>
      </w:r>
    </w:p>
    <w:p w14:paraId="39455CC9">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（三）董事、监事、总经理、副总经理和财务负责人相互兼职的关联企业；</w:t>
      </w:r>
    </w:p>
    <w:p w14:paraId="776A2395">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（四）法律法规规章规定的具有关联关系的其他情形。</w:t>
      </w:r>
    </w:p>
    <w:p w14:paraId="621E0A43">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信誉要求：</w:t>
      </w:r>
    </w:p>
    <w:p w14:paraId="5E2B08EA">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①凡被交通运输部或山西省交通运输厅或其他行政主管部门取消投标资格或禁止进入建设市场的监理企业，在处罚期内无资格参与本项目的的投标；</w:t>
      </w:r>
    </w:p>
    <w:p w14:paraId="5FC5A993">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投标人在近三年（2023年5月以来）未在交通工程建设领域因重、特大工程质量、安全事故受到省级及以上行政主管部门的通报，在山西省公路工程建设项目中发生重大工程质量、安全等事故并受到通报的无资格参与本项目的投标；</w:t>
      </w:r>
    </w:p>
    <w:p w14:paraId="32A9E179">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③投标人及其法定代表人、项目总监在近三年内（2023年5月至今）无行贿犯罪行为；</w:t>
      </w:r>
    </w:p>
    <w:p w14:paraId="3B96789E">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④投标人在“信用中国”网站中未被列入严重失信主体名单；</w:t>
      </w:r>
    </w:p>
    <w:p w14:paraId="259DEA39">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⑤投标人在“国家企业信用信息公示系统”中未被列入严重违法失信企业名单。</w:t>
      </w:r>
    </w:p>
    <w:p w14:paraId="05B2F81B">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投标人未在山西省公路建设市场中发生严重不履约行为。                               </w:t>
      </w:r>
    </w:p>
    <w:p w14:paraId="4D0E4ABB">
      <w:pPr>
        <w:keepNext w:val="0"/>
        <w:keepLines w:val="0"/>
        <w:wordWrap/>
        <w:topLinePunct w:val="0"/>
        <w:bidi w:val="0"/>
        <w:spacing w:line="360" w:lineRule="auto"/>
        <w:ind w:left="0" w:leftChars="0" w:right="0"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本标段不允许联合体投标</w:t>
      </w:r>
      <w:r>
        <w:rPr>
          <w:rFonts w:hint="eastAsia" w:ascii="宋体" w:hAnsi="宋体" w:cs="宋体"/>
          <w:color w:val="auto"/>
          <w:sz w:val="24"/>
          <w:szCs w:val="24"/>
          <w:highlight w:val="none"/>
          <w:lang w:val="en-US" w:eastAsia="zh-CN"/>
        </w:rPr>
        <w:br w:type="page"/>
      </w:r>
    </w:p>
    <w:p w14:paraId="2F70DA38">
      <w:pPr>
        <w:keepNext w:val="0"/>
        <w:keepLines w:val="0"/>
        <w:wordWrap/>
        <w:topLinePunct w:val="0"/>
        <w:bidi w:val="0"/>
        <w:spacing w:line="360" w:lineRule="auto"/>
        <w:ind w:left="0" w:leftChars="0" w:right="0" w:firstLine="482" w:firstLineChars="200"/>
        <w:jc w:val="both"/>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三、评标办法</w:t>
      </w:r>
    </w:p>
    <w:p w14:paraId="00B5DE29">
      <w:pPr>
        <w:jc w:val="center"/>
        <w:rPr>
          <w:rFonts w:hint="eastAsia" w:ascii="宋体" w:hAnsi="宋体" w:eastAsia="宋体" w:cs="宋体"/>
          <w:sz w:val="30"/>
          <w:szCs w:val="30"/>
          <w:highlight w:val="none"/>
        </w:rPr>
      </w:pPr>
      <w:r>
        <w:rPr>
          <w:rFonts w:hint="eastAsia" w:ascii="宋体" w:hAnsi="宋体" w:eastAsia="宋体" w:cs="宋体"/>
          <w:b/>
          <w:sz w:val="30"/>
          <w:szCs w:val="30"/>
          <w:highlight w:val="none"/>
          <w:lang w:bidi="ar"/>
        </w:rPr>
        <w:t>评标办法（综合评分法）</w:t>
      </w:r>
    </w:p>
    <w:p w14:paraId="08F475F7">
      <w:pPr>
        <w:rPr>
          <w:rFonts w:hint="eastAsia" w:ascii="宋体" w:hAnsi="宋体" w:eastAsia="宋体" w:cs="宋体"/>
          <w:b/>
          <w:szCs w:val="21"/>
          <w:highlight w:val="none"/>
        </w:rPr>
      </w:pPr>
      <w:r>
        <w:rPr>
          <w:rFonts w:hint="eastAsia" w:ascii="宋体" w:hAnsi="宋体" w:eastAsia="宋体" w:cs="宋体"/>
          <w:b/>
          <w:szCs w:val="21"/>
          <w:highlight w:val="none"/>
          <w:lang w:bidi="ar"/>
        </w:rPr>
        <w:t>评标办法前附表</w:t>
      </w:r>
    </w:p>
    <w:tbl>
      <w:tblPr>
        <w:tblStyle w:val="6"/>
        <w:tblW w:w="0" w:type="auto"/>
        <w:jc w:val="center"/>
        <w:tblLayout w:type="fixed"/>
        <w:tblCellMar>
          <w:top w:w="0" w:type="dxa"/>
          <w:left w:w="0" w:type="dxa"/>
          <w:bottom w:w="0" w:type="dxa"/>
          <w:right w:w="0" w:type="dxa"/>
        </w:tblCellMar>
      </w:tblPr>
      <w:tblGrid>
        <w:gridCol w:w="772"/>
        <w:gridCol w:w="1095"/>
        <w:gridCol w:w="513"/>
        <w:gridCol w:w="386"/>
        <w:gridCol w:w="1140"/>
        <w:gridCol w:w="824"/>
        <w:gridCol w:w="4341"/>
        <w:gridCol w:w="9"/>
      </w:tblGrid>
      <w:tr w14:paraId="588B402B">
        <w:tblPrEx>
          <w:tblCellMar>
            <w:top w:w="0" w:type="dxa"/>
            <w:left w:w="0" w:type="dxa"/>
            <w:bottom w:w="0" w:type="dxa"/>
            <w:right w:w="0" w:type="dxa"/>
          </w:tblCellMar>
        </w:tblPrEx>
        <w:trPr>
          <w:gridAfter w:val="1"/>
          <w:wAfter w:w="9" w:type="dxa"/>
          <w:trHeight w:val="726" w:hRule="atLeast"/>
          <w:jc w:val="center"/>
        </w:trPr>
        <w:tc>
          <w:tcPr>
            <w:tcW w:w="1867" w:type="dxa"/>
            <w:gridSpan w:val="2"/>
            <w:tcBorders>
              <w:top w:val="double" w:color="auto" w:sz="2" w:space="0"/>
              <w:left w:val="double" w:color="auto" w:sz="2" w:space="0"/>
              <w:bottom w:val="single" w:color="000000" w:sz="6" w:space="0"/>
              <w:right w:val="single" w:color="000000" w:sz="6" w:space="0"/>
            </w:tcBorders>
            <w:noWrap w:val="0"/>
            <w:vAlign w:val="center"/>
          </w:tcPr>
          <w:p w14:paraId="40225CB6">
            <w:pPr>
              <w:jc w:val="center"/>
              <w:rPr>
                <w:rFonts w:hint="eastAsia" w:ascii="宋体" w:hAnsi="宋体" w:eastAsia="宋体" w:cs="宋体"/>
                <w:b/>
                <w:szCs w:val="21"/>
                <w:highlight w:val="none"/>
              </w:rPr>
            </w:pPr>
            <w:r>
              <w:rPr>
                <w:rFonts w:hint="eastAsia" w:ascii="宋体" w:hAnsi="宋体" w:eastAsia="宋体" w:cs="宋体"/>
                <w:b/>
                <w:szCs w:val="21"/>
                <w:highlight w:val="none"/>
                <w:lang w:bidi="ar"/>
              </w:rPr>
              <w:t>条款号</w:t>
            </w:r>
          </w:p>
        </w:tc>
        <w:tc>
          <w:tcPr>
            <w:tcW w:w="7204" w:type="dxa"/>
            <w:gridSpan w:val="5"/>
            <w:tcBorders>
              <w:top w:val="double" w:color="auto" w:sz="2" w:space="0"/>
              <w:left w:val="nil"/>
              <w:bottom w:val="single" w:color="000000" w:sz="6" w:space="0"/>
              <w:right w:val="double" w:color="auto" w:sz="2" w:space="0"/>
            </w:tcBorders>
            <w:noWrap w:val="0"/>
            <w:vAlign w:val="center"/>
          </w:tcPr>
          <w:p w14:paraId="4CF7AA45">
            <w:pPr>
              <w:jc w:val="center"/>
              <w:rPr>
                <w:rFonts w:hint="eastAsia" w:ascii="宋体" w:hAnsi="宋体" w:eastAsia="宋体" w:cs="宋体"/>
                <w:b/>
                <w:szCs w:val="21"/>
                <w:highlight w:val="none"/>
              </w:rPr>
            </w:pPr>
            <w:r>
              <w:rPr>
                <w:rFonts w:hint="eastAsia" w:ascii="宋体" w:hAnsi="宋体" w:eastAsia="宋体" w:cs="宋体"/>
                <w:b/>
                <w:szCs w:val="21"/>
                <w:highlight w:val="none"/>
                <w:lang w:bidi="ar"/>
              </w:rPr>
              <w:t>评审因素与标准</w:t>
            </w:r>
          </w:p>
        </w:tc>
      </w:tr>
      <w:tr w14:paraId="702C0203">
        <w:tblPrEx>
          <w:tblCellMar>
            <w:top w:w="0" w:type="dxa"/>
            <w:left w:w="0" w:type="dxa"/>
            <w:bottom w:w="0" w:type="dxa"/>
            <w:right w:w="0" w:type="dxa"/>
          </w:tblCellMar>
        </w:tblPrEx>
        <w:trPr>
          <w:gridAfter w:val="1"/>
          <w:wAfter w:w="9" w:type="dxa"/>
          <w:trHeight w:val="90" w:hRule="atLeast"/>
          <w:jc w:val="center"/>
        </w:trPr>
        <w:tc>
          <w:tcPr>
            <w:tcW w:w="772" w:type="dxa"/>
            <w:tcBorders>
              <w:top w:val="single" w:color="000000" w:sz="6" w:space="0"/>
              <w:left w:val="double" w:color="auto" w:sz="2" w:space="0"/>
              <w:bottom w:val="single" w:color="000000" w:sz="6" w:space="0"/>
              <w:right w:val="single" w:color="auto" w:sz="4" w:space="0"/>
            </w:tcBorders>
            <w:noWrap w:val="0"/>
            <w:vAlign w:val="center"/>
          </w:tcPr>
          <w:p w14:paraId="79DF77F0">
            <w:pPr>
              <w:jc w:val="center"/>
              <w:rPr>
                <w:rFonts w:hint="eastAsia" w:ascii="宋体" w:hAnsi="宋体" w:eastAsia="宋体" w:cs="宋体"/>
                <w:b/>
                <w:szCs w:val="21"/>
                <w:highlight w:val="none"/>
              </w:rPr>
            </w:pPr>
            <w:r>
              <w:rPr>
                <w:rFonts w:hint="eastAsia" w:ascii="宋体" w:hAnsi="宋体" w:eastAsia="宋体" w:cs="宋体"/>
                <w:szCs w:val="21"/>
                <w:highlight w:val="none"/>
                <w:lang w:bidi="ar"/>
              </w:rPr>
              <w:t>1</w:t>
            </w:r>
          </w:p>
        </w:tc>
        <w:tc>
          <w:tcPr>
            <w:tcW w:w="1095" w:type="dxa"/>
            <w:tcBorders>
              <w:top w:val="single" w:color="000000" w:sz="6" w:space="0"/>
              <w:left w:val="nil"/>
              <w:bottom w:val="single" w:color="000000" w:sz="6" w:space="0"/>
              <w:right w:val="single" w:color="000000" w:sz="6" w:space="0"/>
            </w:tcBorders>
            <w:noWrap w:val="0"/>
            <w:vAlign w:val="center"/>
          </w:tcPr>
          <w:p w14:paraId="1A1C344B">
            <w:pPr>
              <w:jc w:val="center"/>
              <w:rPr>
                <w:rFonts w:hint="eastAsia" w:ascii="宋体" w:hAnsi="宋体" w:eastAsia="宋体" w:cs="宋体"/>
                <w:b/>
                <w:szCs w:val="21"/>
                <w:highlight w:val="none"/>
              </w:rPr>
            </w:pPr>
            <w:r>
              <w:rPr>
                <w:rFonts w:hint="eastAsia" w:ascii="宋体" w:hAnsi="宋体" w:eastAsia="宋体" w:cs="宋体"/>
                <w:szCs w:val="21"/>
                <w:highlight w:val="none"/>
                <w:lang w:bidi="ar"/>
              </w:rPr>
              <w:t>评标方法</w:t>
            </w:r>
          </w:p>
        </w:tc>
        <w:tc>
          <w:tcPr>
            <w:tcW w:w="7204" w:type="dxa"/>
            <w:gridSpan w:val="5"/>
            <w:tcBorders>
              <w:top w:val="single" w:color="000000" w:sz="6" w:space="0"/>
              <w:left w:val="nil"/>
              <w:bottom w:val="single" w:color="000000" w:sz="6" w:space="0"/>
              <w:right w:val="double" w:color="auto" w:sz="2" w:space="0"/>
            </w:tcBorders>
            <w:noWrap w:val="0"/>
            <w:vAlign w:val="center"/>
          </w:tcPr>
          <w:p w14:paraId="65EB3DDA">
            <w:pPr>
              <w:autoSpaceDE w:val="0"/>
              <w:spacing w:line="300" w:lineRule="exact"/>
              <w:ind w:left="105" w:leftChars="50" w:right="105" w:rightChars="50"/>
              <w:rPr>
                <w:rFonts w:hint="eastAsia" w:ascii="宋体" w:hAnsi="宋体" w:eastAsia="宋体" w:cs="宋体"/>
                <w:szCs w:val="21"/>
                <w:highlight w:val="none"/>
                <w:lang w:bidi="ar"/>
              </w:rPr>
            </w:pPr>
            <w:r>
              <w:rPr>
                <w:rFonts w:hint="eastAsia" w:ascii="宋体" w:hAnsi="宋体" w:eastAsia="宋体" w:cs="宋体"/>
                <w:szCs w:val="21"/>
                <w:highlight w:val="none"/>
                <w:lang w:bidi="ar"/>
              </w:rPr>
              <w:t>本次评标采用综合评分法。评标委员会对满足招标文件实质性要求的投标文件，按照规定的评分标准进行打分，并按得分由高到低顺序推荐中标候选人。综合评分相等时，评标委员会依次按照以下优先顺序推荐1名中标候选人：</w:t>
            </w:r>
          </w:p>
          <w:p w14:paraId="1D1F67A1">
            <w:pPr>
              <w:autoSpaceDE w:val="0"/>
              <w:spacing w:line="300" w:lineRule="exact"/>
              <w:ind w:left="105" w:leftChars="50" w:right="105" w:rightChars="50"/>
              <w:rPr>
                <w:rFonts w:hint="eastAsia" w:ascii="宋体" w:hAnsi="宋体" w:eastAsia="宋体" w:cs="宋体"/>
                <w:szCs w:val="21"/>
                <w:highlight w:val="none"/>
              </w:rPr>
            </w:pPr>
            <w:r>
              <w:rPr>
                <w:rFonts w:hint="eastAsia" w:ascii="宋体" w:hAnsi="宋体" w:eastAsia="宋体" w:cs="宋体"/>
                <w:szCs w:val="21"/>
                <w:highlight w:val="none"/>
                <w:lang w:bidi="ar"/>
              </w:rPr>
              <w:t>（1）评标价低的投标人优先；</w:t>
            </w:r>
          </w:p>
          <w:p w14:paraId="71641E5E">
            <w:pPr>
              <w:autoSpaceDE w:val="0"/>
              <w:spacing w:line="300" w:lineRule="exact"/>
              <w:ind w:left="105" w:leftChars="50" w:right="105" w:rightChars="50"/>
              <w:rPr>
                <w:rFonts w:hint="eastAsia" w:ascii="宋体" w:hAnsi="宋体" w:eastAsia="宋体" w:cs="宋体"/>
                <w:szCs w:val="21"/>
                <w:highlight w:val="none"/>
                <w:lang w:bidi="ar"/>
              </w:rPr>
            </w:pP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）商务和技术得分较高的投标人优先；</w:t>
            </w:r>
          </w:p>
          <w:p w14:paraId="5F48356C">
            <w:pPr>
              <w:autoSpaceDE w:val="0"/>
              <w:spacing w:line="300" w:lineRule="exact"/>
              <w:ind w:left="105" w:leftChars="50" w:right="105" w:rightChars="50"/>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）信用评价等级较高者优先</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信用评价以山西省交通运输厅信用评价结果</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为准</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w:t>
            </w:r>
          </w:p>
          <w:p w14:paraId="4E6D25CA">
            <w:pPr>
              <w:autoSpaceDE w:val="0"/>
              <w:spacing w:line="300" w:lineRule="exact"/>
              <w:ind w:left="105" w:leftChars="50" w:right="105" w:rightChars="50"/>
              <w:rPr>
                <w:rFonts w:hint="eastAsia" w:ascii="宋体" w:hAnsi="宋体" w:eastAsia="宋体" w:cs="宋体"/>
                <w:szCs w:val="21"/>
                <w:highlight w:val="none"/>
              </w:rPr>
            </w:pPr>
            <w:r>
              <w:rPr>
                <w:rFonts w:hint="eastAsia" w:ascii="宋体" w:hAnsi="宋体" w:eastAsia="宋体" w:cs="宋体"/>
                <w:szCs w:val="21"/>
                <w:highlight w:val="none"/>
                <w:lang w:bidi="ar"/>
              </w:rPr>
              <w:t>（4）最终投标文件上传至交易平台较早的投标人优先。</w:t>
            </w:r>
          </w:p>
        </w:tc>
      </w:tr>
      <w:tr w14:paraId="008DA921">
        <w:tblPrEx>
          <w:tblCellMar>
            <w:top w:w="0" w:type="dxa"/>
            <w:left w:w="0" w:type="dxa"/>
            <w:bottom w:w="0" w:type="dxa"/>
            <w:right w:w="0" w:type="dxa"/>
          </w:tblCellMar>
        </w:tblPrEx>
        <w:trPr>
          <w:gridAfter w:val="1"/>
          <w:wAfter w:w="9" w:type="dxa"/>
          <w:trHeight w:val="860" w:hRule="atLeast"/>
          <w:jc w:val="center"/>
        </w:trPr>
        <w:tc>
          <w:tcPr>
            <w:tcW w:w="772" w:type="dxa"/>
            <w:tcBorders>
              <w:top w:val="single" w:color="000000" w:sz="6" w:space="0"/>
              <w:left w:val="double" w:color="auto" w:sz="2" w:space="0"/>
              <w:bottom w:val="double" w:color="auto" w:sz="2" w:space="0"/>
              <w:right w:val="single" w:color="000000" w:sz="6" w:space="0"/>
            </w:tcBorders>
            <w:noWrap w:val="0"/>
            <w:vAlign w:val="center"/>
          </w:tcPr>
          <w:p w14:paraId="4F2EC124">
            <w:pPr>
              <w:jc w:val="center"/>
              <w:rPr>
                <w:rFonts w:hint="eastAsia" w:ascii="宋体" w:hAnsi="宋体" w:eastAsia="宋体" w:cs="宋体"/>
                <w:szCs w:val="21"/>
                <w:highlight w:val="none"/>
              </w:rPr>
            </w:pPr>
            <w:r>
              <w:rPr>
                <w:rFonts w:hint="eastAsia" w:ascii="宋体" w:hAnsi="宋体" w:eastAsia="宋体" w:cs="宋体"/>
                <w:szCs w:val="21"/>
                <w:highlight w:val="none"/>
                <w:lang w:bidi="ar"/>
              </w:rPr>
              <w:t>2.1.1</w:t>
            </w:r>
          </w:p>
          <w:p w14:paraId="377048C6">
            <w:pPr>
              <w:jc w:val="center"/>
              <w:rPr>
                <w:rFonts w:hint="eastAsia" w:ascii="宋体" w:hAnsi="宋体" w:eastAsia="宋体" w:cs="宋体"/>
                <w:szCs w:val="21"/>
                <w:highlight w:val="none"/>
              </w:rPr>
            </w:pPr>
            <w:r>
              <w:rPr>
                <w:rFonts w:hint="eastAsia" w:ascii="宋体" w:hAnsi="宋体" w:eastAsia="宋体" w:cs="宋体"/>
                <w:szCs w:val="21"/>
                <w:highlight w:val="none"/>
                <w:lang w:bidi="ar"/>
              </w:rPr>
              <w:t>2.1.3</w:t>
            </w:r>
          </w:p>
        </w:tc>
        <w:tc>
          <w:tcPr>
            <w:tcW w:w="1095" w:type="dxa"/>
            <w:tcBorders>
              <w:top w:val="single" w:color="000000" w:sz="6" w:space="0"/>
              <w:left w:val="nil"/>
              <w:bottom w:val="double" w:color="auto" w:sz="2" w:space="0"/>
              <w:right w:val="single" w:color="000000" w:sz="6" w:space="0"/>
            </w:tcBorders>
            <w:noWrap w:val="0"/>
            <w:vAlign w:val="center"/>
          </w:tcPr>
          <w:p w14:paraId="5BC7A26C">
            <w:pPr>
              <w:autoSpaceDE w:val="0"/>
              <w:autoSpaceDN w:val="0"/>
              <w:adjustRightInd w:val="0"/>
              <w:spacing w:line="280" w:lineRule="exact"/>
              <w:ind w:left="113" w:right="113"/>
              <w:jc w:val="center"/>
              <w:rPr>
                <w:rFonts w:hint="eastAsia" w:ascii="宋体" w:hAnsi="宋体" w:eastAsia="宋体" w:cs="宋体"/>
                <w:szCs w:val="21"/>
                <w:highlight w:val="none"/>
              </w:rPr>
            </w:pPr>
            <w:r>
              <w:rPr>
                <w:rFonts w:hint="eastAsia" w:ascii="宋体" w:hAnsi="宋体" w:eastAsia="宋体" w:cs="宋体"/>
                <w:szCs w:val="21"/>
                <w:highlight w:val="none"/>
                <w:lang w:bidi="ar"/>
              </w:rPr>
              <w:t>形式评审</w:t>
            </w:r>
          </w:p>
          <w:p w14:paraId="3C5E1E10">
            <w:pPr>
              <w:autoSpaceDE w:val="0"/>
              <w:autoSpaceDN w:val="0"/>
              <w:adjustRightInd w:val="0"/>
              <w:spacing w:line="280" w:lineRule="exact"/>
              <w:ind w:left="113" w:right="113"/>
              <w:jc w:val="center"/>
              <w:rPr>
                <w:rFonts w:hint="eastAsia" w:ascii="宋体" w:hAnsi="宋体" w:eastAsia="宋体" w:cs="宋体"/>
                <w:szCs w:val="21"/>
                <w:highlight w:val="none"/>
              </w:rPr>
            </w:pPr>
            <w:r>
              <w:rPr>
                <w:rFonts w:hint="eastAsia" w:ascii="宋体" w:hAnsi="宋体" w:eastAsia="宋体" w:cs="宋体"/>
                <w:szCs w:val="21"/>
                <w:highlight w:val="none"/>
                <w:lang w:bidi="ar"/>
              </w:rPr>
              <w:t>与响应性</w:t>
            </w:r>
          </w:p>
          <w:p w14:paraId="7DFE51DD">
            <w:pPr>
              <w:snapToGrid w:val="0"/>
              <w:ind w:left="113" w:right="113"/>
              <w:jc w:val="center"/>
              <w:rPr>
                <w:rFonts w:hint="eastAsia" w:ascii="宋体" w:hAnsi="宋体" w:eastAsia="宋体" w:cs="宋体"/>
                <w:szCs w:val="21"/>
                <w:highlight w:val="none"/>
              </w:rPr>
            </w:pPr>
            <w:r>
              <w:rPr>
                <w:rFonts w:hint="eastAsia" w:ascii="宋体" w:hAnsi="宋体" w:eastAsia="宋体" w:cs="宋体"/>
                <w:szCs w:val="21"/>
                <w:highlight w:val="none"/>
                <w:lang w:bidi="ar"/>
              </w:rPr>
              <w:t>评审标准</w:t>
            </w:r>
          </w:p>
        </w:tc>
        <w:tc>
          <w:tcPr>
            <w:tcW w:w="7204" w:type="dxa"/>
            <w:gridSpan w:val="5"/>
            <w:tcBorders>
              <w:top w:val="single" w:color="000000" w:sz="6" w:space="0"/>
              <w:left w:val="nil"/>
              <w:bottom w:val="double" w:color="auto" w:sz="2" w:space="0"/>
              <w:right w:val="double" w:color="auto" w:sz="2" w:space="0"/>
            </w:tcBorders>
            <w:noWrap w:val="0"/>
            <w:vAlign w:val="center"/>
          </w:tcPr>
          <w:p w14:paraId="6D8A3E2C">
            <w:pPr>
              <w:spacing w:line="300" w:lineRule="exact"/>
              <w:ind w:right="105" w:rightChars="50"/>
              <w:rPr>
                <w:rFonts w:hint="eastAsia" w:ascii="宋体" w:hAnsi="宋体" w:eastAsia="宋体" w:cs="宋体"/>
                <w:b/>
                <w:szCs w:val="21"/>
                <w:highlight w:val="none"/>
              </w:rPr>
            </w:pPr>
            <w:r>
              <w:rPr>
                <w:rFonts w:hint="eastAsia" w:ascii="宋体" w:hAnsi="宋体" w:eastAsia="宋体" w:cs="宋体"/>
                <w:b/>
                <w:szCs w:val="21"/>
                <w:highlight w:val="none"/>
                <w:lang w:bidi="ar"/>
              </w:rPr>
              <w:t>第一个信封（商务及技术文件）评审标准：</w:t>
            </w:r>
          </w:p>
          <w:p w14:paraId="012641A4">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（1）电子投标文件按照招标文件规定的格式、内容填写，字迹清晰可辩：</w:t>
            </w:r>
          </w:p>
          <w:p w14:paraId="17AFAFD9">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a.投标函按招标文件规定填报了项目名称、标段号、补遗书编号（如有）、监理服务期限、工程质量要求及安全目标；</w:t>
            </w:r>
          </w:p>
          <w:p w14:paraId="2678DFC9">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b.投标文件组成齐全完整，内容均按规定填写。</w:t>
            </w:r>
          </w:p>
          <w:p w14:paraId="4DD296EC">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（2）投标文件上法定代表人的电子签名、投标人单位的电子签章齐全，符合招标文件规定。</w:t>
            </w:r>
          </w:p>
          <w:p w14:paraId="2CD926EC">
            <w:pPr>
              <w:tabs>
                <w:tab w:val="left" w:pos="0"/>
                <w:tab w:val="left" w:pos="879"/>
              </w:tabs>
              <w:adjustRightInd w:val="0"/>
              <w:snapToGrid w:val="0"/>
              <w:spacing w:line="360" w:lineRule="auto"/>
              <w:ind w:left="29" w:firstLine="140"/>
              <w:rPr>
                <w:rFonts w:hint="eastAsia" w:ascii="宋体" w:hAnsi="宋体" w:eastAsia="宋体" w:cs="宋体"/>
                <w:highlight w:val="none"/>
                <w:lang w:val="zh-CN"/>
              </w:rPr>
            </w:pPr>
            <w:r>
              <w:rPr>
                <w:rFonts w:hint="eastAsia" w:ascii="宋体" w:hAnsi="宋体" w:eastAsia="宋体" w:cs="宋体"/>
                <w:highlight w:val="none"/>
                <w:lang w:val="zh-CN"/>
              </w:rPr>
              <w:t>（3）投标人按照招标文件的规定提供了投标保证金：</w:t>
            </w:r>
          </w:p>
          <w:p w14:paraId="49A8FDBB">
            <w:pPr>
              <w:tabs>
                <w:tab w:val="left" w:pos="0"/>
                <w:tab w:val="left" w:pos="879"/>
              </w:tabs>
              <w:adjustRightInd w:val="0"/>
              <w:snapToGrid w:val="0"/>
              <w:spacing w:line="360" w:lineRule="auto"/>
              <w:ind w:left="29" w:firstLine="140"/>
              <w:rPr>
                <w:rFonts w:hint="eastAsia" w:ascii="宋体" w:hAnsi="宋体" w:eastAsia="宋体" w:cs="宋体"/>
              </w:rPr>
            </w:pPr>
            <w:r>
              <w:rPr>
                <w:rFonts w:hint="eastAsia" w:ascii="宋体" w:hAnsi="宋体" w:eastAsia="宋体" w:cs="宋体"/>
              </w:rPr>
              <w:t>a.投标保证金金额符合招标文件规定的金额，且投标保证金有效期不少于投标有效期；</w:t>
            </w:r>
          </w:p>
          <w:p w14:paraId="7082CB72">
            <w:pPr>
              <w:tabs>
                <w:tab w:val="left" w:pos="0"/>
                <w:tab w:val="left" w:pos="879"/>
              </w:tabs>
              <w:adjustRightInd w:val="0"/>
              <w:snapToGrid w:val="0"/>
              <w:spacing w:line="360" w:lineRule="auto"/>
              <w:ind w:left="29" w:firstLine="140"/>
              <w:rPr>
                <w:rFonts w:hint="eastAsia" w:ascii="宋体" w:hAnsi="宋体" w:eastAsia="宋体" w:cs="宋体"/>
                <w:highlight w:val="none"/>
                <w:lang w:val="zh-CN"/>
              </w:rPr>
            </w:pPr>
            <w:r>
              <w:rPr>
                <w:rFonts w:hint="eastAsia" w:ascii="宋体" w:hAnsi="宋体" w:eastAsia="宋体" w:cs="宋体"/>
              </w:rPr>
              <w:t>b.如采用保函形式递交，应当是符合经营要求的工程担保公司、银行金融机构和保险公司出具的保函。投标保函必须与招标投标项目相对应，有效期符合项目开展招标投标活动，其投标保函应当在投标有效期内为无条件不可撤销、见索即付的保函，如为银行保函则需同时提供银行查证授权书；如为担保公司保函或保险公司保函同时提供担保公司的经营许可证及营业执照。（注：投标人应将查询真伪路径、投标保函、担保公司的经营许可证及营业执照、基本账户汇款保函费用凭证的扫描件放入投标文件内，不符合上述要求的保函视为投标保证金无效）；</w:t>
            </w:r>
          </w:p>
          <w:p w14:paraId="26E2731B">
            <w:pPr>
              <w:tabs>
                <w:tab w:val="left" w:pos="0"/>
                <w:tab w:val="left" w:pos="879"/>
              </w:tabs>
              <w:adjustRightInd w:val="0"/>
              <w:snapToGrid w:val="0"/>
              <w:spacing w:line="360" w:lineRule="auto"/>
              <w:ind w:left="29" w:firstLine="140"/>
              <w:rPr>
                <w:rFonts w:hint="eastAsia" w:ascii="宋体" w:hAnsi="宋体" w:eastAsia="宋体" w:cs="宋体"/>
                <w:lang w:val="zh-CN"/>
              </w:rPr>
            </w:pPr>
            <w:r>
              <w:rPr>
                <w:rFonts w:hint="eastAsia" w:ascii="宋体" w:hAnsi="宋体" w:eastAsia="宋体" w:cs="宋体"/>
                <w:highlight w:val="none"/>
                <w:lang w:val="zh-CN"/>
              </w:rPr>
              <w:t>（4</w:t>
            </w:r>
            <w:r>
              <w:rPr>
                <w:rFonts w:hint="eastAsia" w:ascii="宋体" w:hAnsi="宋体" w:eastAsia="宋体" w:cs="宋体"/>
                <w:lang w:val="zh-CN"/>
              </w:rPr>
              <w:t>）提供了法定代表人身份证明。</w:t>
            </w:r>
          </w:p>
          <w:p w14:paraId="107AFBC9">
            <w:pPr>
              <w:tabs>
                <w:tab w:val="left" w:pos="0"/>
                <w:tab w:val="left" w:pos="879"/>
              </w:tabs>
              <w:adjustRightInd w:val="0"/>
              <w:snapToGrid w:val="0"/>
              <w:spacing w:line="360" w:lineRule="auto"/>
              <w:ind w:left="29" w:firstLine="140"/>
              <w:rPr>
                <w:rFonts w:hint="eastAsia" w:ascii="宋体" w:hAnsi="宋体" w:eastAsia="宋体" w:cs="宋体"/>
                <w:lang w:val="zh-CN"/>
              </w:rPr>
            </w:pPr>
            <w:r>
              <w:rPr>
                <w:rFonts w:hint="eastAsia" w:ascii="宋体" w:hAnsi="宋体" w:eastAsia="宋体" w:cs="宋体"/>
                <w:lang w:val="zh-CN"/>
              </w:rPr>
              <w:t>（5）投标人未以联合体形式投标。</w:t>
            </w:r>
          </w:p>
          <w:p w14:paraId="688241C7">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（6）同一投标人未提交两个以上不同的投标文件，但招标文件要求提交备选投标的除外。</w:t>
            </w:r>
          </w:p>
          <w:p w14:paraId="1DDDF15F">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（7）投标文件中未出现有关投标报价的内容。</w:t>
            </w:r>
          </w:p>
          <w:p w14:paraId="55D22FED">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（8）投标文件载明的招标项目完成期限未超过招标文件规定的时限。</w:t>
            </w:r>
          </w:p>
          <w:p w14:paraId="4086EBB3">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（9）投标文件对招标文件的实质性要求和条件作出响应。</w:t>
            </w:r>
          </w:p>
          <w:p w14:paraId="05987453">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（10）权利义务符合招标文件规定：</w:t>
            </w:r>
          </w:p>
          <w:p w14:paraId="67577208">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a.投标人应接受招标文件规定的风险划分原则，未提出新的风险划分办法；</w:t>
            </w:r>
          </w:p>
          <w:p w14:paraId="18D40BAE">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b.投标人未增加发包人的责任范围，或减少投标人义务；</w:t>
            </w:r>
          </w:p>
          <w:p w14:paraId="7B7BB2ED">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c.投标人未提出不同的工程验收、计量、支付办法；</w:t>
            </w:r>
          </w:p>
          <w:p w14:paraId="485176EB">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d.投标人对合同纠纷、事故处理办法未提出异议；</w:t>
            </w:r>
          </w:p>
          <w:p w14:paraId="128B5D2A">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e.投标人在投标活动中无欺诈行为；</w:t>
            </w:r>
          </w:p>
          <w:p w14:paraId="504F9522">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f.投标人未对合同条款有重要保留。</w:t>
            </w:r>
          </w:p>
          <w:p w14:paraId="75187C66">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（11）投标人技术能力和以往履约信誉存在以下问题之一的，属于重大偏差：</w:t>
            </w:r>
          </w:p>
          <w:p w14:paraId="474ACBDB">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a.承诺的质量检验标准低于招标文件或国家强制性标准要求；</w:t>
            </w:r>
          </w:p>
          <w:p w14:paraId="0406DF3A">
            <w:pPr>
              <w:autoSpaceDE w:val="0"/>
              <w:spacing w:line="360" w:lineRule="exact"/>
              <w:ind w:left="105" w:leftChars="50" w:right="105" w:rightChars="50"/>
              <w:rPr>
                <w:rFonts w:hint="eastAsia" w:ascii="宋体" w:hAnsi="宋体" w:eastAsia="宋体" w:cs="宋体"/>
                <w:highlight w:val="none"/>
                <w:lang w:val="zh-CN"/>
              </w:rPr>
            </w:pPr>
            <w:r>
              <w:rPr>
                <w:rFonts w:hint="eastAsia" w:ascii="宋体" w:hAnsi="宋体" w:eastAsia="宋体" w:cs="宋体"/>
                <w:highlight w:val="none"/>
                <w:lang w:val="zh-CN"/>
              </w:rPr>
              <w:t>b.业绩、人员、财务及履约信誉等证明材料存在虚假。</w:t>
            </w:r>
          </w:p>
          <w:p w14:paraId="0067CE9D">
            <w:pPr>
              <w:autoSpaceDE w:val="0"/>
              <w:spacing w:line="360" w:lineRule="exact"/>
              <w:ind w:left="105" w:leftChars="50" w:right="105" w:rightChars="50"/>
              <w:rPr>
                <w:rFonts w:hint="eastAsia" w:ascii="宋体" w:hAnsi="宋体" w:eastAsia="宋体" w:cs="宋体"/>
                <w:highlight w:val="none"/>
                <w:lang w:val="en-US"/>
              </w:rPr>
            </w:pPr>
            <w:r>
              <w:rPr>
                <w:rFonts w:hint="eastAsia" w:ascii="宋体" w:hAnsi="宋体" w:eastAsia="宋体" w:cs="宋体"/>
                <w:highlight w:val="none"/>
                <w:lang w:val="en-US" w:eastAsia="zh-CN"/>
              </w:rPr>
              <w:t>（12）不存在投标人须知前附表10.6条的情形。</w:t>
            </w:r>
          </w:p>
          <w:p w14:paraId="43C32CA4">
            <w:pPr>
              <w:autoSpaceDE w:val="0"/>
              <w:spacing w:line="360" w:lineRule="exact"/>
              <w:ind w:left="105" w:leftChars="50" w:right="105" w:rightChars="50"/>
              <w:rPr>
                <w:rFonts w:hint="eastAsia" w:ascii="宋体" w:hAnsi="宋体" w:eastAsia="宋体" w:cs="宋体"/>
                <w:b/>
                <w:szCs w:val="21"/>
                <w:highlight w:val="none"/>
                <w:lang w:bidi="ar"/>
              </w:rPr>
            </w:pPr>
          </w:p>
          <w:p w14:paraId="31494F3F">
            <w:pPr>
              <w:autoSpaceDE w:val="0"/>
              <w:spacing w:line="360" w:lineRule="exact"/>
              <w:ind w:left="105" w:leftChars="50" w:right="105" w:rightChars="50"/>
              <w:rPr>
                <w:rFonts w:hint="eastAsia" w:ascii="宋体" w:hAnsi="宋体" w:eastAsia="宋体" w:cs="宋体"/>
                <w:b/>
                <w:szCs w:val="21"/>
                <w:highlight w:val="none"/>
              </w:rPr>
            </w:pPr>
            <w:r>
              <w:rPr>
                <w:rFonts w:hint="eastAsia" w:ascii="宋体" w:hAnsi="宋体" w:eastAsia="宋体" w:cs="宋体"/>
                <w:b/>
                <w:szCs w:val="21"/>
                <w:highlight w:val="none"/>
                <w:lang w:bidi="ar"/>
              </w:rPr>
              <w:t>第二个信封（报价文件）评审标准：</w:t>
            </w:r>
          </w:p>
          <w:p w14:paraId="531AE13C">
            <w:pPr>
              <w:autoSpaceDE w:val="0"/>
              <w:spacing w:line="360" w:lineRule="exact"/>
              <w:ind w:left="105" w:leftChars="50" w:right="105" w:rightChars="50"/>
              <w:rPr>
                <w:rFonts w:hint="eastAsia" w:ascii="宋体" w:hAnsi="宋体" w:eastAsia="宋体" w:cs="宋体"/>
                <w:szCs w:val="21"/>
                <w:highlight w:val="none"/>
              </w:rPr>
            </w:pPr>
            <w:r>
              <w:rPr>
                <w:rFonts w:hint="eastAsia" w:ascii="宋体" w:hAnsi="宋体" w:eastAsia="宋体" w:cs="宋体"/>
                <w:szCs w:val="21"/>
                <w:highlight w:val="none"/>
                <w:lang w:bidi="ar"/>
              </w:rPr>
              <w:t>（1）投标文件按照招标文件规定的格式、内容填写，字迹清晰可辨，内容齐全完整：</w:t>
            </w:r>
          </w:p>
          <w:p w14:paraId="4E5381B8">
            <w:pPr>
              <w:autoSpaceDE w:val="0"/>
              <w:spacing w:line="360" w:lineRule="exact"/>
              <w:ind w:left="105" w:leftChars="50" w:right="105" w:rightChars="50"/>
              <w:rPr>
                <w:rFonts w:hint="eastAsia" w:ascii="宋体" w:hAnsi="宋体" w:eastAsia="宋体" w:cs="宋体"/>
                <w:szCs w:val="21"/>
                <w:highlight w:val="none"/>
              </w:rPr>
            </w:pPr>
            <w:r>
              <w:rPr>
                <w:rFonts w:hint="eastAsia" w:ascii="宋体" w:hAnsi="宋体" w:eastAsia="宋体" w:cs="宋体"/>
                <w:szCs w:val="21"/>
                <w:highlight w:val="none"/>
                <w:lang w:bidi="ar"/>
              </w:rPr>
              <w:t>a.投标函按招标文件规定填报了项目名称、标段号、补遗书编号（如有）、投标价（包括大写金额和小写金额）；</w:t>
            </w:r>
          </w:p>
          <w:p w14:paraId="0EAE6347">
            <w:pPr>
              <w:autoSpaceDE w:val="0"/>
              <w:spacing w:line="360" w:lineRule="exact"/>
              <w:ind w:left="105" w:leftChars="50" w:right="105" w:rightChars="50"/>
              <w:rPr>
                <w:rFonts w:hint="eastAsia" w:ascii="宋体" w:hAnsi="宋体" w:eastAsia="宋体" w:cs="宋体"/>
                <w:szCs w:val="21"/>
                <w:highlight w:val="none"/>
              </w:rPr>
            </w:pPr>
            <w:r>
              <w:rPr>
                <w:rFonts w:hint="eastAsia" w:ascii="宋体" w:hAnsi="宋体" w:eastAsia="宋体" w:cs="宋体"/>
                <w:szCs w:val="21"/>
                <w:highlight w:val="none"/>
                <w:lang w:bidi="ar"/>
              </w:rPr>
              <w:t>b.投标文件组成齐全完整，内容均按规定填写。</w:t>
            </w:r>
          </w:p>
          <w:p w14:paraId="66C47A0E">
            <w:pPr>
              <w:autoSpaceDE w:val="0"/>
              <w:spacing w:line="360" w:lineRule="exact"/>
              <w:ind w:left="105" w:leftChars="50" w:right="105" w:rightChars="50"/>
              <w:rPr>
                <w:rFonts w:hint="eastAsia" w:ascii="宋体" w:hAnsi="宋体" w:eastAsia="宋体" w:cs="宋体"/>
                <w:szCs w:val="21"/>
                <w:highlight w:val="none"/>
              </w:rPr>
            </w:pPr>
            <w:r>
              <w:rPr>
                <w:rFonts w:hint="eastAsia" w:ascii="宋体" w:hAnsi="宋体" w:eastAsia="宋体" w:cs="宋体"/>
                <w:szCs w:val="21"/>
                <w:highlight w:val="none"/>
                <w:lang w:bidi="ar"/>
              </w:rPr>
              <w:t>（2）投标文件上法定代表人的电子签名、投标人单位的电子签章齐全，符合招标文件规定。</w:t>
            </w:r>
          </w:p>
          <w:p w14:paraId="0603E74C">
            <w:pPr>
              <w:autoSpaceDE w:val="0"/>
              <w:spacing w:line="360" w:lineRule="exact"/>
              <w:ind w:left="105" w:leftChars="50" w:right="105" w:rightChars="50"/>
              <w:rPr>
                <w:rFonts w:hint="eastAsia" w:ascii="宋体" w:hAnsi="宋体" w:eastAsia="宋体" w:cs="宋体"/>
                <w:szCs w:val="21"/>
                <w:highlight w:val="none"/>
              </w:rPr>
            </w:pPr>
            <w:r>
              <w:rPr>
                <w:rFonts w:hint="eastAsia" w:ascii="宋体" w:hAnsi="宋体" w:eastAsia="宋体" w:cs="宋体"/>
                <w:szCs w:val="21"/>
                <w:highlight w:val="none"/>
                <w:lang w:bidi="ar"/>
              </w:rPr>
              <w:t>（3）投标报价中的报价未超过招标文件设定的最高投标限价。</w:t>
            </w:r>
          </w:p>
          <w:p w14:paraId="26319E12">
            <w:pPr>
              <w:autoSpaceDE w:val="0"/>
              <w:spacing w:line="360" w:lineRule="exact"/>
              <w:ind w:left="105" w:leftChars="50" w:right="105" w:rightChars="50"/>
              <w:rPr>
                <w:rFonts w:hint="eastAsia" w:ascii="宋体" w:hAnsi="宋体" w:eastAsia="宋体" w:cs="宋体"/>
                <w:szCs w:val="21"/>
                <w:highlight w:val="none"/>
              </w:rPr>
            </w:pPr>
            <w:r>
              <w:rPr>
                <w:rFonts w:hint="eastAsia" w:ascii="宋体" w:hAnsi="宋体" w:eastAsia="宋体" w:cs="宋体"/>
                <w:szCs w:val="21"/>
                <w:highlight w:val="none"/>
                <w:lang w:bidi="ar"/>
              </w:rPr>
              <w:t>（4）投标报价中报价的大写金额能够确定具体数值。</w:t>
            </w:r>
          </w:p>
          <w:p w14:paraId="3F9549AB">
            <w:pPr>
              <w:autoSpaceDE w:val="0"/>
              <w:spacing w:line="360" w:lineRule="exact"/>
              <w:ind w:left="105" w:leftChars="50" w:right="105" w:rightChars="50"/>
              <w:rPr>
                <w:rFonts w:hint="eastAsia" w:ascii="宋体" w:hAnsi="宋体" w:eastAsia="宋体" w:cs="宋体"/>
                <w:szCs w:val="21"/>
                <w:highlight w:val="none"/>
                <w:lang w:eastAsia="zh-CN"/>
              </w:rPr>
            </w:pPr>
            <w:r>
              <w:rPr>
                <w:rFonts w:hint="eastAsia" w:ascii="宋体" w:hAnsi="宋体" w:eastAsia="宋体" w:cs="宋体"/>
                <w:szCs w:val="21"/>
                <w:highlight w:val="none"/>
              </w:rPr>
              <w:t>（5）缺陷责任期的监理服务费用不得低于投标总价的3%</w:t>
            </w:r>
            <w:r>
              <w:rPr>
                <w:rFonts w:hint="eastAsia" w:ascii="宋体" w:hAnsi="宋体" w:eastAsia="宋体" w:cs="宋体"/>
                <w:szCs w:val="21"/>
                <w:highlight w:val="none"/>
                <w:lang w:eastAsia="zh-CN"/>
              </w:rPr>
              <w:t>。</w:t>
            </w:r>
          </w:p>
          <w:p w14:paraId="2827DECE">
            <w:pPr>
              <w:autoSpaceDE w:val="0"/>
              <w:spacing w:line="360" w:lineRule="exact"/>
              <w:ind w:left="105" w:leftChars="50" w:right="105" w:rightChars="50"/>
              <w:rPr>
                <w:rFonts w:hint="eastAsia" w:ascii="宋体" w:hAnsi="宋体" w:eastAsia="宋体" w:cs="宋体"/>
                <w:szCs w:val="21"/>
                <w:highlight w:val="none"/>
                <w:lang w:bidi="ar"/>
              </w:rPr>
            </w:pP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6</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同一投标人未提交两个以上不同的投标报价。</w:t>
            </w:r>
          </w:p>
          <w:p w14:paraId="56E4FF83">
            <w:pPr>
              <w:autoSpaceDE w:val="0"/>
              <w:spacing w:line="360" w:lineRule="exact"/>
              <w:ind w:left="105" w:leftChars="50" w:right="105" w:rightChars="50"/>
              <w:rPr>
                <w:rFonts w:hint="eastAsia" w:ascii="宋体" w:hAnsi="宋体" w:eastAsia="宋体" w:cs="宋体"/>
                <w:szCs w:val="21"/>
                <w:highlight w:val="none"/>
              </w:rPr>
            </w:pPr>
            <w:r>
              <w:rPr>
                <w:rFonts w:hint="eastAsia" w:ascii="宋体" w:hAnsi="宋体" w:eastAsia="宋体" w:cs="宋体"/>
                <w:highlight w:val="none"/>
                <w:lang w:val="en-US" w:eastAsia="zh-CN"/>
              </w:rPr>
              <w:t>（7）不存在投标人须知前附表10.6条的情形。</w:t>
            </w:r>
          </w:p>
        </w:tc>
      </w:tr>
      <w:tr w14:paraId="1CE171CA">
        <w:tblPrEx>
          <w:tblCellMar>
            <w:top w:w="0" w:type="dxa"/>
            <w:left w:w="0" w:type="dxa"/>
            <w:bottom w:w="0" w:type="dxa"/>
            <w:right w:w="0" w:type="dxa"/>
          </w:tblCellMar>
        </w:tblPrEx>
        <w:trPr>
          <w:trHeight w:val="3515" w:hRule="atLeast"/>
          <w:jc w:val="center"/>
        </w:trPr>
        <w:tc>
          <w:tcPr>
            <w:tcW w:w="772" w:type="dxa"/>
            <w:tcBorders>
              <w:top w:val="single" w:color="000000" w:sz="6" w:space="0"/>
              <w:left w:val="double" w:color="auto" w:sz="2" w:space="0"/>
              <w:bottom w:val="single" w:color="000000" w:sz="6" w:space="0"/>
              <w:right w:val="single" w:color="000000" w:sz="6" w:space="0"/>
            </w:tcBorders>
            <w:noWrap w:val="0"/>
            <w:vAlign w:val="center"/>
          </w:tcPr>
          <w:p w14:paraId="2A181E4D">
            <w:pPr>
              <w:autoSpaceDE w:val="0"/>
              <w:autoSpaceDN w:val="0"/>
              <w:adjustRightInd w:val="0"/>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lang w:bidi="ar"/>
              </w:rPr>
              <w:t>2.1.2</w:t>
            </w: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2D16C4B5">
            <w:pPr>
              <w:autoSpaceDE w:val="0"/>
              <w:autoSpaceDN w:val="0"/>
              <w:adjustRightInd w:val="0"/>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lang w:bidi="ar"/>
              </w:rPr>
              <w:t>第一个信封资格评审标准</w:t>
            </w:r>
          </w:p>
        </w:tc>
        <w:tc>
          <w:tcPr>
            <w:tcW w:w="7213" w:type="dxa"/>
            <w:gridSpan w:val="6"/>
            <w:tcBorders>
              <w:top w:val="single" w:color="000000" w:sz="6" w:space="0"/>
              <w:left w:val="single" w:color="000000" w:sz="6" w:space="0"/>
              <w:bottom w:val="single" w:color="000000" w:sz="6" w:space="0"/>
              <w:right w:val="double" w:color="auto" w:sz="2" w:space="0"/>
            </w:tcBorders>
            <w:noWrap w:val="0"/>
            <w:vAlign w:val="center"/>
          </w:tcPr>
          <w:p w14:paraId="5FAB314C">
            <w:pPr>
              <w:autoSpaceDE w:val="0"/>
              <w:spacing w:line="360" w:lineRule="exact"/>
              <w:ind w:left="105" w:leftChars="50" w:right="105" w:rightChars="50"/>
              <w:rPr>
                <w:rFonts w:hint="eastAsia" w:ascii="宋体" w:hAnsi="宋体" w:eastAsia="宋体" w:cs="宋体"/>
                <w:szCs w:val="21"/>
                <w:highlight w:val="none"/>
                <w:lang w:bidi="ar"/>
              </w:rPr>
            </w:pPr>
            <w:r>
              <w:rPr>
                <w:rFonts w:hint="eastAsia" w:ascii="宋体" w:hAnsi="宋体" w:eastAsia="宋体" w:cs="宋体"/>
                <w:szCs w:val="21"/>
                <w:highlight w:val="none"/>
                <w:lang w:bidi="ar"/>
              </w:rPr>
              <w:t>（1）投标人具备有效的企业法人营业执照、资质证书和基本账户开户许可证，或基本存款账户信息。</w:t>
            </w:r>
          </w:p>
          <w:p w14:paraId="4FAEDB35">
            <w:pPr>
              <w:autoSpaceDE w:val="0"/>
              <w:spacing w:line="360" w:lineRule="exact"/>
              <w:ind w:left="105" w:leftChars="50" w:right="105" w:rightChars="50"/>
              <w:rPr>
                <w:rFonts w:hint="eastAsia" w:ascii="宋体" w:hAnsi="宋体" w:eastAsia="宋体" w:cs="宋体"/>
                <w:szCs w:val="21"/>
                <w:highlight w:val="none"/>
                <w:lang w:bidi="ar"/>
              </w:rPr>
            </w:pPr>
            <w:r>
              <w:rPr>
                <w:rFonts w:hint="eastAsia" w:ascii="宋体" w:hAnsi="宋体" w:eastAsia="宋体" w:cs="宋体"/>
                <w:szCs w:val="21"/>
                <w:highlight w:val="none"/>
                <w:lang w:bidi="ar"/>
              </w:rPr>
              <w:t>（2）投标人的资质等级符合投标人须知附录1规定。</w:t>
            </w:r>
          </w:p>
          <w:p w14:paraId="268FBFDD">
            <w:pPr>
              <w:autoSpaceDE w:val="0"/>
              <w:spacing w:line="360" w:lineRule="exact"/>
              <w:ind w:left="105" w:leftChars="50" w:right="105" w:rightChars="50"/>
              <w:rPr>
                <w:rFonts w:hint="eastAsia" w:ascii="宋体" w:hAnsi="宋体" w:eastAsia="宋体" w:cs="宋体"/>
                <w:szCs w:val="21"/>
                <w:highlight w:val="none"/>
                <w:lang w:bidi="ar"/>
              </w:rPr>
            </w:pP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投标人的</w:t>
            </w:r>
            <w:r>
              <w:rPr>
                <w:rFonts w:hint="eastAsia" w:ascii="宋体" w:hAnsi="宋体" w:eastAsia="宋体" w:cs="宋体"/>
                <w:szCs w:val="21"/>
                <w:highlight w:val="none"/>
                <w:lang w:eastAsia="zh-CN" w:bidi="ar"/>
              </w:rPr>
              <w:t>财务情况</w:t>
            </w:r>
            <w:r>
              <w:rPr>
                <w:rFonts w:hint="eastAsia" w:ascii="宋体" w:hAnsi="宋体" w:eastAsia="宋体" w:cs="宋体"/>
                <w:szCs w:val="21"/>
                <w:highlight w:val="none"/>
                <w:lang w:bidi="ar"/>
              </w:rPr>
              <w:t>符合投标人须知附录</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规定。</w:t>
            </w:r>
          </w:p>
          <w:p w14:paraId="75BFFD48">
            <w:pPr>
              <w:autoSpaceDE w:val="0"/>
              <w:spacing w:line="360" w:lineRule="exact"/>
              <w:ind w:left="105" w:leftChars="50" w:right="105" w:rightChars="5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）投标人的类似项目业绩符合投标人须知附录3规定。</w:t>
            </w:r>
          </w:p>
          <w:p w14:paraId="081548CB">
            <w:pPr>
              <w:autoSpaceDE w:val="0"/>
              <w:spacing w:line="360" w:lineRule="exact"/>
              <w:ind w:left="105" w:leftChars="50" w:right="105" w:rightChars="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）投标人的信誉符合投标人须知附录4规定。</w:t>
            </w:r>
          </w:p>
          <w:p w14:paraId="1E5727E0">
            <w:pPr>
              <w:autoSpaceDE w:val="0"/>
              <w:spacing w:line="360" w:lineRule="exact"/>
              <w:ind w:left="105" w:leftChars="50" w:right="105" w:rightChars="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）投标人的总监理工程师资格、在岗情况符合投标人须知附录5规定。</w:t>
            </w:r>
          </w:p>
          <w:p w14:paraId="58ECB178">
            <w:pPr>
              <w:autoSpaceDE w:val="0"/>
              <w:spacing w:line="360" w:lineRule="exact"/>
              <w:ind w:left="105" w:leftChars="50" w:right="105" w:rightChars="50"/>
              <w:rPr>
                <w:rFonts w:hint="eastAsia" w:ascii="宋体" w:hAnsi="宋体" w:eastAsia="宋体" w:cs="宋体"/>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bidi="ar"/>
              </w:rPr>
              <w:t>）投标人不存在第二章“投标人须知”第1.4.3项或第1.4.4项</w:t>
            </w:r>
            <w:r>
              <w:rPr>
                <w:rFonts w:hint="eastAsia" w:ascii="宋体" w:hAnsi="宋体" w:eastAsia="宋体" w:cs="宋体"/>
                <w:szCs w:val="21"/>
                <w:highlight w:val="none"/>
                <w:lang w:bidi="ar"/>
              </w:rPr>
              <w:t>规定的任何一种情形。</w:t>
            </w:r>
          </w:p>
          <w:p w14:paraId="4F7D7472">
            <w:pPr>
              <w:autoSpaceDE w:val="0"/>
              <w:spacing w:line="360" w:lineRule="exact"/>
              <w:ind w:left="105" w:leftChars="50" w:right="105" w:rightChars="50"/>
              <w:rPr>
                <w:rFonts w:hint="eastAsia" w:ascii="宋体" w:hAnsi="宋体" w:eastAsia="宋体" w:cs="宋体"/>
                <w:szCs w:val="21"/>
                <w:highlight w:val="none"/>
              </w:rPr>
            </w:pP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8</w:t>
            </w:r>
            <w:r>
              <w:rPr>
                <w:rFonts w:hint="eastAsia" w:ascii="宋体" w:hAnsi="宋体" w:eastAsia="宋体" w:cs="宋体"/>
                <w:szCs w:val="21"/>
                <w:highlight w:val="none"/>
                <w:lang w:bidi="ar"/>
              </w:rPr>
              <w:t>）投标人符合第二章“投标人须知”前附表第1.4.5项规定。</w:t>
            </w:r>
          </w:p>
        </w:tc>
      </w:tr>
      <w:tr w14:paraId="6A24DCF2">
        <w:tblPrEx>
          <w:tblCellMar>
            <w:top w:w="0" w:type="dxa"/>
            <w:left w:w="0" w:type="dxa"/>
            <w:bottom w:w="0" w:type="dxa"/>
            <w:right w:w="0" w:type="dxa"/>
          </w:tblCellMar>
        </w:tblPrEx>
        <w:trPr>
          <w:trHeight w:val="680" w:hRule="atLeast"/>
          <w:jc w:val="center"/>
        </w:trPr>
        <w:tc>
          <w:tcPr>
            <w:tcW w:w="772" w:type="dxa"/>
            <w:tcBorders>
              <w:top w:val="single" w:color="000000" w:sz="6" w:space="0"/>
              <w:left w:val="double" w:color="auto" w:sz="2" w:space="0"/>
              <w:bottom w:val="single" w:color="000000" w:sz="6" w:space="0"/>
              <w:right w:val="single" w:color="000000" w:sz="6" w:space="0"/>
            </w:tcBorders>
            <w:noWrap w:val="0"/>
            <w:vAlign w:val="center"/>
          </w:tcPr>
          <w:p w14:paraId="03B69661">
            <w:pPr>
              <w:autoSpaceDE w:val="0"/>
              <w:autoSpaceDN w:val="0"/>
              <w:adjustRightInd w:val="0"/>
              <w:spacing w:line="320" w:lineRule="exact"/>
              <w:jc w:val="center"/>
              <w:rPr>
                <w:rFonts w:hint="eastAsia" w:ascii="宋体" w:hAnsi="宋体" w:eastAsia="宋体" w:cs="宋体"/>
                <w:b/>
                <w:bCs/>
                <w:szCs w:val="21"/>
                <w:highlight w:val="none"/>
                <w:lang w:eastAsia="zh-CN" w:bidi="ar"/>
              </w:rPr>
            </w:pPr>
            <w:r>
              <w:rPr>
                <w:rFonts w:hint="eastAsia" w:ascii="宋体" w:hAnsi="宋体" w:eastAsia="宋体" w:cs="宋体"/>
                <w:b/>
                <w:bCs/>
                <w:szCs w:val="21"/>
                <w:highlight w:val="none"/>
                <w:lang w:eastAsia="zh-CN" w:bidi="ar"/>
              </w:rPr>
              <w:t>条款号</w:t>
            </w: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6BB0DBEF">
            <w:pPr>
              <w:autoSpaceDE w:val="0"/>
              <w:autoSpaceDN w:val="0"/>
              <w:adjustRightInd w:val="0"/>
              <w:spacing w:line="320" w:lineRule="exact"/>
              <w:jc w:val="center"/>
              <w:rPr>
                <w:rFonts w:hint="eastAsia" w:ascii="宋体" w:hAnsi="宋体" w:eastAsia="宋体" w:cs="宋体"/>
                <w:b/>
                <w:bCs/>
                <w:szCs w:val="21"/>
                <w:highlight w:val="none"/>
                <w:lang w:eastAsia="zh-CN" w:bidi="ar"/>
              </w:rPr>
            </w:pPr>
            <w:r>
              <w:rPr>
                <w:rFonts w:hint="eastAsia" w:ascii="宋体" w:hAnsi="宋体" w:eastAsia="宋体" w:cs="宋体"/>
                <w:b/>
                <w:bCs/>
                <w:szCs w:val="21"/>
                <w:highlight w:val="none"/>
                <w:lang w:eastAsia="zh-CN" w:bidi="ar"/>
              </w:rPr>
              <w:t>条款内容</w:t>
            </w:r>
          </w:p>
        </w:tc>
        <w:tc>
          <w:tcPr>
            <w:tcW w:w="7213" w:type="dxa"/>
            <w:gridSpan w:val="6"/>
            <w:tcBorders>
              <w:top w:val="single" w:color="000000" w:sz="6" w:space="0"/>
              <w:left w:val="single" w:color="000000" w:sz="6" w:space="0"/>
              <w:bottom w:val="single" w:color="000000" w:sz="6" w:space="0"/>
              <w:right w:val="double" w:color="auto" w:sz="2" w:space="0"/>
            </w:tcBorders>
            <w:noWrap w:val="0"/>
            <w:vAlign w:val="center"/>
          </w:tcPr>
          <w:p w14:paraId="60B72B3A">
            <w:pPr>
              <w:autoSpaceDE w:val="0"/>
              <w:spacing w:line="360" w:lineRule="exact"/>
              <w:ind w:left="105" w:leftChars="50" w:right="105" w:rightChars="50"/>
              <w:jc w:val="center"/>
              <w:rPr>
                <w:rFonts w:hint="eastAsia" w:ascii="宋体" w:hAnsi="宋体" w:eastAsia="宋体" w:cs="宋体"/>
                <w:b/>
                <w:bCs/>
                <w:szCs w:val="21"/>
                <w:highlight w:val="none"/>
                <w:lang w:eastAsia="zh-CN" w:bidi="ar"/>
              </w:rPr>
            </w:pPr>
            <w:r>
              <w:rPr>
                <w:rFonts w:hint="eastAsia" w:ascii="宋体" w:hAnsi="宋体" w:eastAsia="宋体" w:cs="宋体"/>
                <w:b/>
                <w:bCs/>
                <w:szCs w:val="21"/>
                <w:highlight w:val="none"/>
                <w:lang w:eastAsia="zh-CN" w:bidi="ar"/>
              </w:rPr>
              <w:t>编列内容</w:t>
            </w:r>
          </w:p>
        </w:tc>
      </w:tr>
      <w:tr w14:paraId="6B94FB22">
        <w:tblPrEx>
          <w:tblCellMar>
            <w:top w:w="0" w:type="dxa"/>
            <w:left w:w="0" w:type="dxa"/>
            <w:bottom w:w="0" w:type="dxa"/>
            <w:right w:w="0" w:type="dxa"/>
          </w:tblCellMar>
        </w:tblPrEx>
        <w:trPr>
          <w:trHeight w:val="90" w:hRule="atLeast"/>
          <w:jc w:val="center"/>
        </w:trPr>
        <w:tc>
          <w:tcPr>
            <w:tcW w:w="772" w:type="dxa"/>
            <w:tcBorders>
              <w:top w:val="single" w:color="000000" w:sz="6" w:space="0"/>
              <w:left w:val="double" w:color="auto" w:sz="2" w:space="0"/>
              <w:bottom w:val="single" w:color="000000" w:sz="6" w:space="0"/>
              <w:right w:val="single" w:color="000000" w:sz="6" w:space="0"/>
            </w:tcBorders>
            <w:noWrap w:val="0"/>
            <w:vAlign w:val="center"/>
          </w:tcPr>
          <w:p w14:paraId="0F5AD052">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lang w:bidi="ar"/>
              </w:rPr>
              <w:t>2.2.1</w:t>
            </w: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2F6D9C6F">
            <w:pPr>
              <w:spacing w:line="320" w:lineRule="exact"/>
              <w:jc w:val="center"/>
              <w:rPr>
                <w:rFonts w:hint="eastAsia" w:ascii="宋体" w:hAnsi="宋体" w:eastAsia="宋体" w:cs="宋体"/>
              </w:rPr>
            </w:pPr>
            <w:r>
              <w:rPr>
                <w:rFonts w:hint="eastAsia" w:ascii="宋体" w:hAnsi="宋体" w:eastAsia="宋体" w:cs="宋体"/>
              </w:rPr>
              <w:t>分值构成</w:t>
            </w:r>
          </w:p>
          <w:p w14:paraId="284F0DA9">
            <w:pPr>
              <w:pStyle w:val="2"/>
              <w:jc w:val="center"/>
              <w:rPr>
                <w:rFonts w:hint="eastAsia" w:ascii="宋体" w:hAnsi="宋体" w:eastAsia="宋体" w:cs="宋体"/>
                <w:lang w:eastAsia="zh-CN"/>
              </w:rPr>
            </w:pPr>
            <w:r>
              <w:rPr>
                <w:rFonts w:hint="eastAsia" w:ascii="宋体" w:hAnsi="宋体" w:eastAsia="宋体" w:cs="宋体"/>
                <w:szCs w:val="21"/>
                <w:highlight w:val="none"/>
                <w:lang w:eastAsia="zh-CN" w:bidi="ar"/>
              </w:rPr>
              <w:t>（总分</w:t>
            </w:r>
            <w:r>
              <w:rPr>
                <w:rFonts w:hint="eastAsia" w:ascii="宋体" w:hAnsi="宋体" w:eastAsia="宋体" w:cs="宋体"/>
                <w:szCs w:val="21"/>
                <w:highlight w:val="none"/>
                <w:lang w:val="en-US" w:eastAsia="zh-CN" w:bidi="ar"/>
              </w:rPr>
              <w:t>100分</w:t>
            </w:r>
            <w:r>
              <w:rPr>
                <w:rFonts w:hint="eastAsia" w:ascii="宋体" w:hAnsi="宋体" w:eastAsia="宋体" w:cs="宋体"/>
                <w:szCs w:val="21"/>
                <w:highlight w:val="none"/>
                <w:lang w:eastAsia="zh-CN" w:bidi="ar"/>
              </w:rPr>
              <w:t>）</w:t>
            </w:r>
          </w:p>
        </w:tc>
        <w:tc>
          <w:tcPr>
            <w:tcW w:w="7213" w:type="dxa"/>
            <w:gridSpan w:val="6"/>
            <w:tcBorders>
              <w:top w:val="single" w:color="000000" w:sz="6" w:space="0"/>
              <w:left w:val="single" w:color="000000" w:sz="6" w:space="0"/>
              <w:bottom w:val="single" w:color="000000" w:sz="6" w:space="0"/>
              <w:right w:val="double" w:color="auto" w:sz="2" w:space="0"/>
            </w:tcBorders>
            <w:noWrap w:val="0"/>
            <w:vAlign w:val="center"/>
          </w:tcPr>
          <w:p w14:paraId="59D8F70E">
            <w:pPr>
              <w:autoSpaceDE w:val="0"/>
              <w:adjustRightInd w:val="0"/>
              <w:snapToGrid w:val="0"/>
              <w:spacing w:line="360" w:lineRule="exact"/>
              <w:ind w:left="105" w:leftChars="50" w:right="105" w:rightChars="50"/>
              <w:rPr>
                <w:rFonts w:hint="eastAsia" w:ascii="宋体" w:hAnsi="宋体" w:eastAsia="宋体" w:cs="宋体"/>
                <w:bCs/>
                <w:szCs w:val="21"/>
                <w:highlight w:val="none"/>
                <w:lang w:bidi="ar"/>
              </w:rPr>
            </w:pPr>
            <w:r>
              <w:rPr>
                <w:rFonts w:hint="eastAsia" w:ascii="宋体" w:hAnsi="宋体" w:eastAsia="宋体" w:cs="宋体"/>
                <w:bCs/>
                <w:szCs w:val="21"/>
                <w:highlight w:val="none"/>
                <w:lang w:bidi="ar"/>
              </w:rPr>
              <w:t>第一个信封（商务及技术文件）评分分值构成：</w:t>
            </w:r>
          </w:p>
          <w:p w14:paraId="0B90AF11">
            <w:pPr>
              <w:autoSpaceDE w:val="0"/>
              <w:adjustRightInd w:val="0"/>
              <w:snapToGrid w:val="0"/>
              <w:spacing w:line="360" w:lineRule="exact"/>
              <w:ind w:left="105" w:leftChars="50" w:right="105" w:rightChars="50"/>
              <w:rPr>
                <w:rFonts w:hint="eastAsia" w:ascii="宋体" w:hAnsi="宋体" w:eastAsia="宋体" w:cs="宋体"/>
                <w:szCs w:val="21"/>
                <w:highlight w:val="none"/>
                <w:lang w:bidi="ar"/>
              </w:rPr>
            </w:pPr>
            <w:r>
              <w:rPr>
                <w:rFonts w:hint="eastAsia" w:ascii="宋体" w:hAnsi="宋体" w:eastAsia="宋体" w:cs="宋体"/>
                <w:szCs w:val="21"/>
                <w:highlight w:val="none"/>
                <w:lang w:bidi="ar"/>
              </w:rPr>
              <w:t>技术建议书：</w:t>
            </w:r>
            <w:r>
              <w:rPr>
                <w:rFonts w:hint="eastAsia" w:ascii="宋体" w:hAnsi="宋体" w:eastAsia="宋体" w:cs="宋体"/>
                <w:szCs w:val="21"/>
                <w:highlight w:val="none"/>
                <w:u w:val="single"/>
                <w:lang w:val="en-US" w:eastAsia="zh-CN" w:bidi="ar"/>
              </w:rPr>
              <w:t>30</w:t>
            </w:r>
            <w:r>
              <w:rPr>
                <w:rFonts w:hint="eastAsia" w:ascii="宋体" w:hAnsi="宋体" w:eastAsia="宋体" w:cs="宋体"/>
                <w:szCs w:val="21"/>
                <w:highlight w:val="none"/>
                <w:lang w:bidi="ar"/>
              </w:rPr>
              <w:t>分</w:t>
            </w:r>
          </w:p>
          <w:p w14:paraId="38649BB7">
            <w:pPr>
              <w:autoSpaceDE w:val="0"/>
              <w:adjustRightInd w:val="0"/>
              <w:snapToGrid w:val="0"/>
              <w:spacing w:line="360" w:lineRule="exact"/>
              <w:ind w:left="105" w:leftChars="50" w:right="105" w:rightChars="50"/>
              <w:rPr>
                <w:rFonts w:hint="eastAsia" w:ascii="宋体" w:hAnsi="宋体" w:eastAsia="宋体" w:cs="宋体"/>
                <w:szCs w:val="21"/>
                <w:highlight w:val="none"/>
                <w:lang w:bidi="ar"/>
              </w:rPr>
            </w:pPr>
            <w:r>
              <w:rPr>
                <w:rFonts w:hint="eastAsia" w:ascii="宋体" w:hAnsi="宋体" w:eastAsia="宋体" w:cs="宋体"/>
                <w:szCs w:val="21"/>
                <w:highlight w:val="none"/>
                <w:lang w:bidi="ar"/>
              </w:rPr>
              <w:t>主要人员：</w:t>
            </w:r>
            <w:r>
              <w:rPr>
                <w:rFonts w:hint="eastAsia" w:ascii="宋体" w:hAnsi="宋体" w:eastAsia="宋体" w:cs="宋体"/>
                <w:szCs w:val="21"/>
                <w:highlight w:val="none"/>
                <w:u w:val="single"/>
                <w:lang w:val="en-US" w:eastAsia="zh-CN" w:bidi="ar"/>
              </w:rPr>
              <w:t>30</w:t>
            </w:r>
            <w:r>
              <w:rPr>
                <w:rFonts w:hint="eastAsia" w:ascii="宋体" w:hAnsi="宋体" w:eastAsia="宋体" w:cs="宋体"/>
                <w:szCs w:val="21"/>
                <w:highlight w:val="none"/>
                <w:lang w:bidi="ar"/>
              </w:rPr>
              <w:t>分</w:t>
            </w:r>
          </w:p>
          <w:p w14:paraId="60FE1923">
            <w:pPr>
              <w:autoSpaceDE w:val="0"/>
              <w:adjustRightInd w:val="0"/>
              <w:snapToGrid w:val="0"/>
              <w:spacing w:line="360" w:lineRule="exact"/>
              <w:ind w:left="105" w:leftChars="50" w:right="105" w:rightChars="50"/>
              <w:rPr>
                <w:rFonts w:hint="eastAsia" w:ascii="宋体" w:hAnsi="宋体" w:eastAsia="宋体" w:cs="宋体"/>
                <w:szCs w:val="21"/>
                <w:highlight w:val="none"/>
                <w:lang w:bidi="ar"/>
              </w:rPr>
            </w:pPr>
            <w:r>
              <w:rPr>
                <w:rFonts w:hint="eastAsia" w:ascii="宋体" w:hAnsi="宋体" w:eastAsia="宋体" w:cs="宋体"/>
                <w:szCs w:val="21"/>
                <w:highlight w:val="none"/>
                <w:lang w:eastAsia="zh-CN" w:bidi="ar"/>
              </w:rPr>
              <w:t>监理</w:t>
            </w:r>
            <w:r>
              <w:rPr>
                <w:rFonts w:hint="eastAsia" w:ascii="宋体" w:hAnsi="宋体" w:eastAsia="宋体" w:cs="宋体"/>
                <w:szCs w:val="21"/>
                <w:highlight w:val="none"/>
                <w:lang w:bidi="ar"/>
              </w:rPr>
              <w:t>业绩：</w:t>
            </w:r>
            <w:r>
              <w:rPr>
                <w:rFonts w:hint="eastAsia" w:ascii="宋体" w:hAnsi="宋体" w:eastAsia="宋体" w:cs="宋体"/>
                <w:szCs w:val="21"/>
                <w:highlight w:val="none"/>
                <w:u w:val="single"/>
                <w:lang w:val="en-US" w:eastAsia="zh-CN" w:bidi="ar"/>
              </w:rPr>
              <w:t>25</w:t>
            </w:r>
            <w:r>
              <w:rPr>
                <w:rFonts w:hint="eastAsia" w:ascii="宋体" w:hAnsi="宋体" w:eastAsia="宋体" w:cs="宋体"/>
                <w:szCs w:val="21"/>
                <w:highlight w:val="none"/>
                <w:lang w:bidi="ar"/>
              </w:rPr>
              <w:t>分</w:t>
            </w:r>
          </w:p>
          <w:p w14:paraId="7ABA3112">
            <w:pPr>
              <w:autoSpaceDE w:val="0"/>
              <w:adjustRightInd w:val="0"/>
              <w:snapToGrid w:val="0"/>
              <w:spacing w:line="360" w:lineRule="exact"/>
              <w:ind w:left="105" w:leftChars="50" w:right="105" w:rightChars="50"/>
              <w:rPr>
                <w:rFonts w:hint="eastAsia" w:ascii="宋体" w:hAnsi="宋体" w:eastAsia="宋体" w:cs="宋体"/>
                <w:szCs w:val="21"/>
                <w:highlight w:val="none"/>
                <w:lang w:bidi="ar"/>
              </w:rPr>
            </w:pPr>
            <w:r>
              <w:rPr>
                <w:rFonts w:hint="eastAsia" w:ascii="宋体" w:hAnsi="宋体" w:eastAsia="宋体" w:cs="宋体"/>
                <w:szCs w:val="21"/>
                <w:highlight w:val="none"/>
                <w:lang w:bidi="ar"/>
              </w:rPr>
              <w:t>履约信誉：</w:t>
            </w:r>
            <w:r>
              <w:rPr>
                <w:rFonts w:hint="eastAsia" w:ascii="宋体" w:hAnsi="宋体" w:eastAsia="宋体" w:cs="宋体"/>
                <w:szCs w:val="21"/>
                <w:highlight w:val="none"/>
                <w:u w:val="single"/>
                <w:lang w:val="en-US" w:eastAsia="zh-CN" w:bidi="ar"/>
              </w:rPr>
              <w:t>5</w:t>
            </w:r>
            <w:r>
              <w:rPr>
                <w:rFonts w:hint="eastAsia" w:ascii="宋体" w:hAnsi="宋体" w:eastAsia="宋体" w:cs="宋体"/>
                <w:szCs w:val="21"/>
                <w:highlight w:val="none"/>
                <w:lang w:bidi="ar"/>
              </w:rPr>
              <w:t>分</w:t>
            </w:r>
          </w:p>
          <w:p w14:paraId="254D5B6A">
            <w:pPr>
              <w:autoSpaceDE w:val="0"/>
              <w:adjustRightInd w:val="0"/>
              <w:snapToGrid w:val="0"/>
              <w:spacing w:line="360" w:lineRule="exact"/>
              <w:ind w:left="105" w:leftChars="50" w:right="105" w:rightChars="50"/>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t>第二个信封（报价文件）评分分值构成：</w:t>
            </w:r>
          </w:p>
          <w:p w14:paraId="7CF7D3D4">
            <w:pPr>
              <w:autoSpaceDE w:val="0"/>
              <w:spacing w:line="360" w:lineRule="exact"/>
              <w:ind w:right="105" w:rightChars="50" w:firstLine="105" w:firstLineChars="50"/>
              <w:rPr>
                <w:rFonts w:hint="eastAsia" w:ascii="宋体" w:hAnsi="宋体" w:eastAsia="宋体" w:cs="宋体"/>
                <w:szCs w:val="21"/>
                <w:highlight w:val="none"/>
              </w:rPr>
            </w:pPr>
            <w:r>
              <w:rPr>
                <w:rFonts w:hint="eastAsia" w:ascii="宋体" w:hAnsi="宋体" w:eastAsia="宋体" w:cs="宋体"/>
                <w:szCs w:val="21"/>
                <w:highlight w:val="none"/>
                <w:lang w:bidi="ar"/>
              </w:rPr>
              <w:t>评标价：</w:t>
            </w:r>
            <w:r>
              <w:rPr>
                <w:rFonts w:hint="eastAsia" w:ascii="宋体" w:hAnsi="宋体" w:eastAsia="宋体" w:cs="宋体"/>
                <w:szCs w:val="21"/>
                <w:highlight w:val="none"/>
                <w:u w:val="single"/>
                <w:lang w:bidi="ar"/>
              </w:rPr>
              <w:t>10</w:t>
            </w:r>
            <w:r>
              <w:rPr>
                <w:rFonts w:hint="eastAsia" w:ascii="宋体" w:hAnsi="宋体" w:eastAsia="宋体" w:cs="宋体"/>
                <w:szCs w:val="21"/>
                <w:highlight w:val="none"/>
                <w:lang w:bidi="ar"/>
              </w:rPr>
              <w:t>分</w:t>
            </w:r>
          </w:p>
        </w:tc>
      </w:tr>
      <w:tr w14:paraId="1F722B84">
        <w:tblPrEx>
          <w:tblCellMar>
            <w:top w:w="0" w:type="dxa"/>
            <w:left w:w="0" w:type="dxa"/>
            <w:bottom w:w="0" w:type="dxa"/>
            <w:right w:w="0" w:type="dxa"/>
          </w:tblCellMar>
        </w:tblPrEx>
        <w:trPr>
          <w:trHeight w:val="748" w:hRule="atLeast"/>
          <w:jc w:val="center"/>
        </w:trPr>
        <w:tc>
          <w:tcPr>
            <w:tcW w:w="772" w:type="dxa"/>
            <w:tcBorders>
              <w:top w:val="single" w:color="000000" w:sz="6" w:space="0"/>
              <w:left w:val="double" w:color="auto" w:sz="2" w:space="0"/>
              <w:bottom w:val="single" w:color="000000" w:sz="6" w:space="0"/>
              <w:right w:val="single" w:color="000000" w:sz="6" w:space="0"/>
            </w:tcBorders>
            <w:noWrap w:val="0"/>
            <w:vAlign w:val="center"/>
          </w:tcPr>
          <w:p w14:paraId="25655522">
            <w:pPr>
              <w:spacing w:line="280" w:lineRule="exact"/>
              <w:ind w:right="113"/>
              <w:jc w:val="center"/>
              <w:rPr>
                <w:rFonts w:hint="eastAsia" w:ascii="宋体" w:hAnsi="宋体" w:eastAsia="宋体" w:cs="宋体"/>
                <w:szCs w:val="21"/>
                <w:highlight w:val="none"/>
                <w:lang w:bidi="ar"/>
              </w:rPr>
            </w:pPr>
            <w:r>
              <w:rPr>
                <w:rFonts w:hint="eastAsia" w:ascii="宋体" w:hAnsi="宋体" w:eastAsia="宋体" w:cs="宋体"/>
                <w:szCs w:val="21"/>
                <w:highlight w:val="none"/>
                <w:lang w:bidi="ar"/>
              </w:rPr>
              <w:t>2.2.2</w:t>
            </w: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1ED2BE9A">
            <w:pPr>
              <w:spacing w:line="280" w:lineRule="exact"/>
              <w:ind w:right="113"/>
              <w:jc w:val="center"/>
              <w:rPr>
                <w:rFonts w:hint="eastAsia" w:ascii="宋体" w:hAnsi="宋体" w:eastAsia="宋体" w:cs="宋体"/>
                <w:szCs w:val="21"/>
                <w:highlight w:val="none"/>
                <w:lang w:bidi="ar"/>
              </w:rPr>
            </w:pPr>
            <w:r>
              <w:rPr>
                <w:rFonts w:hint="eastAsia" w:ascii="宋体" w:hAnsi="宋体" w:eastAsia="宋体" w:cs="宋体"/>
                <w:szCs w:val="21"/>
                <w:highlight w:val="none"/>
                <w:lang w:bidi="ar"/>
              </w:rPr>
              <w:t>评标基准价计算方法</w:t>
            </w:r>
          </w:p>
        </w:tc>
        <w:tc>
          <w:tcPr>
            <w:tcW w:w="7213" w:type="dxa"/>
            <w:gridSpan w:val="6"/>
            <w:tcBorders>
              <w:top w:val="single" w:color="000000" w:sz="6" w:space="0"/>
              <w:left w:val="single" w:color="000000" w:sz="6" w:space="0"/>
              <w:bottom w:val="single" w:color="000000" w:sz="6" w:space="0"/>
              <w:right w:val="double" w:color="auto" w:sz="2" w:space="0"/>
            </w:tcBorders>
            <w:noWrap w:val="0"/>
            <w:vAlign w:val="center"/>
          </w:tcPr>
          <w:p w14:paraId="55E2FA4A">
            <w:pPr>
              <w:spacing w:line="340" w:lineRule="exact"/>
              <w:jc w:val="left"/>
              <w:rPr>
                <w:rFonts w:hint="eastAsia" w:ascii="宋体" w:hAnsi="宋体" w:eastAsia="宋体" w:cs="宋体"/>
                <w:szCs w:val="21"/>
              </w:rPr>
            </w:pPr>
            <w:r>
              <w:rPr>
                <w:rFonts w:hint="eastAsia" w:ascii="宋体" w:hAnsi="宋体" w:eastAsia="宋体" w:cs="宋体"/>
                <w:szCs w:val="21"/>
              </w:rPr>
              <w:t>评标基准价的计算：</w:t>
            </w:r>
          </w:p>
          <w:p w14:paraId="558FAE44">
            <w:pPr>
              <w:spacing w:line="340" w:lineRule="exact"/>
              <w:jc w:val="left"/>
              <w:rPr>
                <w:rFonts w:hint="eastAsia" w:ascii="宋体" w:hAnsi="宋体" w:eastAsia="宋体" w:cs="宋体"/>
                <w:szCs w:val="21"/>
              </w:rPr>
            </w:pPr>
            <w:r>
              <w:rPr>
                <w:rFonts w:hint="eastAsia" w:ascii="宋体" w:hAnsi="宋体" w:eastAsia="宋体" w:cs="宋体"/>
                <w:szCs w:val="21"/>
              </w:rPr>
              <w:t>根据第二章“投标人须知”第5.2.4项规定的投标报价不参与理论成本价和评标基准价的计算，其投标无效。</w:t>
            </w:r>
          </w:p>
          <w:p w14:paraId="60C7BC76">
            <w:pPr>
              <w:spacing w:line="340" w:lineRule="exact"/>
              <w:jc w:val="left"/>
              <w:rPr>
                <w:rFonts w:hint="eastAsia" w:ascii="宋体" w:hAnsi="宋体" w:eastAsia="宋体" w:cs="宋体"/>
                <w:szCs w:val="21"/>
              </w:rPr>
            </w:pPr>
            <w:r>
              <w:rPr>
                <w:rFonts w:hint="eastAsia" w:ascii="宋体" w:hAnsi="宋体" w:eastAsia="宋体" w:cs="宋体"/>
                <w:szCs w:val="21"/>
              </w:rPr>
              <w:t>1、评标价的确定：</w:t>
            </w:r>
          </w:p>
          <w:p w14:paraId="0251B837">
            <w:pPr>
              <w:spacing w:line="340" w:lineRule="exact"/>
              <w:jc w:val="left"/>
              <w:rPr>
                <w:rFonts w:hint="eastAsia" w:ascii="宋体" w:hAnsi="宋体" w:eastAsia="宋体" w:cs="宋体"/>
                <w:szCs w:val="21"/>
              </w:rPr>
            </w:pPr>
            <w:r>
              <w:rPr>
                <w:rFonts w:hint="eastAsia" w:ascii="宋体" w:hAnsi="宋体" w:eastAsia="宋体" w:cs="宋体"/>
                <w:szCs w:val="21"/>
              </w:rPr>
              <w:t>评标价=投标函大写文字报价</w:t>
            </w:r>
          </w:p>
          <w:p w14:paraId="51D56583">
            <w:pPr>
              <w:spacing w:line="340" w:lineRule="exact"/>
              <w:jc w:val="left"/>
              <w:rPr>
                <w:rFonts w:hint="eastAsia" w:ascii="宋体" w:hAnsi="宋体" w:eastAsia="宋体" w:cs="宋体"/>
                <w:szCs w:val="21"/>
              </w:rPr>
            </w:pPr>
            <w:r>
              <w:rPr>
                <w:rFonts w:hint="eastAsia" w:ascii="宋体" w:hAnsi="宋体" w:eastAsia="宋体" w:cs="宋体"/>
                <w:szCs w:val="21"/>
              </w:rPr>
              <w:t>2、设定最高投标限价G1</w:t>
            </w:r>
          </w:p>
          <w:p w14:paraId="0448A3C1">
            <w:pPr>
              <w:spacing w:line="340" w:lineRule="exact"/>
              <w:jc w:val="left"/>
              <w:rPr>
                <w:rFonts w:hint="eastAsia" w:ascii="宋体" w:hAnsi="宋体" w:eastAsia="宋体" w:cs="宋体"/>
                <w:szCs w:val="21"/>
              </w:rPr>
            </w:pPr>
            <w:r>
              <w:rPr>
                <w:rFonts w:hint="eastAsia" w:ascii="宋体" w:hAnsi="宋体" w:eastAsia="宋体" w:cs="宋体"/>
                <w:szCs w:val="21"/>
              </w:rPr>
              <w:t>投标截止期前公布最高投标限价，如投标人报价高于本标段的G1，其投标无效，将不再参与后续任何计算。</w:t>
            </w:r>
          </w:p>
          <w:p w14:paraId="0139CCF9">
            <w:pPr>
              <w:spacing w:line="340" w:lineRule="exact"/>
              <w:jc w:val="left"/>
              <w:rPr>
                <w:rFonts w:hint="eastAsia" w:ascii="宋体" w:hAnsi="宋体" w:eastAsia="宋体" w:cs="宋体"/>
                <w:szCs w:val="21"/>
              </w:rPr>
            </w:pPr>
            <w:r>
              <w:rPr>
                <w:rFonts w:hint="eastAsia" w:ascii="宋体" w:hAnsi="宋体" w:eastAsia="宋体" w:cs="宋体"/>
                <w:szCs w:val="21"/>
              </w:rPr>
              <w:t>3、确定最终最高投标限价G2</w:t>
            </w:r>
          </w:p>
          <w:p w14:paraId="0335A76A">
            <w:pPr>
              <w:spacing w:line="340" w:lineRule="exact"/>
              <w:jc w:val="left"/>
              <w:rPr>
                <w:rFonts w:hint="eastAsia" w:ascii="宋体" w:hAnsi="宋体" w:eastAsia="宋体" w:cs="宋体"/>
                <w:szCs w:val="21"/>
              </w:rPr>
            </w:pPr>
            <w:r>
              <w:rPr>
                <w:rFonts w:hint="eastAsia" w:ascii="宋体" w:hAnsi="宋体" w:eastAsia="宋体" w:cs="宋体"/>
                <w:szCs w:val="21"/>
              </w:rPr>
              <w:t>开标现场随机抽取最高投标限价的下浮系数Xl。</w:t>
            </w:r>
          </w:p>
          <w:p w14:paraId="2F47E152">
            <w:pPr>
              <w:spacing w:line="340" w:lineRule="exact"/>
              <w:jc w:val="left"/>
              <w:rPr>
                <w:rFonts w:hint="eastAsia" w:ascii="宋体" w:hAnsi="宋体" w:eastAsia="宋体" w:cs="宋体"/>
                <w:szCs w:val="21"/>
              </w:rPr>
            </w:pPr>
            <w:r>
              <w:rPr>
                <w:rFonts w:hint="eastAsia" w:ascii="宋体" w:hAnsi="宋体" w:eastAsia="宋体" w:cs="宋体"/>
                <w:szCs w:val="21"/>
              </w:rPr>
              <w:t>本标段的G2=G1×(1－X1)。</w:t>
            </w:r>
          </w:p>
          <w:p w14:paraId="543CDC30">
            <w:pPr>
              <w:spacing w:line="340" w:lineRule="exact"/>
              <w:jc w:val="left"/>
              <w:rPr>
                <w:rFonts w:hint="eastAsia" w:ascii="宋体" w:hAnsi="宋体" w:eastAsia="宋体" w:cs="宋体"/>
                <w:szCs w:val="21"/>
              </w:rPr>
            </w:pPr>
            <w:r>
              <w:rPr>
                <w:rFonts w:hint="eastAsia" w:ascii="宋体" w:hAnsi="宋体" w:eastAsia="宋体" w:cs="宋体"/>
                <w:szCs w:val="21"/>
              </w:rPr>
              <w:t>如投标人报价高于本标段的G2，其投标无效，将不再参与后续任何计算。</w:t>
            </w:r>
          </w:p>
          <w:p w14:paraId="63314B01">
            <w:pPr>
              <w:spacing w:line="340" w:lineRule="exact"/>
              <w:jc w:val="left"/>
              <w:rPr>
                <w:rFonts w:hint="eastAsia" w:ascii="宋体" w:hAnsi="宋体" w:eastAsia="宋体" w:cs="宋体"/>
                <w:szCs w:val="21"/>
              </w:rPr>
            </w:pPr>
            <w:r>
              <w:rPr>
                <w:rFonts w:hint="eastAsia" w:ascii="宋体" w:hAnsi="宋体" w:eastAsia="宋体" w:cs="宋体"/>
                <w:szCs w:val="21"/>
              </w:rPr>
              <w:t>4、确定理论成本价LC。</w:t>
            </w:r>
          </w:p>
          <w:p w14:paraId="41DC0FD5">
            <w:pPr>
              <w:spacing w:line="340" w:lineRule="exact"/>
              <w:jc w:val="left"/>
              <w:rPr>
                <w:rFonts w:hint="eastAsia" w:ascii="宋体" w:hAnsi="宋体" w:eastAsia="宋体" w:cs="宋体"/>
                <w:szCs w:val="21"/>
              </w:rPr>
            </w:pPr>
            <w:r>
              <w:rPr>
                <w:rFonts w:hint="eastAsia" w:ascii="宋体" w:hAnsi="宋体" w:eastAsia="宋体" w:cs="宋体"/>
                <w:szCs w:val="21"/>
              </w:rPr>
              <w:t>本标段中，理论成本价=最终最高投标限价G2的50%与评标价算术平均值A的50%相加后，乘以0.85所得数值为该标段的理论成本价。评标价低于理论成本价的，不再参与后续计算。</w:t>
            </w:r>
          </w:p>
          <w:p w14:paraId="48C8ED71">
            <w:pPr>
              <w:spacing w:line="340" w:lineRule="exact"/>
              <w:jc w:val="left"/>
              <w:rPr>
                <w:rFonts w:hint="eastAsia" w:ascii="宋体" w:hAnsi="宋体" w:eastAsia="宋体" w:cs="宋体"/>
                <w:szCs w:val="21"/>
              </w:rPr>
            </w:pPr>
            <w:r>
              <w:rPr>
                <w:rFonts w:hint="eastAsia" w:ascii="宋体" w:hAnsi="宋体" w:eastAsia="宋体" w:cs="宋体"/>
                <w:szCs w:val="21"/>
              </w:rPr>
              <w:t>本标段的LC＝(0.5×G2＋0.5×A)×0.85</w:t>
            </w:r>
          </w:p>
          <w:p w14:paraId="627C40AD">
            <w:pPr>
              <w:spacing w:line="340" w:lineRule="exact"/>
              <w:jc w:val="left"/>
              <w:rPr>
                <w:rFonts w:hint="eastAsia" w:ascii="宋体" w:hAnsi="宋体" w:eastAsia="宋体" w:cs="宋体"/>
                <w:szCs w:val="21"/>
              </w:rPr>
            </w:pPr>
            <w:r>
              <w:rPr>
                <w:rFonts w:hint="eastAsia" w:ascii="宋体" w:hAnsi="宋体" w:eastAsia="宋体" w:cs="宋体"/>
                <w:szCs w:val="21"/>
              </w:rPr>
              <w:t>5、确定评标基准价JZ。</w:t>
            </w:r>
          </w:p>
          <w:p w14:paraId="746B641C">
            <w:pPr>
              <w:spacing w:line="340" w:lineRule="exact"/>
              <w:jc w:val="left"/>
              <w:rPr>
                <w:rFonts w:hint="eastAsia" w:ascii="宋体" w:hAnsi="宋体" w:eastAsia="宋体" w:cs="宋体"/>
                <w:szCs w:val="21"/>
              </w:rPr>
            </w:pPr>
            <w:r>
              <w:rPr>
                <w:rFonts w:hint="eastAsia" w:ascii="宋体" w:hAnsi="宋体" w:eastAsia="宋体" w:cs="宋体"/>
                <w:szCs w:val="21"/>
              </w:rPr>
              <w:t>评标基准价计算方法：</w:t>
            </w:r>
          </w:p>
          <w:p w14:paraId="1362F401">
            <w:pPr>
              <w:spacing w:line="340" w:lineRule="exact"/>
              <w:jc w:val="left"/>
              <w:rPr>
                <w:rFonts w:hint="eastAsia" w:ascii="宋体" w:hAnsi="宋体" w:eastAsia="宋体" w:cs="宋体"/>
                <w:szCs w:val="21"/>
              </w:rPr>
            </w:pPr>
            <w:r>
              <w:rPr>
                <w:rFonts w:hint="eastAsia" w:ascii="宋体" w:hAnsi="宋体" w:eastAsia="宋体" w:cs="宋体"/>
                <w:szCs w:val="21"/>
              </w:rPr>
              <w:t>JZ=[G2×X2＋A×(1－X2)]×X3</w:t>
            </w:r>
          </w:p>
          <w:p w14:paraId="293BD7CF">
            <w:pPr>
              <w:spacing w:line="340" w:lineRule="exact"/>
              <w:jc w:val="left"/>
              <w:rPr>
                <w:rFonts w:hint="eastAsia" w:ascii="宋体" w:hAnsi="宋体" w:eastAsia="宋体" w:cs="宋体"/>
                <w:szCs w:val="21"/>
              </w:rPr>
            </w:pPr>
            <w:r>
              <w:rPr>
                <w:rFonts w:hint="eastAsia" w:ascii="宋体" w:hAnsi="宋体" w:eastAsia="宋体" w:cs="宋体"/>
                <w:szCs w:val="21"/>
              </w:rPr>
              <w:t>式中：</w:t>
            </w:r>
          </w:p>
          <w:p w14:paraId="4C4DC1C7">
            <w:pPr>
              <w:spacing w:line="340" w:lineRule="exact"/>
              <w:jc w:val="left"/>
              <w:rPr>
                <w:rFonts w:hint="eastAsia" w:ascii="宋体" w:hAnsi="宋体" w:eastAsia="宋体" w:cs="宋体"/>
                <w:szCs w:val="21"/>
              </w:rPr>
            </w:pPr>
            <w:r>
              <w:rPr>
                <w:rFonts w:hint="eastAsia" w:ascii="宋体" w:hAnsi="宋体" w:eastAsia="宋体" w:cs="宋体"/>
                <w:szCs w:val="21"/>
              </w:rPr>
              <w:t>A—该标段不高于最终最高投标限价G2，且不低于理论成本价LC的有效投标报价的算术平均值。当评标价有5个及以上时，去掉其中最高值和最低值，再进行算术平均值计算。</w:t>
            </w:r>
          </w:p>
          <w:p w14:paraId="5DF73E1A">
            <w:pPr>
              <w:spacing w:line="340" w:lineRule="exact"/>
              <w:jc w:val="left"/>
              <w:rPr>
                <w:rFonts w:hint="eastAsia" w:ascii="宋体" w:hAnsi="宋体" w:eastAsia="宋体" w:cs="宋体"/>
                <w:szCs w:val="21"/>
              </w:rPr>
            </w:pPr>
            <w:r>
              <w:rPr>
                <w:rFonts w:hint="eastAsia" w:ascii="宋体" w:hAnsi="宋体" w:eastAsia="宋体" w:cs="宋体"/>
                <w:szCs w:val="21"/>
              </w:rPr>
              <w:t>X1—下浮系数，开标现场从0.5%、1%、1.5%、2%、2.5%、3%六个之中随机抽取的一个数值。</w:t>
            </w:r>
          </w:p>
          <w:p w14:paraId="48D8D27B">
            <w:pPr>
              <w:spacing w:line="340" w:lineRule="exact"/>
              <w:jc w:val="left"/>
              <w:rPr>
                <w:rFonts w:hint="eastAsia" w:ascii="宋体" w:hAnsi="宋体" w:eastAsia="宋体" w:cs="宋体"/>
                <w:szCs w:val="21"/>
              </w:rPr>
            </w:pPr>
            <w:r>
              <w:rPr>
                <w:rFonts w:hint="eastAsia" w:ascii="宋体" w:hAnsi="宋体" w:eastAsia="宋体" w:cs="宋体"/>
                <w:szCs w:val="21"/>
              </w:rPr>
              <w:t>X2—加权系数，开标现场从0.3、0.35、0.4之中随机抽取的一个数值。</w:t>
            </w:r>
          </w:p>
          <w:p w14:paraId="161E1EE7">
            <w:pPr>
              <w:spacing w:line="340" w:lineRule="exact"/>
              <w:jc w:val="left"/>
              <w:rPr>
                <w:rFonts w:hint="eastAsia" w:ascii="宋体" w:hAnsi="宋体" w:eastAsia="宋体" w:cs="宋体"/>
                <w:szCs w:val="21"/>
              </w:rPr>
            </w:pPr>
            <w:r>
              <w:rPr>
                <w:rFonts w:hint="eastAsia" w:ascii="宋体" w:hAnsi="宋体" w:eastAsia="宋体" w:cs="宋体"/>
                <w:szCs w:val="21"/>
              </w:rPr>
              <w:t>X3—评标基准价系数，开标现场从0.96、0.97、0.98、0.99之中随机抽取的一个数值。</w:t>
            </w:r>
          </w:p>
          <w:p w14:paraId="3B70951F">
            <w:pPr>
              <w:spacing w:line="340" w:lineRule="exact"/>
              <w:jc w:val="left"/>
              <w:rPr>
                <w:rFonts w:hint="eastAsia" w:ascii="宋体" w:hAnsi="宋体" w:eastAsia="宋体" w:cs="宋体"/>
                <w:color w:val="FF0000"/>
                <w:szCs w:val="21"/>
              </w:rPr>
            </w:pPr>
            <w:r>
              <w:rPr>
                <w:rFonts w:hint="eastAsia" w:ascii="宋体" w:hAnsi="宋体" w:eastAsia="宋体" w:cs="宋体"/>
                <w:szCs w:val="21"/>
              </w:rPr>
              <w:t>上述系数根据评标基准价计算方法的确定，由现场监督在第一个信封开标现场抽取。</w:t>
            </w:r>
          </w:p>
          <w:p w14:paraId="64FF268D">
            <w:pPr>
              <w:spacing w:line="360" w:lineRule="exact"/>
              <w:ind w:left="105" w:leftChars="50" w:right="105" w:rightChars="50"/>
              <w:jc w:val="left"/>
              <w:rPr>
                <w:rFonts w:hint="eastAsia" w:ascii="宋体" w:hAnsi="宋体" w:eastAsia="宋体" w:cs="宋体"/>
                <w:szCs w:val="21"/>
                <w:highlight w:val="none"/>
                <w:lang w:bidi="ar"/>
              </w:rPr>
            </w:pPr>
            <w:r>
              <w:rPr>
                <w:rFonts w:hint="eastAsia" w:ascii="宋体" w:hAnsi="宋体" w:eastAsia="宋体" w:cs="宋体"/>
                <w:szCs w:val="21"/>
              </w:rPr>
              <w:t>确认后的评标基准价在整个评标期间保持不变，不随通过评审的投标人数量发生变化。</w:t>
            </w:r>
          </w:p>
        </w:tc>
      </w:tr>
      <w:tr w14:paraId="7EE44DAC">
        <w:tblPrEx>
          <w:tblCellMar>
            <w:top w:w="0" w:type="dxa"/>
            <w:left w:w="0" w:type="dxa"/>
            <w:bottom w:w="0" w:type="dxa"/>
            <w:right w:w="0" w:type="dxa"/>
          </w:tblCellMar>
        </w:tblPrEx>
        <w:trPr>
          <w:trHeight w:val="896" w:hRule="atLeast"/>
          <w:jc w:val="center"/>
        </w:trPr>
        <w:tc>
          <w:tcPr>
            <w:tcW w:w="772" w:type="dxa"/>
            <w:tcBorders>
              <w:top w:val="single" w:color="000000" w:sz="6" w:space="0"/>
              <w:left w:val="double" w:color="auto" w:sz="2" w:space="0"/>
              <w:bottom w:val="single" w:color="000000" w:sz="6" w:space="0"/>
              <w:right w:val="single" w:color="000000" w:sz="6" w:space="0"/>
            </w:tcBorders>
            <w:noWrap w:val="0"/>
            <w:vAlign w:val="center"/>
          </w:tcPr>
          <w:p w14:paraId="2F433604">
            <w:pPr>
              <w:spacing w:line="280" w:lineRule="exact"/>
              <w:ind w:right="113"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Cs w:val="21"/>
                <w:highlight w:val="none"/>
                <w:lang w:bidi="ar"/>
              </w:rPr>
              <w:t>2.2.3</w:t>
            </w: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4397120C">
            <w:pPr>
              <w:spacing w:line="280" w:lineRule="exact"/>
              <w:ind w:left="113" w:leftChars="0" w:right="113"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Cs w:val="21"/>
                <w:highlight w:val="none"/>
                <w:lang w:bidi="ar"/>
              </w:rPr>
              <w:t>评标价的偏差率计算公式</w:t>
            </w:r>
          </w:p>
        </w:tc>
        <w:tc>
          <w:tcPr>
            <w:tcW w:w="7213" w:type="dxa"/>
            <w:gridSpan w:val="6"/>
            <w:tcBorders>
              <w:top w:val="single" w:color="000000" w:sz="6" w:space="0"/>
              <w:left w:val="single" w:color="000000" w:sz="6" w:space="0"/>
              <w:bottom w:val="single" w:color="000000" w:sz="6" w:space="0"/>
              <w:right w:val="double" w:color="auto" w:sz="2" w:space="0"/>
            </w:tcBorders>
            <w:noWrap w:val="0"/>
            <w:vAlign w:val="center"/>
          </w:tcPr>
          <w:p w14:paraId="30D0000C">
            <w:pPr>
              <w:pStyle w:val="5"/>
              <w:autoSpaceDE w:val="0"/>
              <w:spacing w:before="0" w:beforeAutospacing="0" w:after="0" w:afterAutospacing="0" w:line="280" w:lineRule="exact"/>
              <w:ind w:left="105" w:leftChars="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偏差率=100%×|投标人评标价-评标基准价|/评标基准价</w:t>
            </w:r>
          </w:p>
          <w:p w14:paraId="400924CE">
            <w:pPr>
              <w:pStyle w:val="5"/>
              <w:spacing w:before="0" w:beforeAutospacing="0" w:after="0" w:afterAutospacing="0" w:line="280" w:lineRule="exact"/>
              <w:ind w:left="105" w:leftChars="50"/>
              <w:jc w:val="both"/>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偏差率保留两位小数</w:t>
            </w:r>
          </w:p>
        </w:tc>
      </w:tr>
      <w:tr w14:paraId="414D6DF4">
        <w:tblPrEx>
          <w:tblCellMar>
            <w:top w:w="0" w:type="dxa"/>
            <w:left w:w="0" w:type="dxa"/>
            <w:bottom w:w="0" w:type="dxa"/>
            <w:right w:w="0" w:type="dxa"/>
          </w:tblCellMar>
        </w:tblPrEx>
        <w:trPr>
          <w:trHeight w:val="1238" w:hRule="atLeast"/>
          <w:jc w:val="center"/>
        </w:trPr>
        <w:tc>
          <w:tcPr>
            <w:tcW w:w="772" w:type="dxa"/>
            <w:tcBorders>
              <w:top w:val="single" w:color="000000" w:sz="6" w:space="0"/>
              <w:left w:val="double" w:color="auto" w:sz="2" w:space="0"/>
              <w:bottom w:val="single" w:color="000000" w:sz="6" w:space="0"/>
              <w:right w:val="single" w:color="000000" w:sz="6" w:space="0"/>
            </w:tcBorders>
            <w:noWrap w:val="0"/>
            <w:vAlign w:val="center"/>
          </w:tcPr>
          <w:p w14:paraId="36244F16">
            <w:pPr>
              <w:spacing w:line="290" w:lineRule="exact"/>
              <w:ind w:right="113" w:right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bidi="ar"/>
              </w:rPr>
              <w:t>条款号</w:t>
            </w: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302D3AED">
            <w:pPr>
              <w:spacing w:line="290" w:lineRule="exact"/>
              <w:ind w:right="113" w:right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bidi="ar"/>
              </w:rPr>
              <w:t>评分因素</w:t>
            </w:r>
          </w:p>
        </w:tc>
        <w:tc>
          <w:tcPr>
            <w:tcW w:w="899" w:type="dxa"/>
            <w:gridSpan w:val="2"/>
            <w:tcBorders>
              <w:top w:val="single" w:color="000000" w:sz="6" w:space="0"/>
              <w:left w:val="single" w:color="000000" w:sz="6" w:space="0"/>
              <w:bottom w:val="single" w:color="000000" w:sz="6" w:space="0"/>
              <w:right w:val="double" w:color="auto" w:sz="2" w:space="0"/>
            </w:tcBorders>
            <w:noWrap w:val="0"/>
            <w:vAlign w:val="center"/>
          </w:tcPr>
          <w:p w14:paraId="1D774696">
            <w:pPr>
              <w:spacing w:line="290" w:lineRule="exact"/>
              <w:ind w:right="113" w:right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评分因素权重分值</w:t>
            </w:r>
          </w:p>
        </w:tc>
        <w:tc>
          <w:tcPr>
            <w:tcW w:w="1140" w:type="dxa"/>
            <w:tcBorders>
              <w:top w:val="single" w:color="000000" w:sz="6" w:space="0"/>
              <w:left w:val="single" w:color="000000" w:sz="6" w:space="0"/>
              <w:bottom w:val="single" w:color="000000" w:sz="6" w:space="0"/>
              <w:right w:val="double" w:color="auto" w:sz="2" w:space="0"/>
            </w:tcBorders>
            <w:noWrap w:val="0"/>
            <w:vAlign w:val="center"/>
          </w:tcPr>
          <w:p w14:paraId="1CB69E5D">
            <w:pPr>
              <w:spacing w:line="290" w:lineRule="exact"/>
              <w:ind w:right="113" w:right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各评分因数细分项</w:t>
            </w:r>
          </w:p>
        </w:tc>
        <w:tc>
          <w:tcPr>
            <w:tcW w:w="824" w:type="dxa"/>
            <w:tcBorders>
              <w:top w:val="single" w:color="000000" w:sz="6" w:space="0"/>
              <w:left w:val="single" w:color="000000" w:sz="6" w:space="0"/>
              <w:bottom w:val="single" w:color="000000" w:sz="6" w:space="0"/>
              <w:right w:val="double" w:color="auto" w:sz="2" w:space="0"/>
            </w:tcBorders>
            <w:noWrap w:val="0"/>
            <w:vAlign w:val="center"/>
          </w:tcPr>
          <w:p w14:paraId="31A3117E">
            <w:pPr>
              <w:spacing w:line="290" w:lineRule="exact"/>
              <w:ind w:right="113" w:right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分值</w:t>
            </w:r>
          </w:p>
        </w:tc>
        <w:tc>
          <w:tcPr>
            <w:tcW w:w="4350" w:type="dxa"/>
            <w:gridSpan w:val="2"/>
            <w:tcBorders>
              <w:top w:val="single" w:color="000000" w:sz="6" w:space="0"/>
              <w:left w:val="single" w:color="000000" w:sz="6" w:space="0"/>
              <w:bottom w:val="single" w:color="000000" w:sz="6" w:space="0"/>
              <w:right w:val="double" w:color="auto" w:sz="2" w:space="0"/>
            </w:tcBorders>
            <w:noWrap w:val="0"/>
            <w:vAlign w:val="center"/>
          </w:tcPr>
          <w:p w14:paraId="421F2FCB">
            <w:pPr>
              <w:spacing w:line="290" w:lineRule="exact"/>
              <w:ind w:right="113" w:right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评分标准</w:t>
            </w:r>
          </w:p>
        </w:tc>
      </w:tr>
      <w:tr w14:paraId="1E35E42F">
        <w:tblPrEx>
          <w:tblCellMar>
            <w:top w:w="0" w:type="dxa"/>
            <w:left w:w="0" w:type="dxa"/>
            <w:bottom w:w="0" w:type="dxa"/>
            <w:right w:w="0" w:type="dxa"/>
          </w:tblCellMar>
        </w:tblPrEx>
        <w:trPr>
          <w:trHeight w:val="1238" w:hRule="atLeast"/>
          <w:jc w:val="center"/>
        </w:trPr>
        <w:tc>
          <w:tcPr>
            <w:tcW w:w="772" w:type="dxa"/>
            <w:vMerge w:val="restart"/>
            <w:tcBorders>
              <w:top w:val="single" w:color="000000" w:sz="6" w:space="0"/>
              <w:left w:val="double" w:color="auto" w:sz="2" w:space="0"/>
              <w:right w:val="single" w:color="000000" w:sz="6" w:space="0"/>
            </w:tcBorders>
            <w:noWrap w:val="0"/>
            <w:vAlign w:val="center"/>
          </w:tcPr>
          <w:p w14:paraId="4A422E41">
            <w:pPr>
              <w:spacing w:line="280" w:lineRule="exact"/>
              <w:ind w:right="113"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2.2.4（1）</w:t>
            </w:r>
          </w:p>
        </w:tc>
        <w:tc>
          <w:tcPr>
            <w:tcW w:w="1095" w:type="dxa"/>
            <w:vMerge w:val="restart"/>
            <w:tcBorders>
              <w:top w:val="single" w:color="000000" w:sz="6" w:space="0"/>
              <w:left w:val="single" w:color="000000" w:sz="6" w:space="0"/>
              <w:right w:val="single" w:color="000000" w:sz="6" w:space="0"/>
            </w:tcBorders>
            <w:noWrap w:val="0"/>
            <w:vAlign w:val="center"/>
          </w:tcPr>
          <w:p w14:paraId="223E47FA">
            <w:pPr>
              <w:spacing w:line="300" w:lineRule="exact"/>
              <w:ind w:left="113" w:right="113"/>
              <w:jc w:val="center"/>
              <w:rPr>
                <w:rFonts w:hint="eastAsia" w:ascii="宋体" w:hAnsi="宋体" w:eastAsia="宋体" w:cs="宋体"/>
                <w:highlight w:val="none"/>
              </w:rPr>
            </w:pPr>
            <w:r>
              <w:rPr>
                <w:rFonts w:hint="eastAsia" w:ascii="宋体" w:hAnsi="宋体" w:eastAsia="宋体" w:cs="宋体"/>
                <w:highlight w:val="none"/>
              </w:rPr>
              <w:t>技</w:t>
            </w:r>
          </w:p>
          <w:p w14:paraId="3C2A833E">
            <w:pPr>
              <w:spacing w:line="300" w:lineRule="exact"/>
              <w:ind w:left="113" w:right="113"/>
              <w:jc w:val="center"/>
              <w:rPr>
                <w:rFonts w:hint="eastAsia" w:ascii="宋体" w:hAnsi="宋体" w:eastAsia="宋体" w:cs="宋体"/>
                <w:highlight w:val="none"/>
              </w:rPr>
            </w:pPr>
            <w:r>
              <w:rPr>
                <w:rFonts w:hint="eastAsia" w:ascii="宋体" w:hAnsi="宋体" w:eastAsia="宋体" w:cs="宋体"/>
                <w:highlight w:val="none"/>
              </w:rPr>
              <w:t>术</w:t>
            </w:r>
          </w:p>
          <w:p w14:paraId="072214D8">
            <w:pPr>
              <w:spacing w:line="300" w:lineRule="exact"/>
              <w:ind w:left="113" w:right="113"/>
              <w:jc w:val="center"/>
              <w:rPr>
                <w:rFonts w:hint="eastAsia" w:ascii="宋体" w:hAnsi="宋体" w:eastAsia="宋体" w:cs="宋体"/>
                <w:highlight w:val="none"/>
              </w:rPr>
            </w:pPr>
            <w:r>
              <w:rPr>
                <w:rFonts w:hint="eastAsia" w:ascii="宋体" w:hAnsi="宋体" w:eastAsia="宋体" w:cs="宋体"/>
                <w:highlight w:val="none"/>
              </w:rPr>
              <w:t>建</w:t>
            </w:r>
          </w:p>
          <w:p w14:paraId="63785B9B">
            <w:pPr>
              <w:spacing w:line="300" w:lineRule="exact"/>
              <w:ind w:left="113" w:right="113"/>
              <w:jc w:val="center"/>
              <w:rPr>
                <w:rFonts w:hint="eastAsia" w:ascii="宋体" w:hAnsi="宋体" w:eastAsia="宋体" w:cs="宋体"/>
                <w:highlight w:val="none"/>
              </w:rPr>
            </w:pPr>
            <w:r>
              <w:rPr>
                <w:rFonts w:hint="eastAsia" w:ascii="宋体" w:hAnsi="宋体" w:eastAsia="宋体" w:cs="宋体"/>
                <w:highlight w:val="none"/>
              </w:rPr>
              <w:t>议</w:t>
            </w:r>
          </w:p>
          <w:p w14:paraId="4DA09A74">
            <w:pPr>
              <w:spacing w:line="300" w:lineRule="exact"/>
              <w:ind w:left="113" w:right="113"/>
              <w:jc w:val="center"/>
              <w:rPr>
                <w:rFonts w:hint="eastAsia" w:ascii="宋体" w:hAnsi="宋体" w:eastAsia="宋体" w:cs="宋体"/>
                <w:highlight w:val="none"/>
              </w:rPr>
            </w:pPr>
            <w:r>
              <w:rPr>
                <w:rFonts w:hint="eastAsia" w:ascii="宋体" w:hAnsi="宋体" w:eastAsia="宋体" w:cs="宋体"/>
                <w:highlight w:val="none"/>
              </w:rPr>
              <w:t>书</w:t>
            </w:r>
          </w:p>
          <w:p w14:paraId="11E09154">
            <w:pPr>
              <w:pStyle w:val="2"/>
              <w:rPr>
                <w:rFonts w:hint="eastAsia" w:ascii="宋体" w:hAnsi="宋体" w:eastAsia="宋体" w:cs="宋体"/>
                <w:kern w:val="2"/>
                <w:sz w:val="21"/>
                <w:szCs w:val="24"/>
                <w:highlight w:val="none"/>
                <w:lang w:val="en-US" w:eastAsia="zh-CN" w:bidi="ar-SA"/>
              </w:rPr>
            </w:pPr>
          </w:p>
        </w:tc>
        <w:tc>
          <w:tcPr>
            <w:tcW w:w="899" w:type="dxa"/>
            <w:gridSpan w:val="2"/>
            <w:vMerge w:val="restart"/>
            <w:tcBorders>
              <w:top w:val="single" w:color="000000" w:sz="6" w:space="0"/>
              <w:left w:val="single" w:color="000000" w:sz="6" w:space="0"/>
              <w:right w:val="double" w:color="auto" w:sz="2" w:space="0"/>
            </w:tcBorders>
            <w:noWrap w:val="0"/>
            <w:vAlign w:val="center"/>
          </w:tcPr>
          <w:p w14:paraId="57BBF4C5">
            <w:pPr>
              <w:pStyle w:val="5"/>
              <w:spacing w:before="0" w:beforeAutospacing="0" w:after="0" w:afterAutospacing="0" w:line="300" w:lineRule="exact"/>
              <w:ind w:left="105" w:leftChars="50"/>
              <w:jc w:val="center"/>
              <w:rPr>
                <w:rFonts w:hint="eastAsia" w:ascii="宋体" w:hAnsi="宋体" w:eastAsia="宋体" w:cs="宋体"/>
                <w:color w:val="0000FF"/>
                <w:kern w:val="0"/>
                <w:sz w:val="21"/>
                <w:szCs w:val="21"/>
                <w:highlight w:val="none"/>
                <w:lang w:val="en-US" w:eastAsia="zh-CN" w:bidi="ar-SA"/>
              </w:rPr>
            </w:pP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1140" w:type="dxa"/>
            <w:tcBorders>
              <w:top w:val="single" w:color="000000" w:sz="6" w:space="0"/>
              <w:left w:val="single" w:color="000000" w:sz="6" w:space="0"/>
              <w:bottom w:val="single" w:color="000000" w:sz="6" w:space="0"/>
              <w:right w:val="double" w:color="auto" w:sz="2" w:space="0"/>
            </w:tcBorders>
            <w:noWrap w:val="0"/>
            <w:vAlign w:val="center"/>
          </w:tcPr>
          <w:p w14:paraId="533FCE8C">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rPr>
              <w:t>监理仪器、设备和设施的配备</w:t>
            </w:r>
          </w:p>
        </w:tc>
        <w:tc>
          <w:tcPr>
            <w:tcW w:w="824" w:type="dxa"/>
            <w:tcBorders>
              <w:top w:val="single" w:color="000000" w:sz="6" w:space="0"/>
              <w:left w:val="single" w:color="000000" w:sz="6" w:space="0"/>
              <w:bottom w:val="single" w:color="000000" w:sz="6" w:space="0"/>
              <w:right w:val="double" w:color="auto" w:sz="2" w:space="0"/>
            </w:tcBorders>
            <w:noWrap w:val="0"/>
            <w:vAlign w:val="center"/>
          </w:tcPr>
          <w:p w14:paraId="50A3C92C">
            <w:pPr>
              <w:spacing w:line="290" w:lineRule="exact"/>
              <w:ind w:right="113" w:right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10分</w:t>
            </w:r>
          </w:p>
        </w:tc>
        <w:tc>
          <w:tcPr>
            <w:tcW w:w="4350" w:type="dxa"/>
            <w:gridSpan w:val="2"/>
            <w:tcBorders>
              <w:top w:val="single" w:color="000000" w:sz="6" w:space="0"/>
              <w:left w:val="single" w:color="000000" w:sz="6" w:space="0"/>
              <w:bottom w:val="single" w:color="000000" w:sz="6" w:space="0"/>
              <w:right w:val="double" w:color="auto" w:sz="2" w:space="0"/>
            </w:tcBorders>
            <w:noWrap w:val="0"/>
            <w:vAlign w:val="center"/>
          </w:tcPr>
          <w:p w14:paraId="1722F58E">
            <w:pPr>
              <w:spacing w:line="360" w:lineRule="exact"/>
              <w:ind w:left="105" w:leftChars="50" w:right="105" w:rightChars="50"/>
              <w:jc w:val="left"/>
              <w:rPr>
                <w:rFonts w:hint="eastAsia" w:ascii="宋体" w:hAnsi="宋体" w:eastAsia="宋体" w:cs="宋体"/>
                <w:highlight w:val="none"/>
                <w:lang w:val="en-US" w:eastAsia="zh-CN"/>
              </w:rPr>
            </w:pPr>
            <w:r>
              <w:rPr>
                <w:rFonts w:hint="eastAsia" w:ascii="宋体" w:hAnsi="宋体" w:eastAsia="宋体" w:cs="宋体"/>
                <w:highlight w:val="none"/>
              </w:rPr>
              <w:t>依据投标人根据拟投监理标段的现场工作需要，对其拟投如本工程的监理仪器、设备和设施的配备等情况作出的介绍进行评定，满足本项目要求的得</w:t>
            </w:r>
            <w:r>
              <w:rPr>
                <w:rFonts w:hint="eastAsia" w:ascii="宋体" w:hAnsi="宋体" w:eastAsia="宋体" w:cs="宋体"/>
                <w:highlight w:val="none"/>
                <w:lang w:val="en-US" w:eastAsia="zh-CN"/>
              </w:rPr>
              <w:t>6</w:t>
            </w:r>
            <w:r>
              <w:rPr>
                <w:rFonts w:hint="eastAsia" w:ascii="宋体" w:hAnsi="宋体" w:eastAsia="宋体" w:cs="宋体"/>
                <w:highlight w:val="none"/>
              </w:rPr>
              <w:t>分，在此基础上视合理可行程度得</w:t>
            </w:r>
            <w:r>
              <w:rPr>
                <w:rFonts w:hint="eastAsia" w:ascii="宋体" w:hAnsi="宋体" w:eastAsia="宋体" w:cs="宋体"/>
                <w:highlight w:val="none"/>
                <w:lang w:val="en-US" w:eastAsia="zh-CN"/>
              </w:rPr>
              <w:t>6-10</w:t>
            </w:r>
            <w:r>
              <w:rPr>
                <w:rFonts w:hint="eastAsia" w:ascii="宋体" w:hAnsi="宋体" w:eastAsia="宋体" w:cs="宋体"/>
                <w:highlight w:val="none"/>
              </w:rPr>
              <w:t>分。</w:t>
            </w:r>
          </w:p>
        </w:tc>
      </w:tr>
      <w:tr w14:paraId="25D21BBA">
        <w:tblPrEx>
          <w:tblCellMar>
            <w:top w:w="0" w:type="dxa"/>
            <w:left w:w="0" w:type="dxa"/>
            <w:bottom w:w="0" w:type="dxa"/>
            <w:right w:w="0" w:type="dxa"/>
          </w:tblCellMar>
        </w:tblPrEx>
        <w:trPr>
          <w:trHeight w:val="1238" w:hRule="atLeast"/>
          <w:jc w:val="center"/>
        </w:trPr>
        <w:tc>
          <w:tcPr>
            <w:tcW w:w="772" w:type="dxa"/>
            <w:vMerge w:val="continue"/>
            <w:tcBorders>
              <w:left w:val="double" w:color="auto" w:sz="2" w:space="0"/>
              <w:right w:val="single" w:color="000000" w:sz="6" w:space="0"/>
            </w:tcBorders>
            <w:noWrap w:val="0"/>
            <w:vAlign w:val="center"/>
          </w:tcPr>
          <w:p w14:paraId="57A6240E">
            <w:pPr>
              <w:spacing w:line="280" w:lineRule="exact"/>
              <w:ind w:right="113" w:rightChars="0"/>
              <w:jc w:val="center"/>
              <w:rPr>
                <w:rFonts w:hint="eastAsia" w:ascii="宋体" w:hAnsi="宋体" w:eastAsia="宋体" w:cs="宋体"/>
                <w:szCs w:val="21"/>
                <w:highlight w:val="none"/>
              </w:rPr>
            </w:pPr>
          </w:p>
        </w:tc>
        <w:tc>
          <w:tcPr>
            <w:tcW w:w="1095" w:type="dxa"/>
            <w:vMerge w:val="continue"/>
            <w:tcBorders>
              <w:left w:val="single" w:color="000000" w:sz="6" w:space="0"/>
              <w:right w:val="single" w:color="000000" w:sz="6" w:space="0"/>
            </w:tcBorders>
            <w:noWrap w:val="0"/>
            <w:vAlign w:val="center"/>
          </w:tcPr>
          <w:p w14:paraId="38FC2361">
            <w:pPr>
              <w:pStyle w:val="2"/>
              <w:rPr>
                <w:rFonts w:hint="eastAsia" w:ascii="宋体" w:hAnsi="宋体" w:eastAsia="宋体" w:cs="宋体"/>
                <w:kern w:val="2"/>
                <w:sz w:val="21"/>
                <w:szCs w:val="24"/>
                <w:highlight w:val="none"/>
                <w:lang w:val="en-US" w:eastAsia="zh-CN" w:bidi="ar-SA"/>
              </w:rPr>
            </w:pPr>
          </w:p>
        </w:tc>
        <w:tc>
          <w:tcPr>
            <w:tcW w:w="899" w:type="dxa"/>
            <w:gridSpan w:val="2"/>
            <w:vMerge w:val="continue"/>
            <w:tcBorders>
              <w:left w:val="single" w:color="000000" w:sz="6" w:space="0"/>
              <w:right w:val="double" w:color="auto" w:sz="2" w:space="0"/>
            </w:tcBorders>
            <w:noWrap w:val="0"/>
            <w:vAlign w:val="center"/>
          </w:tcPr>
          <w:p w14:paraId="54770BF2">
            <w:pPr>
              <w:pStyle w:val="5"/>
              <w:spacing w:before="0" w:beforeAutospacing="0" w:after="0" w:afterAutospacing="0" w:line="300" w:lineRule="exact"/>
              <w:ind w:left="105" w:leftChars="50"/>
              <w:jc w:val="center"/>
              <w:rPr>
                <w:rFonts w:hint="eastAsia" w:ascii="宋体" w:hAnsi="宋体" w:eastAsia="宋体" w:cs="宋体"/>
                <w:color w:val="auto"/>
                <w:sz w:val="21"/>
                <w:szCs w:val="21"/>
                <w:highlight w:val="none"/>
                <w:u w:val="single"/>
                <w:lang w:val="en-US" w:eastAsia="zh-CN"/>
              </w:rPr>
            </w:pPr>
          </w:p>
        </w:tc>
        <w:tc>
          <w:tcPr>
            <w:tcW w:w="1140" w:type="dxa"/>
            <w:tcBorders>
              <w:top w:val="single" w:color="000000" w:sz="6" w:space="0"/>
              <w:left w:val="single" w:color="000000" w:sz="6" w:space="0"/>
              <w:bottom w:val="single" w:color="000000" w:sz="6" w:space="0"/>
              <w:right w:val="double" w:color="auto" w:sz="2" w:space="0"/>
            </w:tcBorders>
            <w:noWrap w:val="0"/>
            <w:vAlign w:val="center"/>
          </w:tcPr>
          <w:p w14:paraId="1047DF3D">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rPr>
              <w:t>监理大纲（或监理方案）</w:t>
            </w:r>
          </w:p>
        </w:tc>
        <w:tc>
          <w:tcPr>
            <w:tcW w:w="824" w:type="dxa"/>
            <w:tcBorders>
              <w:top w:val="single" w:color="000000" w:sz="6" w:space="0"/>
              <w:left w:val="single" w:color="000000" w:sz="6" w:space="0"/>
              <w:bottom w:val="single" w:color="000000" w:sz="6" w:space="0"/>
              <w:right w:val="double" w:color="auto" w:sz="2" w:space="0"/>
            </w:tcBorders>
            <w:noWrap w:val="0"/>
            <w:vAlign w:val="center"/>
          </w:tcPr>
          <w:p w14:paraId="2BE415D5">
            <w:pPr>
              <w:spacing w:line="290" w:lineRule="exact"/>
              <w:ind w:right="113" w:right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10分</w:t>
            </w:r>
          </w:p>
        </w:tc>
        <w:tc>
          <w:tcPr>
            <w:tcW w:w="4350" w:type="dxa"/>
            <w:gridSpan w:val="2"/>
            <w:tcBorders>
              <w:top w:val="single" w:color="000000" w:sz="6" w:space="0"/>
              <w:left w:val="single" w:color="000000" w:sz="6" w:space="0"/>
              <w:bottom w:val="single" w:color="000000" w:sz="6" w:space="0"/>
              <w:right w:val="double" w:color="auto" w:sz="2" w:space="0"/>
            </w:tcBorders>
            <w:noWrap w:val="0"/>
            <w:vAlign w:val="center"/>
          </w:tcPr>
          <w:p w14:paraId="3B53FA56">
            <w:pPr>
              <w:spacing w:line="360" w:lineRule="exact"/>
              <w:ind w:left="105" w:leftChars="50" w:right="105" w:rightChars="50"/>
              <w:jc w:val="left"/>
              <w:rPr>
                <w:rFonts w:hint="eastAsia" w:ascii="宋体" w:hAnsi="宋体" w:eastAsia="宋体" w:cs="宋体"/>
                <w:highlight w:val="none"/>
                <w:lang w:val="en-US" w:eastAsia="zh-CN"/>
              </w:rPr>
            </w:pPr>
            <w:r>
              <w:rPr>
                <w:rFonts w:hint="eastAsia" w:ascii="宋体" w:hAnsi="宋体" w:eastAsia="宋体" w:cs="宋体"/>
                <w:highlight w:val="none"/>
              </w:rPr>
              <w:t>根据投标人的监理大纲（监理方案）是否可行，能否充分满足本项目工程质量、进度、费用控制的要求进行评定，基本满足本项目要求的得</w:t>
            </w:r>
            <w:r>
              <w:rPr>
                <w:rFonts w:hint="eastAsia" w:ascii="宋体" w:hAnsi="宋体" w:eastAsia="宋体" w:cs="宋体"/>
                <w:highlight w:val="none"/>
                <w:lang w:val="en-US" w:eastAsia="zh-CN"/>
              </w:rPr>
              <w:t>6</w:t>
            </w:r>
            <w:r>
              <w:rPr>
                <w:rFonts w:hint="eastAsia" w:ascii="宋体" w:hAnsi="宋体" w:eastAsia="宋体" w:cs="宋体"/>
                <w:highlight w:val="none"/>
              </w:rPr>
              <w:t>分，在此基础上视合理可行程度得</w:t>
            </w:r>
            <w:r>
              <w:rPr>
                <w:rFonts w:hint="eastAsia" w:ascii="宋体" w:hAnsi="宋体" w:eastAsia="宋体" w:cs="宋体"/>
                <w:highlight w:val="none"/>
                <w:lang w:val="en-US" w:eastAsia="zh-CN"/>
              </w:rPr>
              <w:t>6-10</w:t>
            </w:r>
            <w:r>
              <w:rPr>
                <w:rFonts w:hint="eastAsia" w:ascii="宋体" w:hAnsi="宋体" w:eastAsia="宋体" w:cs="宋体"/>
                <w:highlight w:val="none"/>
              </w:rPr>
              <w:t>分。</w:t>
            </w:r>
          </w:p>
        </w:tc>
      </w:tr>
      <w:tr w14:paraId="7BA2896F">
        <w:tblPrEx>
          <w:tblCellMar>
            <w:top w:w="0" w:type="dxa"/>
            <w:left w:w="0" w:type="dxa"/>
            <w:bottom w:w="0" w:type="dxa"/>
            <w:right w:w="0" w:type="dxa"/>
          </w:tblCellMar>
        </w:tblPrEx>
        <w:trPr>
          <w:trHeight w:val="1238" w:hRule="atLeast"/>
          <w:jc w:val="center"/>
        </w:trPr>
        <w:tc>
          <w:tcPr>
            <w:tcW w:w="772" w:type="dxa"/>
            <w:vMerge w:val="continue"/>
            <w:tcBorders>
              <w:left w:val="double" w:color="auto" w:sz="2" w:space="0"/>
              <w:right w:val="single" w:color="000000" w:sz="6" w:space="0"/>
            </w:tcBorders>
            <w:noWrap w:val="0"/>
            <w:vAlign w:val="center"/>
          </w:tcPr>
          <w:p w14:paraId="15124253">
            <w:pPr>
              <w:spacing w:line="280" w:lineRule="exact"/>
              <w:ind w:right="113" w:rightChars="0"/>
              <w:jc w:val="center"/>
              <w:rPr>
                <w:rFonts w:hint="eastAsia" w:ascii="宋体" w:hAnsi="宋体" w:eastAsia="宋体" w:cs="宋体"/>
                <w:szCs w:val="21"/>
                <w:highlight w:val="none"/>
              </w:rPr>
            </w:pPr>
          </w:p>
        </w:tc>
        <w:tc>
          <w:tcPr>
            <w:tcW w:w="1095" w:type="dxa"/>
            <w:vMerge w:val="continue"/>
            <w:tcBorders>
              <w:left w:val="single" w:color="000000" w:sz="6" w:space="0"/>
              <w:right w:val="single" w:color="000000" w:sz="6" w:space="0"/>
            </w:tcBorders>
            <w:noWrap w:val="0"/>
            <w:vAlign w:val="center"/>
          </w:tcPr>
          <w:p w14:paraId="6CAF33FE">
            <w:pPr>
              <w:pStyle w:val="2"/>
              <w:rPr>
                <w:rFonts w:hint="eastAsia" w:ascii="宋体" w:hAnsi="宋体" w:eastAsia="宋体" w:cs="宋体"/>
                <w:kern w:val="2"/>
                <w:sz w:val="21"/>
                <w:szCs w:val="24"/>
                <w:highlight w:val="none"/>
                <w:lang w:val="en-US" w:eastAsia="zh-CN" w:bidi="ar-SA"/>
              </w:rPr>
            </w:pPr>
          </w:p>
        </w:tc>
        <w:tc>
          <w:tcPr>
            <w:tcW w:w="899" w:type="dxa"/>
            <w:gridSpan w:val="2"/>
            <w:vMerge w:val="continue"/>
            <w:tcBorders>
              <w:left w:val="single" w:color="000000" w:sz="6" w:space="0"/>
              <w:right w:val="double" w:color="auto" w:sz="2" w:space="0"/>
            </w:tcBorders>
            <w:noWrap w:val="0"/>
            <w:vAlign w:val="center"/>
          </w:tcPr>
          <w:p w14:paraId="42C4A670">
            <w:pPr>
              <w:pStyle w:val="5"/>
              <w:spacing w:before="0" w:beforeAutospacing="0" w:after="0" w:afterAutospacing="0" w:line="300" w:lineRule="exact"/>
              <w:ind w:left="105" w:leftChars="50"/>
              <w:jc w:val="center"/>
              <w:rPr>
                <w:rFonts w:hint="eastAsia" w:ascii="宋体" w:hAnsi="宋体" w:eastAsia="宋体" w:cs="宋体"/>
                <w:color w:val="auto"/>
                <w:sz w:val="21"/>
                <w:szCs w:val="21"/>
                <w:highlight w:val="none"/>
                <w:u w:val="single"/>
                <w:lang w:val="en-US" w:eastAsia="zh-CN"/>
              </w:rPr>
            </w:pPr>
          </w:p>
        </w:tc>
        <w:tc>
          <w:tcPr>
            <w:tcW w:w="1140" w:type="dxa"/>
            <w:tcBorders>
              <w:top w:val="single" w:color="000000" w:sz="6" w:space="0"/>
              <w:left w:val="single" w:color="000000" w:sz="6" w:space="0"/>
              <w:bottom w:val="single" w:color="000000" w:sz="6" w:space="0"/>
              <w:right w:val="double" w:color="auto" w:sz="2" w:space="0"/>
            </w:tcBorders>
            <w:noWrap w:val="0"/>
            <w:vAlign w:val="center"/>
          </w:tcPr>
          <w:p w14:paraId="2FFEF90F">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rPr>
              <w:t>对本工程重点、难点分析</w:t>
            </w:r>
          </w:p>
        </w:tc>
        <w:tc>
          <w:tcPr>
            <w:tcW w:w="824" w:type="dxa"/>
            <w:tcBorders>
              <w:top w:val="single" w:color="000000" w:sz="6" w:space="0"/>
              <w:left w:val="single" w:color="000000" w:sz="6" w:space="0"/>
              <w:bottom w:val="single" w:color="000000" w:sz="6" w:space="0"/>
              <w:right w:val="double" w:color="auto" w:sz="2" w:space="0"/>
            </w:tcBorders>
            <w:noWrap w:val="0"/>
            <w:vAlign w:val="center"/>
          </w:tcPr>
          <w:p w14:paraId="359C5177">
            <w:pPr>
              <w:spacing w:line="290" w:lineRule="exact"/>
              <w:ind w:right="113" w:right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10分</w:t>
            </w:r>
          </w:p>
        </w:tc>
        <w:tc>
          <w:tcPr>
            <w:tcW w:w="4350" w:type="dxa"/>
            <w:gridSpan w:val="2"/>
            <w:tcBorders>
              <w:top w:val="single" w:color="000000" w:sz="6" w:space="0"/>
              <w:left w:val="single" w:color="000000" w:sz="6" w:space="0"/>
              <w:bottom w:val="single" w:color="000000" w:sz="6" w:space="0"/>
              <w:right w:val="double" w:color="auto" w:sz="2" w:space="0"/>
            </w:tcBorders>
            <w:noWrap w:val="0"/>
            <w:vAlign w:val="center"/>
          </w:tcPr>
          <w:p w14:paraId="111D3383">
            <w:pPr>
              <w:spacing w:line="360" w:lineRule="exact"/>
              <w:ind w:left="105" w:leftChars="50" w:right="105" w:rightChars="50"/>
              <w:jc w:val="left"/>
              <w:rPr>
                <w:rFonts w:hint="eastAsia" w:ascii="宋体" w:hAnsi="宋体" w:eastAsia="宋体" w:cs="宋体"/>
                <w:highlight w:val="none"/>
                <w:lang w:val="en-US" w:eastAsia="zh-CN"/>
              </w:rPr>
            </w:pPr>
            <w:r>
              <w:rPr>
                <w:rFonts w:hint="eastAsia" w:ascii="宋体" w:hAnsi="宋体" w:eastAsia="宋体" w:cs="宋体"/>
                <w:highlight w:val="none"/>
              </w:rPr>
              <w:t>对本工程重点、难点问题的把握程度基本准确，而且针对本项目应着重解决的重点、难点问题所提出的处理措施基本可行的，得</w:t>
            </w:r>
            <w:r>
              <w:rPr>
                <w:rFonts w:hint="eastAsia" w:ascii="宋体" w:hAnsi="宋体" w:eastAsia="宋体" w:cs="宋体"/>
                <w:highlight w:val="none"/>
                <w:lang w:val="en-US" w:eastAsia="zh-CN"/>
              </w:rPr>
              <w:t>6</w:t>
            </w:r>
            <w:r>
              <w:rPr>
                <w:rFonts w:hint="eastAsia" w:ascii="宋体" w:hAnsi="宋体" w:eastAsia="宋体" w:cs="宋体"/>
                <w:highlight w:val="none"/>
              </w:rPr>
              <w:t>分，在此基础上视其准确程度以及有效可行程度得</w:t>
            </w:r>
            <w:r>
              <w:rPr>
                <w:rFonts w:hint="eastAsia" w:ascii="宋体" w:hAnsi="宋体" w:eastAsia="宋体" w:cs="宋体"/>
                <w:highlight w:val="none"/>
                <w:lang w:val="en-US" w:eastAsia="zh-CN"/>
              </w:rPr>
              <w:t>6-10</w:t>
            </w:r>
            <w:r>
              <w:rPr>
                <w:rFonts w:hint="eastAsia" w:ascii="宋体" w:hAnsi="宋体" w:eastAsia="宋体" w:cs="宋体"/>
                <w:highlight w:val="none"/>
              </w:rPr>
              <w:t>分。</w:t>
            </w:r>
          </w:p>
        </w:tc>
      </w:tr>
      <w:tr w14:paraId="5EE11156">
        <w:tblPrEx>
          <w:tblCellMar>
            <w:top w:w="0" w:type="dxa"/>
            <w:left w:w="0" w:type="dxa"/>
            <w:bottom w:w="0" w:type="dxa"/>
            <w:right w:w="0" w:type="dxa"/>
          </w:tblCellMar>
        </w:tblPrEx>
        <w:trPr>
          <w:trHeight w:val="797" w:hRule="atLeast"/>
          <w:jc w:val="center"/>
        </w:trPr>
        <w:tc>
          <w:tcPr>
            <w:tcW w:w="772" w:type="dxa"/>
            <w:tcBorders>
              <w:top w:val="single" w:color="000000" w:sz="6" w:space="0"/>
              <w:left w:val="double" w:color="auto" w:sz="2" w:space="0"/>
              <w:bottom w:val="single" w:color="000000" w:sz="6" w:space="0"/>
              <w:right w:val="single" w:color="000000" w:sz="6" w:space="0"/>
            </w:tcBorders>
            <w:noWrap w:val="0"/>
            <w:vAlign w:val="center"/>
          </w:tcPr>
          <w:p w14:paraId="29A69FF3">
            <w:pPr>
              <w:spacing w:line="280" w:lineRule="exact"/>
              <w:ind w:right="113"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2.2.4（2）</w:t>
            </w: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6299F5A1">
            <w:pPr>
              <w:spacing w:line="300" w:lineRule="exact"/>
              <w:ind w:left="113" w:leftChars="0" w:right="113"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主要人员</w:t>
            </w:r>
          </w:p>
        </w:tc>
        <w:tc>
          <w:tcPr>
            <w:tcW w:w="899" w:type="dxa"/>
            <w:gridSpan w:val="2"/>
            <w:tcBorders>
              <w:top w:val="single" w:color="000000" w:sz="6" w:space="0"/>
              <w:left w:val="single" w:color="000000" w:sz="6" w:space="0"/>
              <w:bottom w:val="single" w:color="000000" w:sz="6" w:space="0"/>
              <w:right w:val="double" w:color="auto" w:sz="2" w:space="0"/>
            </w:tcBorders>
            <w:noWrap w:val="0"/>
            <w:vAlign w:val="center"/>
          </w:tcPr>
          <w:p w14:paraId="65AF1B2F">
            <w:pPr>
              <w:pStyle w:val="5"/>
              <w:spacing w:before="0" w:beforeAutospacing="0" w:after="0" w:afterAutospacing="0" w:line="300" w:lineRule="exact"/>
              <w:ind w:left="105" w:leftChars="50"/>
              <w:jc w:val="center"/>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1140" w:type="dxa"/>
            <w:tcBorders>
              <w:top w:val="single" w:color="000000" w:sz="6" w:space="0"/>
              <w:left w:val="single" w:color="000000" w:sz="6" w:space="0"/>
              <w:bottom w:val="single" w:color="000000" w:sz="6" w:space="0"/>
              <w:right w:val="double" w:color="auto" w:sz="2" w:space="0"/>
            </w:tcBorders>
            <w:noWrap w:val="0"/>
            <w:vAlign w:val="center"/>
          </w:tcPr>
          <w:p w14:paraId="239E1B84">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rPr>
              <w:t>总监理工程师</w:t>
            </w:r>
            <w:r>
              <w:rPr>
                <w:rFonts w:hint="eastAsia" w:ascii="宋体" w:hAnsi="宋体" w:eastAsia="宋体" w:cs="宋体"/>
                <w:highlight w:val="none"/>
                <w:lang w:val="en-US" w:eastAsia="zh-CN"/>
              </w:rPr>
              <w:t>任职资格与业绩</w:t>
            </w:r>
          </w:p>
        </w:tc>
        <w:tc>
          <w:tcPr>
            <w:tcW w:w="824" w:type="dxa"/>
            <w:tcBorders>
              <w:top w:val="single" w:color="000000" w:sz="6" w:space="0"/>
              <w:left w:val="single" w:color="000000" w:sz="6" w:space="0"/>
              <w:bottom w:val="single" w:color="000000" w:sz="6" w:space="0"/>
              <w:right w:val="double" w:color="auto" w:sz="2" w:space="0"/>
            </w:tcBorders>
            <w:noWrap w:val="0"/>
            <w:vAlign w:val="center"/>
          </w:tcPr>
          <w:p w14:paraId="01722283">
            <w:pPr>
              <w:spacing w:line="290" w:lineRule="exact"/>
              <w:ind w:right="113"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30分</w:t>
            </w:r>
          </w:p>
        </w:tc>
        <w:tc>
          <w:tcPr>
            <w:tcW w:w="4350" w:type="dxa"/>
            <w:gridSpan w:val="2"/>
            <w:tcBorders>
              <w:top w:val="single" w:color="000000" w:sz="6" w:space="0"/>
              <w:left w:val="single" w:color="000000" w:sz="6" w:space="0"/>
              <w:bottom w:val="single" w:color="000000" w:sz="6" w:space="0"/>
              <w:right w:val="double" w:color="auto" w:sz="2" w:space="0"/>
            </w:tcBorders>
            <w:noWrap w:val="0"/>
            <w:vAlign w:val="center"/>
          </w:tcPr>
          <w:p w14:paraId="3F76AB7E">
            <w:pPr>
              <w:spacing w:line="360" w:lineRule="exact"/>
              <w:ind w:left="105" w:leftChars="50" w:right="105" w:rightChars="50"/>
              <w:jc w:val="left"/>
              <w:rPr>
                <w:rFonts w:hint="eastAsia" w:ascii="宋体" w:hAnsi="宋体" w:eastAsia="宋体" w:cs="宋体"/>
                <w:highlight w:val="none"/>
              </w:rPr>
            </w:pPr>
            <w:r>
              <w:rPr>
                <w:rFonts w:hint="eastAsia" w:ascii="宋体" w:hAnsi="宋体" w:eastAsia="宋体" w:cs="宋体"/>
                <w:highlight w:val="none"/>
              </w:rPr>
              <w:t xml:space="preserve">（a）满足资格审查条件最低要求的，得基本分 </w:t>
            </w:r>
            <w:r>
              <w:rPr>
                <w:rFonts w:hint="eastAsia" w:ascii="宋体" w:hAnsi="宋体" w:eastAsia="宋体" w:cs="宋体"/>
                <w:highlight w:val="none"/>
                <w:lang w:val="en-US" w:eastAsia="zh-CN"/>
              </w:rPr>
              <w:t>14</w:t>
            </w:r>
            <w:r>
              <w:rPr>
                <w:rFonts w:hint="eastAsia" w:ascii="宋体" w:hAnsi="宋体" w:eastAsia="宋体" w:cs="宋体"/>
                <w:highlight w:val="none"/>
              </w:rPr>
              <w:t>分；</w:t>
            </w:r>
          </w:p>
          <w:p w14:paraId="507F43F7">
            <w:pPr>
              <w:spacing w:line="360" w:lineRule="exact"/>
              <w:ind w:left="105" w:leftChars="50" w:right="105" w:rightChars="50"/>
              <w:jc w:val="left"/>
              <w:rPr>
                <w:rFonts w:hint="eastAsia" w:ascii="宋体" w:hAnsi="宋体" w:eastAsia="宋体" w:cs="宋体"/>
                <w:kern w:val="21"/>
                <w:szCs w:val="21"/>
              </w:rPr>
            </w:pPr>
            <w:r>
              <w:rPr>
                <w:rFonts w:hint="eastAsia" w:ascii="宋体" w:hAnsi="宋体" w:eastAsia="宋体" w:cs="宋体"/>
                <w:highlight w:val="none"/>
              </w:rPr>
              <w:t>（b）</w:t>
            </w:r>
            <w:r>
              <w:rPr>
                <w:rFonts w:hint="eastAsia" w:ascii="宋体" w:hAnsi="宋体" w:eastAsia="宋体" w:cs="宋体"/>
                <w:kern w:val="21"/>
                <w:szCs w:val="21"/>
              </w:rPr>
              <w:t>作为总监理工程师或副总监或驻地监理工程师在资格审查条件的基础上，</w:t>
            </w:r>
          </w:p>
          <w:p w14:paraId="41080A75">
            <w:pPr>
              <w:spacing w:line="360" w:lineRule="exact"/>
              <w:ind w:left="105" w:leftChars="50" w:right="105" w:rightChars="50"/>
              <w:jc w:val="left"/>
              <w:rPr>
                <w:rFonts w:hint="eastAsia" w:ascii="宋体" w:hAnsi="宋体" w:eastAsia="宋体" w:cs="宋体"/>
                <w:kern w:val="21"/>
                <w:szCs w:val="21"/>
                <w:lang w:eastAsia="zh-CN"/>
              </w:rPr>
            </w:pPr>
            <w:r>
              <w:rPr>
                <w:rFonts w:hint="eastAsia" w:ascii="宋体" w:hAnsi="宋体" w:eastAsia="宋体" w:cs="宋体"/>
                <w:kern w:val="21"/>
                <w:szCs w:val="21"/>
              </w:rPr>
              <w:t>每增加1项新(改、扩)一级及以上公路路基工程的施工监理业绩加2分，最多</w:t>
            </w:r>
            <w:r>
              <w:rPr>
                <w:rFonts w:hint="eastAsia" w:ascii="宋体" w:hAnsi="宋体" w:eastAsia="宋体" w:cs="宋体"/>
                <w:kern w:val="21"/>
                <w:szCs w:val="21"/>
                <w:lang w:val="en-US" w:eastAsia="zh-CN"/>
              </w:rPr>
              <w:t>4</w:t>
            </w:r>
            <w:r>
              <w:rPr>
                <w:rFonts w:hint="eastAsia" w:ascii="宋体" w:hAnsi="宋体" w:eastAsia="宋体" w:cs="宋体"/>
                <w:kern w:val="21"/>
                <w:szCs w:val="21"/>
              </w:rPr>
              <w:t>分</w:t>
            </w:r>
            <w:r>
              <w:rPr>
                <w:rFonts w:hint="eastAsia" w:ascii="宋体" w:hAnsi="宋体" w:eastAsia="宋体" w:cs="宋体"/>
                <w:kern w:val="21"/>
                <w:szCs w:val="21"/>
                <w:lang w:eastAsia="zh-CN"/>
              </w:rPr>
              <w:t>；</w:t>
            </w:r>
          </w:p>
          <w:p w14:paraId="44BCF35D">
            <w:pPr>
              <w:spacing w:line="360" w:lineRule="exact"/>
              <w:ind w:left="105" w:leftChars="50" w:right="105" w:rightChars="50"/>
              <w:jc w:val="left"/>
              <w:rPr>
                <w:rFonts w:hint="eastAsia" w:ascii="宋体" w:hAnsi="宋体" w:eastAsia="宋体" w:cs="宋体"/>
                <w:kern w:val="21"/>
                <w:szCs w:val="21"/>
                <w:lang w:eastAsia="zh-CN"/>
              </w:rPr>
            </w:pPr>
            <w:r>
              <w:rPr>
                <w:rFonts w:hint="eastAsia" w:ascii="宋体" w:hAnsi="宋体" w:eastAsia="宋体" w:cs="宋体"/>
                <w:kern w:val="21"/>
                <w:szCs w:val="21"/>
              </w:rPr>
              <w:t>每增加1项新(改、扩)一级及以上公路路面工程的施工监理业绩加2分，最多</w:t>
            </w:r>
            <w:r>
              <w:rPr>
                <w:rFonts w:hint="eastAsia" w:ascii="宋体" w:hAnsi="宋体" w:eastAsia="宋体" w:cs="宋体"/>
                <w:kern w:val="21"/>
                <w:szCs w:val="21"/>
                <w:lang w:val="en-US" w:eastAsia="zh-CN"/>
              </w:rPr>
              <w:t>4</w:t>
            </w:r>
            <w:r>
              <w:rPr>
                <w:rFonts w:hint="eastAsia" w:ascii="宋体" w:hAnsi="宋体" w:eastAsia="宋体" w:cs="宋体"/>
                <w:kern w:val="21"/>
                <w:szCs w:val="21"/>
              </w:rPr>
              <w:t>分</w:t>
            </w:r>
            <w:r>
              <w:rPr>
                <w:rFonts w:hint="eastAsia" w:ascii="宋体" w:hAnsi="宋体" w:eastAsia="宋体" w:cs="宋体"/>
                <w:kern w:val="21"/>
                <w:szCs w:val="21"/>
                <w:lang w:eastAsia="zh-CN"/>
              </w:rPr>
              <w:t>；</w:t>
            </w:r>
          </w:p>
          <w:p w14:paraId="6752DCAC">
            <w:pPr>
              <w:spacing w:line="360" w:lineRule="exact"/>
              <w:ind w:left="105" w:leftChars="50" w:right="105" w:rightChars="50"/>
              <w:jc w:val="left"/>
              <w:rPr>
                <w:rFonts w:hint="eastAsia" w:ascii="宋体" w:hAnsi="宋体" w:eastAsia="宋体" w:cs="宋体"/>
                <w:kern w:val="21"/>
                <w:szCs w:val="21"/>
                <w:lang w:eastAsia="zh-CN"/>
              </w:rPr>
            </w:pPr>
            <w:r>
              <w:rPr>
                <w:rFonts w:hint="eastAsia" w:ascii="宋体" w:hAnsi="宋体" w:eastAsia="宋体" w:cs="宋体"/>
                <w:kern w:val="21"/>
                <w:szCs w:val="21"/>
              </w:rPr>
              <w:t>每增加1项新(改、扩)一级及以上公路大桥或以上的施工监理业绩，加</w:t>
            </w:r>
            <w:r>
              <w:rPr>
                <w:rFonts w:hint="eastAsia" w:ascii="宋体" w:hAnsi="宋体" w:eastAsia="宋体" w:cs="宋体"/>
                <w:kern w:val="21"/>
                <w:szCs w:val="21"/>
                <w:lang w:val="en-US" w:eastAsia="zh-CN"/>
              </w:rPr>
              <w:t>2</w:t>
            </w:r>
            <w:r>
              <w:rPr>
                <w:rFonts w:hint="eastAsia" w:ascii="宋体" w:hAnsi="宋体" w:eastAsia="宋体" w:cs="宋体"/>
                <w:kern w:val="21"/>
                <w:szCs w:val="21"/>
              </w:rPr>
              <w:t>分，最多</w:t>
            </w:r>
            <w:r>
              <w:rPr>
                <w:rFonts w:hint="eastAsia" w:ascii="宋体" w:hAnsi="宋体" w:eastAsia="宋体" w:cs="宋体"/>
                <w:kern w:val="21"/>
                <w:szCs w:val="21"/>
                <w:lang w:val="en-US" w:eastAsia="zh-CN"/>
              </w:rPr>
              <w:t>4</w:t>
            </w:r>
            <w:r>
              <w:rPr>
                <w:rFonts w:hint="eastAsia" w:ascii="宋体" w:hAnsi="宋体" w:eastAsia="宋体" w:cs="宋体"/>
                <w:kern w:val="21"/>
                <w:szCs w:val="21"/>
              </w:rPr>
              <w:t>分</w:t>
            </w:r>
            <w:r>
              <w:rPr>
                <w:rFonts w:hint="eastAsia" w:ascii="宋体" w:hAnsi="宋体" w:eastAsia="宋体" w:cs="宋体"/>
                <w:kern w:val="21"/>
                <w:szCs w:val="21"/>
                <w:lang w:eastAsia="zh-CN"/>
              </w:rPr>
              <w:t>；</w:t>
            </w:r>
          </w:p>
          <w:p w14:paraId="5B04FB35">
            <w:pPr>
              <w:autoSpaceDE w:val="0"/>
              <w:spacing w:line="360" w:lineRule="exact"/>
              <w:ind w:left="105" w:leftChars="50" w:right="105" w:rightChars="50"/>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每增加1项新(改、扩)一级及以上公路</w:t>
            </w:r>
            <w:r>
              <w:rPr>
                <w:rFonts w:hint="eastAsia" w:ascii="宋体" w:hAnsi="宋体" w:eastAsia="宋体" w:cs="宋体"/>
                <w:szCs w:val="21"/>
                <w:highlight w:val="none"/>
                <w:lang w:val="en-US" w:eastAsia="zh-CN" w:bidi="ar"/>
              </w:rPr>
              <w:t>特</w:t>
            </w:r>
            <w:r>
              <w:rPr>
                <w:rFonts w:hint="eastAsia" w:ascii="宋体" w:hAnsi="宋体" w:eastAsia="宋体" w:cs="宋体"/>
                <w:szCs w:val="21"/>
                <w:highlight w:val="none"/>
                <w:lang w:bidi="ar"/>
              </w:rPr>
              <w:t>长隧道的施工监理业绩，加</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分，最多</w:t>
            </w:r>
            <w:r>
              <w:rPr>
                <w:rFonts w:hint="eastAsia" w:ascii="宋体" w:hAnsi="宋体" w:eastAsia="宋体" w:cs="宋体"/>
                <w:szCs w:val="21"/>
                <w:highlight w:val="none"/>
                <w:lang w:val="en-US" w:eastAsia="zh-CN" w:bidi="ar"/>
              </w:rPr>
              <w:t>4</w:t>
            </w:r>
            <w:r>
              <w:rPr>
                <w:rFonts w:hint="eastAsia" w:ascii="宋体" w:hAnsi="宋体" w:eastAsia="宋体" w:cs="宋体"/>
                <w:szCs w:val="21"/>
                <w:highlight w:val="none"/>
                <w:lang w:bidi="ar"/>
              </w:rPr>
              <w:t>分</w:t>
            </w:r>
            <w:r>
              <w:rPr>
                <w:rFonts w:hint="eastAsia" w:ascii="宋体" w:hAnsi="宋体" w:eastAsia="宋体" w:cs="宋体"/>
                <w:szCs w:val="21"/>
                <w:highlight w:val="none"/>
                <w:lang w:eastAsia="zh-CN" w:bidi="ar"/>
              </w:rPr>
              <w:t>；</w:t>
            </w:r>
          </w:p>
          <w:p w14:paraId="7EF11952">
            <w:pPr>
              <w:spacing w:line="360" w:lineRule="exact"/>
              <w:ind w:left="105" w:leftChars="50" w:right="105" w:rightChars="50"/>
              <w:jc w:val="left"/>
              <w:rPr>
                <w:rFonts w:hint="eastAsia" w:ascii="宋体" w:hAnsi="宋体" w:eastAsia="宋体" w:cs="宋体"/>
                <w:highlight w:val="none"/>
              </w:rPr>
            </w:pPr>
            <w:r>
              <w:rPr>
                <w:rFonts w:hint="eastAsia" w:ascii="宋体" w:hAnsi="宋体" w:eastAsia="宋体" w:cs="宋体"/>
                <w:kern w:val="21"/>
                <w:szCs w:val="21"/>
              </w:rPr>
              <w:t>注</w:t>
            </w:r>
            <w:r>
              <w:rPr>
                <w:rFonts w:hint="eastAsia" w:ascii="宋体" w:hAnsi="宋体" w:eastAsia="宋体" w:cs="宋体"/>
                <w:kern w:val="21"/>
                <w:szCs w:val="21"/>
                <w:lang w:eastAsia="zh-CN"/>
              </w:rPr>
              <w:t>：</w:t>
            </w:r>
            <w:r>
              <w:rPr>
                <w:rFonts w:hint="eastAsia" w:ascii="宋体" w:hAnsi="宋体" w:eastAsia="宋体" w:cs="宋体"/>
                <w:kern w:val="21"/>
                <w:szCs w:val="21"/>
              </w:rPr>
              <w:t>如一项业绩同时包含多项工作内容时，可分别计算。</w:t>
            </w:r>
          </w:p>
        </w:tc>
      </w:tr>
      <w:tr w14:paraId="16DFF0E6">
        <w:tblPrEx>
          <w:tblCellMar>
            <w:top w:w="0" w:type="dxa"/>
            <w:left w:w="0" w:type="dxa"/>
            <w:bottom w:w="0" w:type="dxa"/>
            <w:right w:w="0" w:type="dxa"/>
          </w:tblCellMar>
        </w:tblPrEx>
        <w:trPr>
          <w:trHeight w:val="1238" w:hRule="atLeast"/>
          <w:jc w:val="center"/>
        </w:trPr>
        <w:tc>
          <w:tcPr>
            <w:tcW w:w="772" w:type="dxa"/>
            <w:tcBorders>
              <w:top w:val="single" w:color="000000" w:sz="6" w:space="0"/>
              <w:left w:val="double" w:color="auto" w:sz="2" w:space="0"/>
              <w:bottom w:val="single" w:color="000000" w:sz="6" w:space="0"/>
              <w:right w:val="single" w:color="000000" w:sz="6" w:space="0"/>
            </w:tcBorders>
            <w:noWrap w:val="0"/>
            <w:vAlign w:val="center"/>
          </w:tcPr>
          <w:p w14:paraId="4A51E36A">
            <w:pPr>
              <w:spacing w:line="280" w:lineRule="exact"/>
              <w:ind w:right="113"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szCs w:val="21"/>
                <w:highlight w:val="none"/>
                <w:lang w:bidi="ar"/>
              </w:rPr>
              <w:t>2.2.4（3）</w:t>
            </w: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2A90EE3F">
            <w:pPr>
              <w:spacing w:line="280" w:lineRule="exact"/>
              <w:ind w:right="113"/>
              <w:jc w:val="center"/>
              <w:rPr>
                <w:rFonts w:hint="eastAsia" w:ascii="宋体" w:hAnsi="宋体" w:eastAsia="宋体" w:cs="宋体"/>
                <w:color w:val="0000FF"/>
                <w:kern w:val="0"/>
                <w:sz w:val="24"/>
                <w:szCs w:val="21"/>
                <w:highlight w:val="none"/>
                <w:lang w:val="en-US" w:eastAsia="zh-CN" w:bidi="ar"/>
              </w:rPr>
            </w:pPr>
            <w:r>
              <w:rPr>
                <w:rFonts w:hint="eastAsia" w:ascii="宋体" w:hAnsi="宋体" w:eastAsia="宋体" w:cs="宋体"/>
                <w:szCs w:val="21"/>
                <w:highlight w:val="none"/>
                <w:lang w:bidi="ar"/>
              </w:rPr>
              <w:t>评标价</w:t>
            </w:r>
          </w:p>
        </w:tc>
        <w:tc>
          <w:tcPr>
            <w:tcW w:w="899" w:type="dxa"/>
            <w:gridSpan w:val="2"/>
            <w:tcBorders>
              <w:top w:val="single" w:color="000000" w:sz="6" w:space="0"/>
              <w:left w:val="single" w:color="000000" w:sz="6" w:space="0"/>
              <w:bottom w:val="single" w:color="000000" w:sz="6" w:space="0"/>
              <w:right w:val="double" w:color="auto" w:sz="2" w:space="0"/>
            </w:tcBorders>
            <w:noWrap w:val="0"/>
            <w:vAlign w:val="center"/>
          </w:tcPr>
          <w:p w14:paraId="49E61761">
            <w:pPr>
              <w:pStyle w:val="5"/>
              <w:spacing w:before="0" w:beforeAutospacing="0" w:after="0" w:afterAutospacing="0" w:line="300" w:lineRule="exact"/>
              <w:ind w:left="105" w:leftChars="50"/>
              <w:jc w:val="center"/>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sz w:val="21"/>
                <w:szCs w:val="21"/>
                <w:highlight w:val="none"/>
                <w:lang w:bidi="ar"/>
              </w:rPr>
              <w:t>10分</w:t>
            </w:r>
          </w:p>
        </w:tc>
        <w:tc>
          <w:tcPr>
            <w:tcW w:w="6314" w:type="dxa"/>
            <w:gridSpan w:val="4"/>
            <w:tcBorders>
              <w:top w:val="single" w:color="000000" w:sz="6" w:space="0"/>
              <w:left w:val="single" w:color="000000" w:sz="6" w:space="0"/>
              <w:bottom w:val="single" w:color="000000" w:sz="6" w:space="0"/>
              <w:right w:val="double" w:color="auto" w:sz="2" w:space="0"/>
            </w:tcBorders>
            <w:noWrap w:val="0"/>
            <w:vAlign w:val="center"/>
          </w:tcPr>
          <w:p w14:paraId="3BF3F150">
            <w:pPr>
              <w:spacing w:line="290" w:lineRule="exact"/>
              <w:ind w:right="113" w:rightChars="0"/>
              <w:jc w:val="left"/>
              <w:rPr>
                <w:rFonts w:hint="eastAsia" w:ascii="宋体" w:hAnsi="宋体" w:eastAsia="宋体" w:cs="宋体"/>
                <w:highlight w:val="none"/>
              </w:rPr>
            </w:pPr>
            <w:r>
              <w:rPr>
                <w:rFonts w:hint="eastAsia" w:ascii="宋体" w:hAnsi="宋体" w:eastAsia="宋体" w:cs="宋体"/>
                <w:highlight w:val="none"/>
              </w:rPr>
              <w:t>评标价得分计算（满分10分）：</w:t>
            </w:r>
          </w:p>
          <w:p w14:paraId="13D6A6F5">
            <w:pPr>
              <w:spacing w:line="290" w:lineRule="exact"/>
              <w:ind w:right="113" w:rightChars="0"/>
              <w:jc w:val="left"/>
              <w:rPr>
                <w:rFonts w:hint="eastAsia" w:ascii="宋体" w:hAnsi="宋体" w:eastAsia="宋体" w:cs="宋体"/>
                <w:highlight w:val="none"/>
              </w:rPr>
            </w:pPr>
            <w:r>
              <w:rPr>
                <w:rFonts w:hint="eastAsia" w:ascii="宋体" w:hAnsi="宋体" w:eastAsia="宋体" w:cs="宋体"/>
                <w:highlight w:val="none"/>
              </w:rPr>
              <w:t>评标价得分C的计算公式（得分保留三位小数，小数点后第四位</w:t>
            </w:r>
            <w:r>
              <w:rPr>
                <w:rFonts w:hint="eastAsia" w:ascii="宋体" w:hAnsi="宋体" w:eastAsia="宋体" w:cs="宋体"/>
                <w:highlight w:val="none"/>
                <w:lang w:eastAsia="zh-CN"/>
              </w:rPr>
              <w:t>“</w:t>
            </w:r>
            <w:r>
              <w:rPr>
                <w:rFonts w:hint="eastAsia" w:ascii="宋体" w:hAnsi="宋体" w:eastAsia="宋体" w:cs="宋体"/>
                <w:highlight w:val="none"/>
              </w:rPr>
              <w:t>四舍五入</w:t>
            </w:r>
            <w:r>
              <w:rPr>
                <w:rFonts w:hint="eastAsia" w:ascii="宋体" w:hAnsi="宋体" w:eastAsia="宋体" w:cs="宋体"/>
                <w:highlight w:val="none"/>
                <w:lang w:eastAsia="zh-CN"/>
              </w:rPr>
              <w:t>”</w:t>
            </w:r>
            <w:r>
              <w:rPr>
                <w:rFonts w:hint="eastAsia" w:ascii="宋体" w:hAnsi="宋体" w:eastAsia="宋体" w:cs="宋体"/>
                <w:highlight w:val="none"/>
              </w:rPr>
              <w:t>）：</w:t>
            </w:r>
          </w:p>
          <w:p w14:paraId="57623797">
            <w:pPr>
              <w:spacing w:line="290" w:lineRule="exact"/>
              <w:ind w:right="113" w:rightChars="0"/>
              <w:jc w:val="left"/>
              <w:rPr>
                <w:rFonts w:hint="eastAsia" w:ascii="宋体" w:hAnsi="宋体" w:eastAsia="宋体" w:cs="宋体"/>
                <w:highlight w:val="none"/>
              </w:rPr>
            </w:pPr>
            <w:r>
              <w:rPr>
                <w:rFonts w:hint="eastAsia" w:ascii="宋体" w:hAnsi="宋体" w:eastAsia="宋体" w:cs="宋体"/>
                <w:highlight w:val="none"/>
              </w:rPr>
              <w:t>如果投标人的评标价＞评标基准价，则评标价得分 C=10-偏差率</w:t>
            </w:r>
          </w:p>
          <w:p w14:paraId="470601C4">
            <w:pPr>
              <w:spacing w:line="290" w:lineRule="exact"/>
              <w:ind w:right="113" w:rightChars="0"/>
              <w:jc w:val="left"/>
              <w:rPr>
                <w:rFonts w:hint="eastAsia" w:ascii="宋体" w:hAnsi="宋体" w:eastAsia="宋体" w:cs="宋体"/>
                <w:highlight w:val="none"/>
              </w:rPr>
            </w:pPr>
            <w:r>
              <w:rPr>
                <w:rFonts w:hint="eastAsia" w:ascii="宋体" w:hAnsi="宋体" w:eastAsia="宋体" w:cs="宋体"/>
                <w:highlight w:val="none"/>
              </w:rPr>
              <w:t>× 100×E1；</w:t>
            </w:r>
          </w:p>
          <w:p w14:paraId="761DAD51">
            <w:pPr>
              <w:spacing w:line="290" w:lineRule="exact"/>
              <w:ind w:right="113" w:rightChars="0"/>
              <w:jc w:val="left"/>
              <w:rPr>
                <w:rFonts w:hint="eastAsia" w:ascii="宋体" w:hAnsi="宋体" w:eastAsia="宋体" w:cs="宋体"/>
                <w:highlight w:val="none"/>
              </w:rPr>
            </w:pPr>
            <w:r>
              <w:rPr>
                <w:rFonts w:hint="eastAsia" w:ascii="宋体" w:hAnsi="宋体" w:eastAsia="宋体" w:cs="宋体"/>
                <w:highlight w:val="none"/>
              </w:rPr>
              <w:t>如果投标人的评标价≤评标基准价，则评标价得分 C=10+偏差率</w:t>
            </w:r>
          </w:p>
          <w:p w14:paraId="00A62201">
            <w:pPr>
              <w:spacing w:line="290" w:lineRule="exact"/>
              <w:ind w:right="113" w:rightChars="0"/>
              <w:jc w:val="left"/>
              <w:rPr>
                <w:rFonts w:hint="eastAsia" w:ascii="宋体" w:hAnsi="宋体" w:eastAsia="宋体" w:cs="宋体"/>
                <w:highlight w:val="none"/>
              </w:rPr>
            </w:pPr>
            <w:r>
              <w:rPr>
                <w:rFonts w:hint="eastAsia" w:ascii="宋体" w:hAnsi="宋体" w:eastAsia="宋体" w:cs="宋体"/>
                <w:highlight w:val="none"/>
              </w:rPr>
              <w:t>× 100×E2。</w:t>
            </w:r>
          </w:p>
          <w:p w14:paraId="7F850A3E">
            <w:pPr>
              <w:spacing w:line="290" w:lineRule="exact"/>
              <w:ind w:right="113" w:rightChars="0"/>
              <w:jc w:val="left"/>
              <w:rPr>
                <w:rFonts w:hint="eastAsia" w:ascii="宋体" w:hAnsi="宋体" w:eastAsia="宋体" w:cs="宋体"/>
                <w:szCs w:val="21"/>
                <w:highlight w:val="none"/>
              </w:rPr>
            </w:pPr>
            <w:r>
              <w:rPr>
                <w:rFonts w:hint="eastAsia" w:ascii="宋体" w:hAnsi="宋体" w:eastAsia="宋体" w:cs="宋体"/>
                <w:highlight w:val="none"/>
              </w:rPr>
              <w:t xml:space="preserve">其中： E1= </w:t>
            </w:r>
            <w:r>
              <w:rPr>
                <w:rFonts w:hint="eastAsia" w:ascii="宋体" w:hAnsi="宋体" w:eastAsia="宋体" w:cs="宋体"/>
                <w:highlight w:val="none"/>
                <w:lang w:val="en-US" w:eastAsia="zh-CN"/>
              </w:rPr>
              <w:t>0.</w:t>
            </w:r>
            <w:r>
              <w:rPr>
                <w:rFonts w:hint="eastAsia" w:ascii="宋体" w:hAnsi="宋体" w:eastAsia="宋体" w:cs="宋体"/>
                <w:highlight w:val="none"/>
              </w:rPr>
              <w:t>1；E2=0.</w:t>
            </w:r>
            <w:r>
              <w:rPr>
                <w:rFonts w:hint="eastAsia" w:ascii="宋体" w:hAnsi="宋体" w:eastAsia="宋体" w:cs="宋体"/>
                <w:highlight w:val="none"/>
                <w:lang w:val="en-US" w:eastAsia="zh-CN"/>
              </w:rPr>
              <w:t>0</w:t>
            </w:r>
            <w:r>
              <w:rPr>
                <w:rFonts w:hint="eastAsia" w:ascii="宋体" w:hAnsi="宋体" w:eastAsia="宋体" w:cs="宋体"/>
                <w:highlight w:val="none"/>
              </w:rPr>
              <w:t>5。</w:t>
            </w:r>
          </w:p>
        </w:tc>
      </w:tr>
      <w:tr w14:paraId="6C45F755">
        <w:tblPrEx>
          <w:tblCellMar>
            <w:top w:w="0" w:type="dxa"/>
            <w:left w:w="0" w:type="dxa"/>
            <w:bottom w:w="0" w:type="dxa"/>
            <w:right w:w="0" w:type="dxa"/>
          </w:tblCellMar>
        </w:tblPrEx>
        <w:trPr>
          <w:trHeight w:val="1235" w:hRule="atLeast"/>
          <w:jc w:val="center"/>
        </w:trPr>
        <w:tc>
          <w:tcPr>
            <w:tcW w:w="772" w:type="dxa"/>
            <w:vMerge w:val="restart"/>
            <w:tcBorders>
              <w:top w:val="single" w:color="auto" w:sz="4" w:space="0"/>
              <w:left w:val="single" w:color="auto" w:sz="4" w:space="0"/>
              <w:bottom w:val="single" w:color="auto" w:sz="4" w:space="0"/>
              <w:right w:val="single" w:color="auto" w:sz="4" w:space="0"/>
            </w:tcBorders>
            <w:noWrap w:val="0"/>
            <w:vAlign w:val="center"/>
          </w:tcPr>
          <w:p w14:paraId="1012E326">
            <w:pPr>
              <w:jc w:val="center"/>
              <w:rPr>
                <w:rFonts w:hint="eastAsia" w:ascii="宋体" w:hAnsi="宋体" w:eastAsia="宋体" w:cs="宋体"/>
                <w:szCs w:val="21"/>
                <w:highlight w:val="none"/>
              </w:rPr>
            </w:pPr>
            <w:r>
              <w:rPr>
                <w:rFonts w:hint="eastAsia" w:ascii="宋体" w:hAnsi="宋体" w:eastAsia="宋体" w:cs="宋体"/>
                <w:szCs w:val="21"/>
                <w:highlight w:val="none"/>
              </w:rPr>
              <w:t>2.2.4</w:t>
            </w:r>
          </w:p>
          <w:p w14:paraId="6C65A9AE">
            <w:pPr>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Cs w:val="21"/>
                <w:highlight w:val="none"/>
              </w:rPr>
              <w:t>（4）</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13CEC4F8">
            <w:pPr>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Cs w:val="21"/>
                <w:highlight w:val="none"/>
                <w:lang w:eastAsia="zh-CN" w:bidi="ar"/>
              </w:rPr>
              <w:t>其他因素</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20E52FAA">
            <w:pPr>
              <w:autoSpaceDE w:val="0"/>
              <w:spacing w:line="360" w:lineRule="exact"/>
              <w:ind w:left="105" w:leftChars="50" w:right="105" w:rightChars="50"/>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eastAsia="zh-CN" w:bidi="ar"/>
              </w:rPr>
              <w:t>单位</w:t>
            </w:r>
            <w:r>
              <w:rPr>
                <w:rFonts w:hint="eastAsia" w:ascii="宋体" w:hAnsi="宋体" w:eastAsia="宋体" w:cs="宋体"/>
                <w:szCs w:val="21"/>
                <w:highlight w:val="none"/>
                <w:lang w:bidi="ar"/>
              </w:rPr>
              <w:t>业绩</w:t>
            </w:r>
          </w:p>
        </w:tc>
        <w:tc>
          <w:tcPr>
            <w:tcW w:w="386" w:type="dxa"/>
            <w:tcBorders>
              <w:top w:val="single" w:color="auto" w:sz="4" w:space="0"/>
              <w:left w:val="single" w:color="auto" w:sz="4" w:space="0"/>
              <w:bottom w:val="single" w:color="auto" w:sz="4" w:space="0"/>
              <w:right w:val="single" w:color="auto" w:sz="4" w:space="0"/>
            </w:tcBorders>
            <w:noWrap w:val="0"/>
            <w:vAlign w:val="center"/>
          </w:tcPr>
          <w:p w14:paraId="0846E094">
            <w:pPr>
              <w:autoSpaceDE w:val="0"/>
              <w:spacing w:line="360" w:lineRule="exact"/>
              <w:ind w:left="105" w:leftChars="50" w:right="105" w:rightChars="50"/>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25</w:t>
            </w:r>
            <w:r>
              <w:rPr>
                <w:rFonts w:hint="eastAsia" w:ascii="宋体" w:hAnsi="宋体" w:eastAsia="宋体" w:cs="宋体"/>
                <w:szCs w:val="21"/>
                <w:highlight w:val="none"/>
                <w:lang w:bidi="ar"/>
              </w:rPr>
              <w:t>分</w:t>
            </w:r>
          </w:p>
        </w:tc>
        <w:tc>
          <w:tcPr>
            <w:tcW w:w="6314" w:type="dxa"/>
            <w:gridSpan w:val="4"/>
            <w:tcBorders>
              <w:top w:val="single" w:color="auto" w:sz="4" w:space="0"/>
              <w:left w:val="single" w:color="auto" w:sz="4" w:space="0"/>
              <w:bottom w:val="single" w:color="auto" w:sz="4" w:space="0"/>
              <w:right w:val="double" w:color="auto" w:sz="2" w:space="0"/>
            </w:tcBorders>
            <w:noWrap w:val="0"/>
            <w:vAlign w:val="center"/>
          </w:tcPr>
          <w:p w14:paraId="23567503">
            <w:pPr>
              <w:autoSpaceDE w:val="0"/>
              <w:spacing w:line="360" w:lineRule="exact"/>
              <w:ind w:left="105" w:leftChars="50" w:right="105" w:rightChars="5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 xml:space="preserve">（a）满足资格条件最低要求的，得基本分 </w:t>
            </w:r>
            <w:r>
              <w:rPr>
                <w:rFonts w:hint="eastAsia" w:ascii="宋体" w:hAnsi="宋体" w:eastAsia="宋体" w:cs="宋体"/>
                <w:szCs w:val="21"/>
                <w:highlight w:val="none"/>
                <w:lang w:val="en-US" w:eastAsia="zh-CN" w:bidi="ar"/>
              </w:rPr>
              <w:t>15</w:t>
            </w:r>
            <w:r>
              <w:rPr>
                <w:rFonts w:hint="eastAsia" w:ascii="宋体" w:hAnsi="宋体" w:eastAsia="宋体" w:cs="宋体"/>
                <w:szCs w:val="21"/>
                <w:highlight w:val="none"/>
                <w:lang w:bidi="ar"/>
              </w:rPr>
              <w:t xml:space="preserve"> 分。</w:t>
            </w:r>
          </w:p>
          <w:p w14:paraId="6D4A867E">
            <w:pPr>
              <w:autoSpaceDE w:val="0"/>
              <w:spacing w:line="360" w:lineRule="exact"/>
              <w:ind w:left="105" w:leftChars="50" w:right="105" w:rightChars="5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（b）在满足资格条件基础上，</w:t>
            </w:r>
          </w:p>
          <w:p w14:paraId="65D302CB">
            <w:pPr>
              <w:autoSpaceDE w:val="0"/>
              <w:spacing w:line="360" w:lineRule="exact"/>
              <w:ind w:left="105" w:leftChars="50" w:right="105" w:rightChars="50"/>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每增加1项新(改、扩)一级及以上公路路基工程的施工监理业绩加1分，最多</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分</w:t>
            </w:r>
            <w:r>
              <w:rPr>
                <w:rFonts w:hint="eastAsia" w:ascii="宋体" w:hAnsi="宋体" w:eastAsia="宋体" w:cs="宋体"/>
                <w:szCs w:val="21"/>
                <w:highlight w:val="none"/>
                <w:lang w:eastAsia="zh-CN" w:bidi="ar"/>
              </w:rPr>
              <w:t>；</w:t>
            </w:r>
          </w:p>
          <w:p w14:paraId="338E02DD">
            <w:pPr>
              <w:autoSpaceDE w:val="0"/>
              <w:spacing w:line="360" w:lineRule="exact"/>
              <w:ind w:left="105" w:leftChars="50" w:right="105" w:rightChars="50"/>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每增加1项新(改、扩)一级及以上公路路面工程的施工监理业绩加1分，最多</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分</w:t>
            </w:r>
            <w:r>
              <w:rPr>
                <w:rFonts w:hint="eastAsia" w:ascii="宋体" w:hAnsi="宋体" w:eastAsia="宋体" w:cs="宋体"/>
                <w:szCs w:val="21"/>
                <w:highlight w:val="none"/>
                <w:lang w:eastAsia="zh-CN" w:bidi="ar"/>
              </w:rPr>
              <w:t>；</w:t>
            </w:r>
          </w:p>
          <w:p w14:paraId="29A58851">
            <w:pPr>
              <w:autoSpaceDE w:val="0"/>
              <w:spacing w:line="360" w:lineRule="exact"/>
              <w:ind w:left="105" w:leftChars="50" w:right="105" w:rightChars="50"/>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每增加1项新(改、扩)一级及以上公路大桥或以上的施工监理业绩，加1分，最多</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分</w:t>
            </w:r>
            <w:r>
              <w:rPr>
                <w:rFonts w:hint="eastAsia" w:ascii="宋体" w:hAnsi="宋体" w:eastAsia="宋体" w:cs="宋体"/>
                <w:szCs w:val="21"/>
                <w:highlight w:val="none"/>
                <w:lang w:eastAsia="zh-CN" w:bidi="ar"/>
              </w:rPr>
              <w:t>；</w:t>
            </w:r>
          </w:p>
          <w:p w14:paraId="27D98366">
            <w:pPr>
              <w:autoSpaceDE w:val="0"/>
              <w:spacing w:line="360" w:lineRule="exact"/>
              <w:ind w:left="105" w:leftChars="50" w:right="105" w:rightChars="50"/>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每增加1项新(改、扩)一级及以上公路</w:t>
            </w:r>
            <w:r>
              <w:rPr>
                <w:rFonts w:hint="eastAsia" w:ascii="宋体" w:hAnsi="宋体" w:eastAsia="宋体" w:cs="宋体"/>
                <w:szCs w:val="21"/>
                <w:highlight w:val="none"/>
                <w:lang w:val="en-US" w:eastAsia="zh-CN" w:bidi="ar"/>
              </w:rPr>
              <w:t>特</w:t>
            </w:r>
            <w:r>
              <w:rPr>
                <w:rFonts w:hint="eastAsia" w:ascii="宋体" w:hAnsi="宋体" w:eastAsia="宋体" w:cs="宋体"/>
                <w:szCs w:val="21"/>
                <w:highlight w:val="none"/>
                <w:lang w:bidi="ar"/>
              </w:rPr>
              <w:t>长隧道的施工监理业绩，加</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分，最多</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分</w:t>
            </w:r>
            <w:r>
              <w:rPr>
                <w:rFonts w:hint="eastAsia" w:ascii="宋体" w:hAnsi="宋体" w:eastAsia="宋体" w:cs="宋体"/>
                <w:szCs w:val="21"/>
                <w:highlight w:val="none"/>
                <w:lang w:eastAsia="zh-CN" w:bidi="ar"/>
              </w:rPr>
              <w:t>；</w:t>
            </w:r>
          </w:p>
          <w:p w14:paraId="7A9564DE">
            <w:pPr>
              <w:autoSpaceDE w:val="0"/>
              <w:spacing w:line="360" w:lineRule="exact"/>
              <w:ind w:left="105" w:leftChars="50" w:right="105" w:rightChars="5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每增加1项公路房屋建筑工程的施工监理业绩，加1分，最多</w:t>
            </w: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分</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每增加1项新(改、扩)一级及以上公路机电工程施工监理业绩，加1分，最多</w:t>
            </w: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分。</w:t>
            </w:r>
          </w:p>
          <w:p w14:paraId="41BAC789">
            <w:pPr>
              <w:autoSpaceDE w:val="0"/>
              <w:spacing w:line="360" w:lineRule="exact"/>
              <w:ind w:left="105" w:leftChars="50" w:right="105" w:rightChars="50"/>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bidi="ar"/>
              </w:rPr>
              <w:t>注:如一项业绩同时包含多项工作内容时，可分别计算。</w:t>
            </w:r>
          </w:p>
        </w:tc>
      </w:tr>
      <w:tr w14:paraId="34AD758F">
        <w:tblPrEx>
          <w:tblCellMar>
            <w:top w:w="0" w:type="dxa"/>
            <w:left w:w="0" w:type="dxa"/>
            <w:bottom w:w="0" w:type="dxa"/>
            <w:right w:w="0" w:type="dxa"/>
          </w:tblCellMar>
        </w:tblPrEx>
        <w:trPr>
          <w:trHeight w:val="1238" w:hRule="atLeast"/>
          <w:jc w:val="center"/>
        </w:trPr>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14:paraId="7B64D5F8">
            <w:pPr>
              <w:spacing w:line="290" w:lineRule="exact"/>
              <w:ind w:right="113" w:rightChars="0"/>
              <w:jc w:val="center"/>
              <w:rPr>
                <w:rFonts w:hint="eastAsia" w:ascii="宋体" w:hAnsi="宋体" w:eastAsia="宋体" w:cs="宋体"/>
                <w:szCs w:val="21"/>
                <w:highlight w:val="none"/>
                <w:lang w:bidi="ar"/>
              </w:rPr>
            </w:pP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48ED57E0">
            <w:pPr>
              <w:spacing w:line="290" w:lineRule="exact"/>
              <w:ind w:right="113" w:rightChars="0"/>
              <w:jc w:val="center"/>
              <w:rPr>
                <w:rFonts w:hint="eastAsia" w:ascii="宋体" w:hAnsi="宋体" w:eastAsia="宋体" w:cs="宋体"/>
                <w:szCs w:val="21"/>
                <w:highlight w:val="none"/>
                <w:lang w:bidi="ar"/>
              </w:rPr>
            </w:pPr>
          </w:p>
        </w:tc>
        <w:tc>
          <w:tcPr>
            <w:tcW w:w="513" w:type="dxa"/>
            <w:tcBorders>
              <w:top w:val="single" w:color="auto" w:sz="4" w:space="0"/>
              <w:left w:val="single" w:color="auto" w:sz="4" w:space="0"/>
              <w:bottom w:val="single" w:color="auto" w:sz="4" w:space="0"/>
              <w:right w:val="single" w:color="auto" w:sz="4" w:space="0"/>
            </w:tcBorders>
            <w:noWrap w:val="0"/>
            <w:vAlign w:val="center"/>
          </w:tcPr>
          <w:p w14:paraId="08846539">
            <w:pPr>
              <w:autoSpaceDE w:val="0"/>
              <w:spacing w:line="360" w:lineRule="exact"/>
              <w:ind w:right="105" w:rightChars="50"/>
              <w:jc w:val="center"/>
              <w:rPr>
                <w:rFonts w:hint="eastAsia" w:ascii="宋体" w:hAnsi="宋体" w:eastAsia="宋体" w:cs="宋体"/>
                <w:szCs w:val="21"/>
                <w:highlight w:val="none"/>
                <w:lang w:bidi="ar"/>
              </w:rPr>
            </w:pPr>
            <w:r>
              <w:rPr>
                <w:rFonts w:hint="eastAsia" w:ascii="宋体" w:hAnsi="宋体" w:eastAsia="宋体" w:cs="宋体"/>
                <w:szCs w:val="21"/>
                <w:highlight w:val="none"/>
                <w:lang w:bidi="ar"/>
              </w:rPr>
              <w:t>履约</w:t>
            </w:r>
          </w:p>
          <w:p w14:paraId="04F971A1">
            <w:pPr>
              <w:autoSpaceDE w:val="0"/>
              <w:spacing w:line="360" w:lineRule="exact"/>
              <w:ind w:right="105" w:rightChars="50"/>
              <w:jc w:val="center"/>
              <w:rPr>
                <w:rFonts w:hint="eastAsia" w:ascii="宋体" w:hAnsi="宋体" w:eastAsia="宋体" w:cs="宋体"/>
                <w:szCs w:val="21"/>
                <w:highlight w:val="none"/>
                <w:lang w:bidi="ar"/>
              </w:rPr>
            </w:pPr>
            <w:r>
              <w:rPr>
                <w:rFonts w:hint="eastAsia" w:ascii="宋体" w:hAnsi="宋体" w:eastAsia="宋体" w:cs="宋体"/>
                <w:szCs w:val="21"/>
                <w:highlight w:val="none"/>
                <w:lang w:bidi="ar"/>
              </w:rPr>
              <w:t>信誉</w:t>
            </w:r>
          </w:p>
        </w:tc>
        <w:tc>
          <w:tcPr>
            <w:tcW w:w="386" w:type="dxa"/>
            <w:tcBorders>
              <w:top w:val="single" w:color="auto" w:sz="4" w:space="0"/>
              <w:left w:val="single" w:color="auto" w:sz="4" w:space="0"/>
              <w:bottom w:val="single" w:color="auto" w:sz="4" w:space="0"/>
              <w:right w:val="single" w:color="auto" w:sz="4" w:space="0"/>
            </w:tcBorders>
            <w:noWrap w:val="0"/>
            <w:vAlign w:val="center"/>
          </w:tcPr>
          <w:p w14:paraId="7A5E70A4">
            <w:pPr>
              <w:autoSpaceDE w:val="0"/>
              <w:spacing w:line="360" w:lineRule="exact"/>
              <w:ind w:right="105" w:rightChars="50"/>
              <w:jc w:val="center"/>
              <w:rPr>
                <w:rFonts w:hint="eastAsia" w:ascii="宋体" w:hAnsi="宋体" w:eastAsia="宋体" w:cs="宋体"/>
                <w:szCs w:val="21"/>
                <w:highlight w:val="none"/>
                <w:lang w:bidi="ar"/>
              </w:rPr>
            </w:pPr>
            <w:r>
              <w:rPr>
                <w:rFonts w:hint="eastAsia" w:ascii="宋体" w:hAnsi="宋体" w:eastAsia="宋体" w:cs="宋体"/>
                <w:szCs w:val="21"/>
                <w:highlight w:val="none"/>
                <w:lang w:val="en-US" w:eastAsia="zh-CN" w:bidi="ar"/>
              </w:rPr>
              <w:t>5</w:t>
            </w:r>
            <w:r>
              <w:rPr>
                <w:rFonts w:hint="eastAsia" w:ascii="宋体" w:hAnsi="宋体" w:eastAsia="宋体" w:cs="宋体"/>
                <w:szCs w:val="21"/>
                <w:highlight w:val="none"/>
                <w:lang w:bidi="ar"/>
              </w:rPr>
              <w:t xml:space="preserve"> 分</w:t>
            </w:r>
          </w:p>
        </w:tc>
        <w:tc>
          <w:tcPr>
            <w:tcW w:w="6314" w:type="dxa"/>
            <w:gridSpan w:val="4"/>
            <w:tcBorders>
              <w:top w:val="single" w:color="auto" w:sz="4" w:space="0"/>
              <w:left w:val="single" w:color="auto" w:sz="4" w:space="0"/>
              <w:bottom w:val="single" w:color="auto" w:sz="4" w:space="0"/>
              <w:right w:val="double" w:color="auto" w:sz="2" w:space="0"/>
            </w:tcBorders>
            <w:noWrap w:val="0"/>
            <w:vAlign w:val="top"/>
          </w:tcPr>
          <w:p w14:paraId="4D2CBAE4">
            <w:pPr>
              <w:autoSpaceDE w:val="0"/>
              <w:spacing w:line="360" w:lineRule="exact"/>
              <w:ind w:right="105" w:rightChars="50"/>
              <w:jc w:val="left"/>
              <w:rPr>
                <w:rFonts w:hint="eastAsia" w:ascii="宋体" w:hAnsi="宋体" w:eastAsia="宋体" w:cs="宋体"/>
                <w:szCs w:val="21"/>
                <w:highlight w:val="none"/>
                <w:lang w:bidi="ar"/>
              </w:rPr>
            </w:pP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满足资格条件最低要求的，</w:t>
            </w:r>
            <w:r>
              <w:rPr>
                <w:rFonts w:hint="eastAsia" w:ascii="宋体" w:hAnsi="宋体" w:eastAsia="宋体" w:cs="宋体"/>
                <w:szCs w:val="21"/>
                <w:highlight w:val="none"/>
                <w:lang w:val="en-US" w:eastAsia="zh-CN" w:bidi="ar"/>
              </w:rPr>
              <w:t>得</w:t>
            </w:r>
            <w:r>
              <w:rPr>
                <w:rFonts w:hint="eastAsia" w:ascii="宋体" w:hAnsi="宋体" w:eastAsia="宋体" w:cs="宋体"/>
                <w:szCs w:val="21"/>
                <w:highlight w:val="none"/>
                <w:lang w:bidi="ar"/>
              </w:rPr>
              <w:t>基本分</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p w14:paraId="54183DDC">
            <w:pPr>
              <w:spacing w:line="300" w:lineRule="exact"/>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2、按照全国公路建设市场监督管理系统监理企业全国综合评价查询结果或山西省交通运输厅公布的最新年度的公路监理企业信用评价结果公布的信用评价查询结果</w:t>
            </w:r>
            <w:r>
              <w:rPr>
                <w:rFonts w:hint="eastAsia" w:ascii="宋体" w:hAnsi="宋体" w:eastAsia="宋体" w:cs="宋体"/>
                <w:szCs w:val="21"/>
                <w:highlight w:val="none"/>
                <w:lang w:val="en-US" w:eastAsia="zh-CN" w:bidi="ar"/>
              </w:rPr>
              <w:t>或</w:t>
            </w:r>
            <w:r>
              <w:rPr>
                <w:rFonts w:hint="eastAsia" w:ascii="宋体" w:hAnsi="宋体" w:eastAsia="宋体" w:cs="宋体"/>
                <w:szCs w:val="21"/>
                <w:highlight w:val="none"/>
                <w:lang w:bidi="ar"/>
              </w:rPr>
              <w:t>交通运输部公布的最新年度的公路监理企业信用评价结果公布的信用评价查询结果，标准如下</w:t>
            </w:r>
            <w:r>
              <w:rPr>
                <w:rFonts w:hint="eastAsia" w:ascii="宋体" w:hAnsi="宋体" w:eastAsia="宋体" w:cs="宋体"/>
                <w:szCs w:val="21"/>
                <w:highlight w:val="none"/>
                <w:lang w:eastAsia="zh-CN" w:bidi="ar"/>
              </w:rPr>
              <w:t>：</w:t>
            </w:r>
          </w:p>
          <w:p w14:paraId="0818C90F">
            <w:pPr>
              <w:spacing w:line="300" w:lineRule="exact"/>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(a)最新一年被评为AA级，加2分</w:t>
            </w:r>
            <w:r>
              <w:rPr>
                <w:rFonts w:hint="eastAsia" w:ascii="宋体" w:hAnsi="宋体" w:eastAsia="宋体" w:cs="宋体"/>
                <w:szCs w:val="21"/>
                <w:highlight w:val="none"/>
                <w:lang w:eastAsia="zh-CN" w:bidi="ar"/>
              </w:rPr>
              <w:t>；</w:t>
            </w:r>
          </w:p>
          <w:p w14:paraId="62D009BF">
            <w:pPr>
              <w:spacing w:line="300" w:lineRule="exact"/>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(b)最新一年被评为A级，加1.5分</w:t>
            </w:r>
            <w:r>
              <w:rPr>
                <w:rFonts w:hint="eastAsia" w:ascii="宋体" w:hAnsi="宋体" w:eastAsia="宋体" w:cs="宋体"/>
                <w:szCs w:val="21"/>
                <w:highlight w:val="none"/>
                <w:lang w:eastAsia="zh-CN" w:bidi="ar"/>
              </w:rPr>
              <w:t>；</w:t>
            </w:r>
          </w:p>
          <w:p w14:paraId="6809B757">
            <w:pPr>
              <w:spacing w:line="300" w:lineRule="exact"/>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(c)最新一年被评为B级，不加分</w:t>
            </w:r>
            <w:r>
              <w:rPr>
                <w:rFonts w:hint="eastAsia" w:ascii="宋体" w:hAnsi="宋体" w:eastAsia="宋体" w:cs="宋体"/>
                <w:szCs w:val="21"/>
                <w:highlight w:val="none"/>
                <w:lang w:eastAsia="zh-CN" w:bidi="ar"/>
              </w:rPr>
              <w:t>；</w:t>
            </w:r>
          </w:p>
          <w:p w14:paraId="551DC4CF">
            <w:pPr>
              <w:spacing w:line="300" w:lineRule="exact"/>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(d)最新一年被评为C级，扣1分。</w:t>
            </w:r>
          </w:p>
          <w:p w14:paraId="7CBA9A54">
            <w:pPr>
              <w:autoSpaceDE w:val="0"/>
              <w:spacing w:line="360" w:lineRule="exact"/>
              <w:ind w:left="105" w:leftChars="50" w:right="105" w:rightChars="50"/>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bidi="ar"/>
              </w:rPr>
              <w:t>注</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信用评价优先以</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山西省交通运输厅信用评价结果</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为准，若在山西未有信用评价的，信用评价以“交通运输部信用评价结果公示"为准，若交通运输部也没有信用评价的按B级对待，不得分。</w:t>
            </w:r>
          </w:p>
        </w:tc>
      </w:tr>
      <w:tr w14:paraId="1F34F2CE">
        <w:tblPrEx>
          <w:tblCellMar>
            <w:top w:w="0" w:type="dxa"/>
            <w:left w:w="0" w:type="dxa"/>
            <w:bottom w:w="0" w:type="dxa"/>
            <w:right w:w="0" w:type="dxa"/>
          </w:tblCellMar>
        </w:tblPrEx>
        <w:trPr>
          <w:trHeight w:val="621" w:hRule="atLeast"/>
          <w:jc w:val="center"/>
        </w:trPr>
        <w:tc>
          <w:tcPr>
            <w:tcW w:w="9080" w:type="dxa"/>
            <w:gridSpan w:val="8"/>
            <w:tcBorders>
              <w:top w:val="single" w:color="auto" w:sz="4" w:space="0"/>
              <w:left w:val="single" w:color="auto" w:sz="4" w:space="0"/>
              <w:bottom w:val="single" w:color="auto" w:sz="4" w:space="0"/>
              <w:right w:val="single" w:color="auto" w:sz="4" w:space="0"/>
            </w:tcBorders>
            <w:noWrap w:val="0"/>
            <w:vAlign w:val="center"/>
          </w:tcPr>
          <w:p w14:paraId="1122C7BB">
            <w:pPr>
              <w:spacing w:line="280" w:lineRule="exact"/>
              <w:ind w:right="113"/>
              <w:rPr>
                <w:rFonts w:hint="eastAsia" w:ascii="宋体" w:hAnsi="宋体" w:eastAsia="宋体" w:cs="宋体"/>
              </w:rPr>
            </w:pPr>
            <w:r>
              <w:rPr>
                <w:rFonts w:hint="eastAsia" w:ascii="宋体" w:hAnsi="宋体" w:eastAsia="宋体" w:cs="宋体"/>
              </w:rPr>
              <w:t>需要补充的其他内容：</w:t>
            </w:r>
          </w:p>
          <w:p w14:paraId="43F56BCD">
            <w:pPr>
              <w:spacing w:line="280" w:lineRule="exact"/>
              <w:ind w:right="113"/>
              <w:rPr>
                <w:rFonts w:hint="eastAsia" w:ascii="宋体" w:hAnsi="宋体" w:eastAsia="宋体" w:cs="宋体"/>
              </w:rPr>
            </w:pPr>
            <w:r>
              <w:rPr>
                <w:rFonts w:hint="eastAsia" w:ascii="宋体" w:hAnsi="宋体" w:eastAsia="宋体" w:cs="宋体"/>
              </w:rPr>
              <w:t>本项目采用双信封综合评分法进行评标，评标办法正文第 3 条部分条款内容细化如下：</w:t>
            </w:r>
          </w:p>
          <w:p w14:paraId="6965F108">
            <w:pPr>
              <w:spacing w:line="280" w:lineRule="exact"/>
              <w:ind w:right="113"/>
              <w:rPr>
                <w:rFonts w:hint="eastAsia" w:ascii="宋体" w:hAnsi="宋体" w:eastAsia="宋体" w:cs="宋体"/>
              </w:rPr>
            </w:pPr>
            <w:r>
              <w:rPr>
                <w:rFonts w:hint="eastAsia" w:ascii="宋体" w:hAnsi="宋体" w:eastAsia="宋体" w:cs="宋体"/>
              </w:rPr>
              <w:t>第 3. 1. 1 项内容细化为：</w:t>
            </w:r>
          </w:p>
          <w:p w14:paraId="725D638F">
            <w:pPr>
              <w:numPr>
                <w:ilvl w:val="0"/>
                <w:numId w:val="1"/>
              </w:numPr>
              <w:spacing w:line="280" w:lineRule="exact"/>
              <w:ind w:right="113"/>
              <w:rPr>
                <w:rFonts w:hint="eastAsia" w:ascii="宋体" w:hAnsi="宋体" w:eastAsia="宋体" w:cs="宋体"/>
              </w:rPr>
            </w:pPr>
            <w:r>
              <w:rPr>
                <w:rFonts w:hint="eastAsia" w:ascii="宋体" w:hAnsi="宋体" w:eastAsia="宋体" w:cs="宋体"/>
                <w:lang w:val="en-US" w:eastAsia="zh-CN"/>
              </w:rPr>
              <w:t>1. 1 若通过第一信封商务文件和技术文件评审的投标人少于3个，评标委员会可以否决全部投标；未否决全部投标的，评标委员会应当在评标报告中阐明理由。若通过第一信封商务文件和技术文件评审的投标人在3个及以上的，在对第二信封报价文件进行开标并经评审后，有效投标不足3个使得投标明显缺乏竞争的，评标委员会可以否决全部投标；未否决全部投标的，评标委员会应当在评标报告中阐明理由并推荐中标候选人。</w:t>
            </w:r>
          </w:p>
          <w:p w14:paraId="588669A9">
            <w:pPr>
              <w:spacing w:line="280" w:lineRule="exact"/>
              <w:ind w:right="113"/>
              <w:rPr>
                <w:rFonts w:hint="eastAsia" w:ascii="宋体" w:hAnsi="宋体" w:eastAsia="宋体" w:cs="宋体"/>
              </w:rPr>
            </w:pPr>
            <w:r>
              <w:rPr>
                <w:rFonts w:hint="eastAsia" w:ascii="宋体" w:hAnsi="宋体" w:eastAsia="宋体" w:cs="宋体"/>
              </w:rPr>
              <w:t>第 3.2 款内容细化如下：</w:t>
            </w:r>
          </w:p>
          <w:p w14:paraId="0DA50827">
            <w:pPr>
              <w:spacing w:line="280" w:lineRule="exact"/>
              <w:ind w:right="113"/>
              <w:rPr>
                <w:rFonts w:hint="eastAsia" w:ascii="宋体" w:hAnsi="宋体" w:eastAsia="宋体" w:cs="宋体"/>
              </w:rPr>
            </w:pPr>
            <w:r>
              <w:rPr>
                <w:rFonts w:hint="eastAsia" w:ascii="宋体" w:hAnsi="宋体" w:eastAsia="宋体" w:cs="宋体"/>
              </w:rPr>
              <w:t>3.2  第一个信封详细评审</w:t>
            </w:r>
          </w:p>
          <w:p w14:paraId="24C29A17">
            <w:pPr>
              <w:spacing w:line="280" w:lineRule="exact"/>
              <w:ind w:right="113"/>
              <w:rPr>
                <w:rFonts w:hint="eastAsia" w:ascii="宋体" w:hAnsi="宋体" w:eastAsia="宋体" w:cs="宋体"/>
              </w:rPr>
            </w:pPr>
            <w:r>
              <w:rPr>
                <w:rFonts w:hint="eastAsia" w:ascii="宋体" w:hAnsi="宋体" w:eastAsia="宋体" w:cs="宋体"/>
              </w:rPr>
              <w:t>3.2. 1  评标委员会按本章第 2.2 款规定的量化因素和分值进行打分，并计算出各投标人的商务和技术 得分。</w:t>
            </w:r>
          </w:p>
          <w:p w14:paraId="0FD8BF4F">
            <w:pPr>
              <w:spacing w:line="280" w:lineRule="exact"/>
              <w:ind w:right="113"/>
              <w:rPr>
                <w:rFonts w:hint="eastAsia" w:ascii="宋体" w:hAnsi="宋体" w:eastAsia="宋体" w:cs="宋体"/>
              </w:rPr>
            </w:pPr>
            <w:r>
              <w:rPr>
                <w:rFonts w:hint="eastAsia" w:ascii="宋体" w:hAnsi="宋体" w:eastAsia="宋体" w:cs="宋体"/>
              </w:rPr>
              <w:t>（1）按本章第 2.2.4 项（1） 目规定的评审因素和分值对技术建议书部分计算出得分 A；</w:t>
            </w:r>
          </w:p>
          <w:p w14:paraId="4A6261CE">
            <w:pPr>
              <w:spacing w:line="280" w:lineRule="exact"/>
              <w:ind w:right="113"/>
              <w:rPr>
                <w:rFonts w:hint="eastAsia" w:ascii="宋体" w:hAnsi="宋体" w:eastAsia="宋体" w:cs="宋体"/>
              </w:rPr>
            </w:pPr>
            <w:r>
              <w:rPr>
                <w:rFonts w:hint="eastAsia" w:ascii="宋体" w:hAnsi="宋体" w:eastAsia="宋体" w:cs="宋体"/>
              </w:rPr>
              <w:t>（2）按本章第 2.2.4 项（2） 目规定的评审因素和分值对主要人员部分计算出得分 B；</w:t>
            </w:r>
          </w:p>
          <w:p w14:paraId="3BEAE47F">
            <w:pPr>
              <w:spacing w:line="280" w:lineRule="exact"/>
              <w:ind w:right="113"/>
              <w:rPr>
                <w:rFonts w:hint="eastAsia" w:ascii="宋体" w:hAnsi="宋体" w:eastAsia="宋体" w:cs="宋体"/>
              </w:rPr>
            </w:pPr>
            <w:r>
              <w:rPr>
                <w:rFonts w:hint="eastAsia" w:ascii="宋体" w:hAnsi="宋体" w:eastAsia="宋体" w:cs="宋体"/>
              </w:rPr>
              <w:t>（3）按本章第 2.2.4 项（4） 目规定的评审因素和分值对其他部分计算出得分 D。</w:t>
            </w:r>
          </w:p>
          <w:p w14:paraId="1C19D53B">
            <w:pPr>
              <w:spacing w:line="280" w:lineRule="exact"/>
              <w:ind w:right="113"/>
              <w:rPr>
                <w:rFonts w:hint="eastAsia" w:ascii="宋体" w:hAnsi="宋体" w:eastAsia="宋体" w:cs="宋体"/>
              </w:rPr>
            </w:pPr>
            <w:r>
              <w:rPr>
                <w:rFonts w:hint="eastAsia" w:ascii="宋体" w:hAnsi="宋体" w:eastAsia="宋体" w:cs="宋体"/>
              </w:rPr>
              <w:t>3.2.2  投标人的商务和技术得分分值计算保留小数点后两位，小数点后第三位“ 四舍五入”。</w:t>
            </w:r>
          </w:p>
          <w:p w14:paraId="41FB3AC8">
            <w:pPr>
              <w:spacing w:line="280" w:lineRule="exact"/>
              <w:ind w:right="113"/>
              <w:rPr>
                <w:rFonts w:hint="eastAsia" w:ascii="宋体" w:hAnsi="宋体" w:eastAsia="宋体" w:cs="宋体"/>
                <w:lang w:eastAsia="zh-CN"/>
              </w:rPr>
            </w:pPr>
            <w:r>
              <w:rPr>
                <w:rFonts w:hint="eastAsia" w:ascii="宋体" w:hAnsi="宋体" w:eastAsia="宋体" w:cs="宋体"/>
              </w:rPr>
              <w:t>3.2.3  投标人的商务和技术得分=A+B+D。评标委员会对通过初步评审商务文件和技术建议书进行评分。每个投标人商务文件和技术建议书各分项的得分为评标委员会全体成员的对应分项打分</w:t>
            </w:r>
            <w:r>
              <w:rPr>
                <w:rFonts w:hint="eastAsia" w:ascii="宋体" w:hAnsi="宋体" w:eastAsia="宋体" w:cs="宋体"/>
                <w:lang w:val="en-US" w:eastAsia="zh-CN"/>
              </w:rPr>
              <w:t xml:space="preserve">                                                                                                                               </w:t>
            </w:r>
            <w:r>
              <w:rPr>
                <w:rFonts w:hint="eastAsia" w:ascii="宋体" w:hAnsi="宋体" w:eastAsia="宋体" w:cs="宋体"/>
              </w:rPr>
              <w:t>的算术平均值，得分四舍五入，保留两位小数</w:t>
            </w:r>
            <w:r>
              <w:rPr>
                <w:rFonts w:hint="eastAsia" w:ascii="宋体" w:hAnsi="宋体" w:eastAsia="宋体" w:cs="宋体"/>
                <w:lang w:eastAsia="zh-CN"/>
              </w:rPr>
              <w:t>。</w:t>
            </w:r>
          </w:p>
          <w:p w14:paraId="7BDEB064">
            <w:pPr>
              <w:spacing w:line="280" w:lineRule="exact"/>
              <w:ind w:right="113"/>
              <w:rPr>
                <w:rFonts w:hint="eastAsia" w:ascii="宋体" w:hAnsi="宋体" w:eastAsia="宋体" w:cs="宋体"/>
              </w:rPr>
            </w:pPr>
            <w:r>
              <w:rPr>
                <w:rFonts w:hint="eastAsia" w:ascii="宋体" w:hAnsi="宋体" w:eastAsia="宋体" w:cs="宋体"/>
              </w:rPr>
              <w:t>第 3.8 款内容细化如下：</w:t>
            </w:r>
          </w:p>
          <w:p w14:paraId="7F107752">
            <w:pPr>
              <w:spacing w:line="280" w:lineRule="exact"/>
              <w:ind w:right="113"/>
              <w:rPr>
                <w:rFonts w:hint="eastAsia" w:ascii="宋体" w:hAnsi="宋体" w:eastAsia="宋体" w:cs="宋体"/>
              </w:rPr>
            </w:pPr>
            <w:r>
              <w:rPr>
                <w:rFonts w:hint="eastAsia" w:ascii="宋体" w:hAnsi="宋体" w:eastAsia="宋体" w:cs="宋体"/>
              </w:rPr>
              <w:t>3.8 评标结果</w:t>
            </w:r>
          </w:p>
          <w:p w14:paraId="5AF00D30">
            <w:pPr>
              <w:spacing w:line="280" w:lineRule="exact"/>
              <w:ind w:right="113"/>
              <w:rPr>
                <w:rFonts w:hint="eastAsia" w:ascii="宋体" w:hAnsi="宋体" w:eastAsia="宋体" w:cs="宋体"/>
              </w:rPr>
            </w:pPr>
            <w:r>
              <w:rPr>
                <w:rFonts w:hint="eastAsia" w:ascii="宋体" w:hAnsi="宋体" w:eastAsia="宋体" w:cs="宋体"/>
              </w:rPr>
              <w:t>3.8. 1 评标委员会根据投标人得分由高到低的顺序，推荐 1 名中标候选人。</w:t>
            </w:r>
          </w:p>
          <w:p w14:paraId="7EBA4565">
            <w:pPr>
              <w:spacing w:line="280" w:lineRule="exact"/>
              <w:ind w:right="113"/>
              <w:rPr>
                <w:rFonts w:hint="eastAsia" w:ascii="宋体" w:hAnsi="宋体" w:eastAsia="宋体" w:cs="宋体"/>
              </w:rPr>
            </w:pPr>
            <w:r>
              <w:rPr>
                <w:rFonts w:hint="eastAsia" w:ascii="宋体" w:hAnsi="宋体" w:eastAsia="宋体" w:cs="宋体"/>
              </w:rPr>
              <w:t>3.8.2 评标委员会完成评标后，应当向招标人提交书面评标报告并推荐中标候选人。</w:t>
            </w:r>
          </w:p>
          <w:p w14:paraId="4A1B4CB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bookmarkStart w:id="0" w:name="_Toc8150"/>
            <w:bookmarkStart w:id="1" w:name="_Toc16377"/>
            <w:bookmarkStart w:id="2" w:name="_Toc501257146"/>
            <w:bookmarkStart w:id="3" w:name="_Toc28299"/>
            <w:bookmarkStart w:id="4" w:name="_Toc27139"/>
            <w:r>
              <w:rPr>
                <w:rFonts w:hint="eastAsia" w:ascii="宋体" w:hAnsi="宋体" w:eastAsia="宋体" w:cs="宋体"/>
                <w:color w:val="auto"/>
                <w:sz w:val="21"/>
                <w:szCs w:val="21"/>
                <w:highlight w:val="none"/>
              </w:rPr>
              <w:t>3. 评标程序</w:t>
            </w:r>
            <w:bookmarkEnd w:id="0"/>
            <w:bookmarkEnd w:id="1"/>
            <w:bookmarkEnd w:id="2"/>
            <w:bookmarkEnd w:id="3"/>
            <w:bookmarkEnd w:id="4"/>
            <w:r>
              <w:rPr>
                <w:rFonts w:hint="eastAsia" w:ascii="宋体" w:hAnsi="宋体" w:eastAsia="宋体" w:cs="宋体"/>
                <w:color w:val="auto"/>
                <w:sz w:val="21"/>
                <w:szCs w:val="21"/>
                <w:highlight w:val="none"/>
                <w:lang w:val="en-US" w:eastAsia="zh-CN"/>
              </w:rPr>
              <w:t>细化如下：</w:t>
            </w:r>
          </w:p>
          <w:p w14:paraId="1C2FB83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textAlignment w:val="auto"/>
              <w:rPr>
                <w:rFonts w:hint="eastAsia" w:ascii="宋体" w:hAnsi="宋体" w:eastAsia="宋体" w:cs="宋体"/>
                <w:color w:val="auto"/>
                <w:sz w:val="21"/>
                <w:szCs w:val="21"/>
                <w:highlight w:val="none"/>
              </w:rPr>
            </w:pPr>
            <w:bookmarkStart w:id="5" w:name="_Toc9427"/>
            <w:bookmarkStart w:id="6" w:name="_Toc501257147"/>
            <w:bookmarkStart w:id="7" w:name="_Toc14156"/>
            <w:bookmarkStart w:id="8" w:name="_Toc98"/>
            <w:bookmarkStart w:id="9" w:name="_Toc25073"/>
            <w:r>
              <w:rPr>
                <w:rFonts w:hint="eastAsia" w:ascii="宋体" w:hAnsi="宋体" w:eastAsia="宋体" w:cs="宋体"/>
                <w:color w:val="auto"/>
                <w:sz w:val="21"/>
                <w:szCs w:val="21"/>
                <w:highlight w:val="none"/>
              </w:rPr>
              <w:t>3.1第一个信封初步评审</w:t>
            </w:r>
            <w:bookmarkEnd w:id="5"/>
            <w:bookmarkEnd w:id="6"/>
            <w:bookmarkEnd w:id="7"/>
            <w:bookmarkEnd w:id="8"/>
            <w:bookmarkEnd w:id="9"/>
          </w:p>
          <w:p w14:paraId="38FAFC4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评标委员会依据本章第2.1款规定的标准对投标文件第一个信封（商务及技术文件）进行初步评审。有一项不符合评审标准的，评标委员会应否决其投标。</w:t>
            </w:r>
          </w:p>
          <w:p w14:paraId="508F510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textAlignment w:val="auto"/>
              <w:rPr>
                <w:rFonts w:hint="eastAsia" w:ascii="宋体" w:hAnsi="宋体" w:eastAsia="宋体" w:cs="宋体"/>
                <w:color w:val="auto"/>
                <w:sz w:val="21"/>
                <w:szCs w:val="21"/>
                <w:highlight w:val="none"/>
              </w:rPr>
            </w:pPr>
            <w:bookmarkStart w:id="10" w:name="_Toc501257148"/>
            <w:bookmarkStart w:id="11" w:name="_Toc30605"/>
            <w:bookmarkStart w:id="12" w:name="_Toc10732"/>
            <w:bookmarkStart w:id="13" w:name="_Toc22933"/>
            <w:bookmarkStart w:id="14" w:name="_Toc29086"/>
            <w:r>
              <w:rPr>
                <w:rFonts w:hint="eastAsia" w:ascii="宋体" w:hAnsi="宋体" w:eastAsia="宋体" w:cs="宋体"/>
                <w:color w:val="auto"/>
                <w:sz w:val="21"/>
                <w:szCs w:val="21"/>
                <w:highlight w:val="none"/>
              </w:rPr>
              <w:t>3.2 第一个信封详细评审</w:t>
            </w:r>
            <w:bookmarkEnd w:id="10"/>
            <w:bookmarkEnd w:id="11"/>
            <w:bookmarkEnd w:id="12"/>
            <w:bookmarkEnd w:id="13"/>
            <w:bookmarkEnd w:id="14"/>
          </w:p>
          <w:p w14:paraId="6FDBE4B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评标委员会按本章第2.2款规定的量化因素和分值进行打分，并计算出各投标人的商务和技术得分。</w:t>
            </w:r>
          </w:p>
          <w:p w14:paraId="3148818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（1）按本章第2.2.2项（1）目规定的评审因素和分值对</w:t>
            </w:r>
            <w:r>
              <w:rPr>
                <w:rFonts w:hint="eastAsia" w:ascii="宋体" w:hAnsi="宋体" w:eastAsia="宋体" w:cs="宋体"/>
                <w:color w:val="auto"/>
                <w:sz w:val="21"/>
                <w:szCs w:val="21"/>
                <w:highlight w:val="none"/>
                <w:lang w:val="en-US" w:eastAsia="zh-CN"/>
              </w:rPr>
              <w:t>技术建议书</w:t>
            </w:r>
            <w:r>
              <w:rPr>
                <w:rFonts w:hint="eastAsia" w:ascii="宋体" w:hAnsi="宋体" w:eastAsia="宋体" w:cs="宋体"/>
                <w:color w:val="auto"/>
                <w:sz w:val="21"/>
                <w:szCs w:val="21"/>
                <w:highlight w:val="none"/>
              </w:rPr>
              <w:t>部分计算出得分A；</w:t>
            </w:r>
          </w:p>
          <w:p w14:paraId="75D0AF0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（2）按本章第2.2.2项（2）目规定的评审因素和分值对</w:t>
            </w:r>
            <w:r>
              <w:rPr>
                <w:rFonts w:hint="eastAsia" w:ascii="宋体" w:hAnsi="宋体" w:eastAsia="宋体" w:cs="宋体"/>
                <w:color w:val="auto"/>
                <w:sz w:val="21"/>
                <w:szCs w:val="21"/>
                <w:highlight w:val="none"/>
                <w:lang w:val="en-US" w:eastAsia="zh-CN"/>
              </w:rPr>
              <w:t>主要人员</w:t>
            </w:r>
            <w:r>
              <w:rPr>
                <w:rFonts w:hint="eastAsia" w:ascii="宋体" w:hAnsi="宋体" w:eastAsia="宋体" w:cs="宋体"/>
                <w:color w:val="auto"/>
                <w:sz w:val="21"/>
                <w:szCs w:val="21"/>
                <w:highlight w:val="none"/>
              </w:rPr>
              <w:t>部分计算出得分B；</w:t>
            </w:r>
          </w:p>
          <w:p w14:paraId="215B47C2">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（3）按本章第2.2.2项（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）目规定的评审因素和分值对</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计算出得分C</w:t>
            </w:r>
            <w:r>
              <w:rPr>
                <w:rFonts w:hint="eastAsia" w:ascii="宋体" w:hAnsi="宋体" w:eastAsia="宋体" w:cs="宋体"/>
                <w:color w:val="auto"/>
                <w:sz w:val="21"/>
                <w:szCs w:val="21"/>
                <w:highlight w:val="none"/>
                <w:lang w:val="en-US" w:eastAsia="zh-CN"/>
              </w:rPr>
              <w:t>；</w:t>
            </w:r>
          </w:p>
          <w:p w14:paraId="5279978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按本章第2.2.2项（</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）目规定的评审因素和分值对履约信誉</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计算出得分</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w:t>
            </w:r>
          </w:p>
          <w:p w14:paraId="016FE42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投标人的商务和技术得分分值计算保留小数点后</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位，小数点后第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位“四舍五入”。</w:t>
            </w:r>
          </w:p>
          <w:p w14:paraId="516393D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投标人的商务和技术得分=A+B+C</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w:t>
            </w:r>
          </w:p>
          <w:p w14:paraId="588AB9A3">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bookmarkStart w:id="15" w:name="_Toc32231"/>
            <w:bookmarkStart w:id="16" w:name="_Toc18214"/>
            <w:bookmarkStart w:id="17" w:name="_Toc5671"/>
            <w:bookmarkStart w:id="18" w:name="_Toc638"/>
            <w:bookmarkStart w:id="19" w:name="_Toc501257150"/>
            <w:r>
              <w:rPr>
                <w:rFonts w:hint="eastAsia" w:ascii="宋体" w:hAnsi="宋体" w:eastAsia="宋体" w:cs="宋体"/>
                <w:color w:val="auto"/>
                <w:sz w:val="21"/>
                <w:szCs w:val="21"/>
                <w:highlight w:val="none"/>
                <w:lang w:val="en-US" w:eastAsia="zh-CN"/>
              </w:rPr>
              <w:t>评标委员会对通过初步评审投标人的商务文件和技术文件进行评分。每个投标人商务和技术各分项的得分为评标委员会全体成员的对应分项的算术平均值，若评标委员会成员总数为7人以上时，该平均值以去掉一个最高分和一个最低分后计算。</w:t>
            </w:r>
          </w:p>
          <w:p w14:paraId="618047F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评标委员会成员对投标人商务和技术各项因素的评分一般不得低于招标文件规定该因素满分值的 60％；评分低于满分值60％的，评标委员会成员应当在评标报告中作出说明。</w:t>
            </w:r>
          </w:p>
          <w:p w14:paraId="2C68D9D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第二个信封初步评审</w:t>
            </w:r>
            <w:bookmarkEnd w:id="15"/>
            <w:bookmarkEnd w:id="16"/>
            <w:bookmarkEnd w:id="17"/>
            <w:bookmarkEnd w:id="18"/>
            <w:bookmarkEnd w:id="19"/>
          </w:p>
          <w:p w14:paraId="162B9D7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3.4.1 评标委员会依据本章第2.1.1项、第2.1.3项规定的评审标准对投标文件第二个信封（报价文件）进行初步评审。有一项不符合评审标准的，评标委员会应否决其投标。</w:t>
            </w:r>
            <w:r>
              <w:rPr>
                <w:rFonts w:hint="eastAsia" w:ascii="宋体" w:hAnsi="宋体" w:eastAsia="宋体" w:cs="宋体"/>
                <w:color w:val="auto"/>
                <w:sz w:val="21"/>
                <w:szCs w:val="21"/>
                <w:highlight w:val="none"/>
                <w:lang w:val="en-US" w:eastAsia="zh-CN"/>
              </w:rPr>
              <w:t>若通过第一信封商务文件和技术文件评审的投标人在3个及以上的，在对第二信封报价文件进行开标并经评审后，有效投标不足3个使得投标明显缺乏竞争的，评标委员会可以否决全部投标；未否决全部投标的，评标委员会应当在评标报告中阐明理由并推荐1名中标候选人。</w:t>
            </w:r>
          </w:p>
          <w:p w14:paraId="74AA9BF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3.4.2 投标报价有算术错误的，评标委员会按以下原则对投标报价进行修正，修正的价格经投标人书面确认后具有约束力。投标人不接受修正价格的，评标委员会应否决其投标。 </w:t>
            </w:r>
          </w:p>
          <w:p w14:paraId="2DDFABB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（1）投标文件投标函中的大写金额与小写金额不一致的，以大写金额为准； </w:t>
            </w:r>
          </w:p>
          <w:p w14:paraId="4E437469">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（2）投标文件投标函中的大写金额与电子平台开标一览表投标报价金额不一致的，以投标函中的大写金额为准； </w:t>
            </w:r>
          </w:p>
          <w:p w14:paraId="5E3E886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（3）总价金额与依据单价计算出的结果不一致的，以单价金额为准修正总价，但单价金额小数点有明显错误的除外； </w:t>
            </w:r>
          </w:p>
          <w:p w14:paraId="52873E6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（4）当单价与数量相乘不等于合价时，以单价计算为准，如果单价有明显的小数点位置差错，应以标出的合价为准，同时对单价予以修正； </w:t>
            </w:r>
          </w:p>
          <w:p w14:paraId="55120D8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（5）当各子目的合价累计不等于总价时，应以各子目合价累计数为准，修正总价。</w:t>
            </w:r>
          </w:p>
          <w:p w14:paraId="1A3CFC9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20DC41E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（5）有下列情形之一的，视为投标人相互串通投标：</w:t>
            </w:r>
          </w:p>
          <w:p w14:paraId="52C7688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a.不同投标人投标文件投标报价、项目管理成员等实质性内容存在一致；</w:t>
            </w:r>
          </w:p>
          <w:p w14:paraId="7D737FC8">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b.电子投标文件记录的MAC 地址相同；</w:t>
            </w:r>
          </w:p>
          <w:p w14:paraId="36405B1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c.投标文件的下载、制作、记录、上传 IP 地址等信息出现任一相同情况；</w:t>
            </w:r>
          </w:p>
          <w:p w14:paraId="6B7DC4F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d.不同投标人的投标保证金来源为同一单位或者账户的；</w:t>
            </w:r>
          </w:p>
          <w:p w14:paraId="7BBF901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e.投标人之间相互约定给予未中标的投标人费用补偿的；</w:t>
            </w:r>
          </w:p>
          <w:p w14:paraId="1B497E1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f.不同投标人的CA 数字证书混用的；</w:t>
            </w:r>
          </w:p>
          <w:p w14:paraId="43E3414F">
            <w:pPr>
              <w:pStyle w:val="4"/>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rPr>
              <w:t>g.其他法律法规和相关规定被视为投标人相互串通投标的情形。</w:t>
            </w:r>
          </w:p>
        </w:tc>
      </w:tr>
    </w:tbl>
    <w:p w14:paraId="07C496C7">
      <w:pPr>
        <w:spacing w:line="400" w:lineRule="exact"/>
        <w:jc w:val="left"/>
        <w:rPr>
          <w:rFonts w:hint="eastAsia" w:ascii="宋体" w:hAnsi="宋体" w:eastAsia="宋体" w:cs="宋体"/>
          <w:b/>
          <w:bCs/>
          <w:kern w:val="0"/>
          <w:sz w:val="24"/>
          <w:highlight w:val="none"/>
          <w:lang w:bidi="ar"/>
        </w:rPr>
      </w:pPr>
      <w:r>
        <w:rPr>
          <w:rFonts w:hint="eastAsia" w:ascii="宋体" w:hAnsi="宋体" w:eastAsia="宋体" w:cs="宋体"/>
          <w:sz w:val="18"/>
          <w:szCs w:val="18"/>
          <w:highlight w:val="none"/>
          <w:lang w:bidi="ar"/>
        </w:rPr>
        <w:br w:type="page"/>
      </w:r>
      <w:r>
        <w:rPr>
          <w:rFonts w:hint="eastAsia" w:ascii="宋体" w:hAnsi="宋体" w:eastAsia="宋体" w:cs="宋体"/>
          <w:sz w:val="18"/>
          <w:szCs w:val="18"/>
          <w:highlight w:val="none"/>
          <w:lang w:val="en-US" w:eastAsia="zh-CN" w:bidi="ar"/>
        </w:rPr>
        <w:t xml:space="preserve">      </w:t>
      </w:r>
      <w:r>
        <w:rPr>
          <w:rFonts w:hint="eastAsia" w:ascii="宋体" w:hAnsi="宋体" w:eastAsia="宋体" w:cs="宋体"/>
          <w:b/>
          <w:bCs/>
          <w:kern w:val="0"/>
          <w:sz w:val="24"/>
          <w:highlight w:val="none"/>
          <w:lang w:bidi="ar"/>
        </w:rPr>
        <w:t>1. 评标方法</w:t>
      </w:r>
    </w:p>
    <w:p w14:paraId="67EF1A1B">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本次评标采用双信封综合评估法。评标委员会对满足招标文件实质性要求的投标文件，按照本章第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456F2479">
      <w:pPr>
        <w:spacing w:line="400" w:lineRule="exact"/>
        <w:ind w:firstLine="482" w:firstLineChars="200"/>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2. 评审标准</w:t>
      </w:r>
    </w:p>
    <w:p w14:paraId="63F6A747">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2.1 初步评审标准</w:t>
      </w:r>
    </w:p>
    <w:p w14:paraId="7A855C01">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2.1.1 形式评审标准：见评标办法前附表。</w:t>
      </w:r>
    </w:p>
    <w:p w14:paraId="5F2D25B3">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2.1.2 资格评审标准：见评标办法前附表。</w:t>
      </w:r>
    </w:p>
    <w:p w14:paraId="0F270BA0">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2.1.3 响应性评审标准：见评标办法前附表。</w:t>
      </w:r>
    </w:p>
    <w:p w14:paraId="0240E6E4">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2.2 分值构成与评分标准</w:t>
      </w:r>
    </w:p>
    <w:p w14:paraId="4E5322BB">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2.2.1 分值构成</w:t>
      </w:r>
    </w:p>
    <w:p w14:paraId="02278112">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（1）技术建议书：见评标办法前附表；</w:t>
      </w:r>
    </w:p>
    <w:p w14:paraId="79199010">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（2）主要人员：见评标办法前附表；</w:t>
      </w:r>
    </w:p>
    <w:p w14:paraId="0FDA2D68">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（3）评标价：见评标办法前附表；</w:t>
      </w:r>
    </w:p>
    <w:p w14:paraId="69F1C1B3">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（4）其他评分因素：见评标办法前附表。</w:t>
      </w:r>
    </w:p>
    <w:p w14:paraId="07AF462E">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2.2.2 评标基准价计算</w:t>
      </w:r>
    </w:p>
    <w:p w14:paraId="0E1783D8">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评标基准价计算方法：见评标办法前附表。</w:t>
      </w:r>
    </w:p>
    <w:p w14:paraId="520413A2">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2.2.3 评标价的偏差率计算</w:t>
      </w:r>
    </w:p>
    <w:p w14:paraId="2EB4AE47">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评标价的偏差率计算公式：见评标办法前附表。</w:t>
      </w:r>
    </w:p>
    <w:p w14:paraId="74BF6974">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2.2.4 评分标准</w:t>
      </w:r>
    </w:p>
    <w:p w14:paraId="59A8F19C">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（1）技术建议书评分标准：见评标办法前附表；</w:t>
      </w:r>
    </w:p>
    <w:p w14:paraId="44AA6226">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（2）主要人员评分标准：见评标办法前附表；</w:t>
      </w:r>
    </w:p>
    <w:p w14:paraId="17D90C52">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（3）评标价评分标准：见评标办法前附表；</w:t>
      </w:r>
    </w:p>
    <w:p w14:paraId="5DF1B364">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（4）其他因素评分标准：见评标办法前附表。</w:t>
      </w:r>
    </w:p>
    <w:p w14:paraId="5BF840FD">
      <w:pPr>
        <w:spacing w:line="400" w:lineRule="exact"/>
        <w:ind w:firstLine="482" w:firstLineChars="200"/>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3. 评标程序</w:t>
      </w:r>
    </w:p>
    <w:p w14:paraId="2983034A">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3.1 第一个信封初步评审</w:t>
      </w:r>
    </w:p>
    <w:p w14:paraId="2BDF3849">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3.1.1 评标委员会可以要求投标人提交第二章“投标人须知 ”第 3.5.1 项至第3.5.5 项规定的有关证明和证件的</w:t>
      </w:r>
      <w:r>
        <w:rPr>
          <w:rFonts w:hint="eastAsia" w:ascii="宋体" w:hAnsi="宋体" w:eastAsia="宋体" w:cs="宋体"/>
          <w:kern w:val="0"/>
          <w:sz w:val="24"/>
          <w:highlight w:val="none"/>
          <w:lang w:eastAsia="zh-CN" w:bidi="ar"/>
        </w:rPr>
        <w:t>彩色扫描件</w:t>
      </w:r>
      <w:r>
        <w:rPr>
          <w:rFonts w:hint="eastAsia" w:ascii="宋体" w:hAnsi="宋体" w:eastAsia="宋体" w:cs="宋体"/>
          <w:kern w:val="0"/>
          <w:sz w:val="24"/>
          <w:highlight w:val="none"/>
          <w:lang w:bidi="ar"/>
        </w:rPr>
        <w:t>。评标委员会依据本章第 2.1 款规定的标准对投标文件第一个信封（商务及技术文件）进行初步评审。有一项不符合评审标准的，评标委员会应否决其投标。</w:t>
      </w:r>
    </w:p>
    <w:p w14:paraId="2D3D6C6A">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3.2 第一个信封详细评审</w:t>
      </w:r>
    </w:p>
    <w:p w14:paraId="41038FDB">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3.2.1 评标委员会按本章第 2.2 款规定的量化因素和分值进行打分，并计算出各投标人的商务和技术得分。</w:t>
      </w:r>
    </w:p>
    <w:p w14:paraId="2188F697">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（1）按本章第 2.2.4 项（1） 目规定的评审因素和分值对技术建议书部分计算出得分 A；</w:t>
      </w:r>
    </w:p>
    <w:p w14:paraId="5087B733">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（2）按本章第 2.2.4 项（2） 目规定的评审因素和分值对主要人员部分计算出得分B；</w:t>
      </w:r>
    </w:p>
    <w:p w14:paraId="38A553CA">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（3）按本章第 2.2.4 项（4） 目规定的评审因素和分值对其他部分计算出得分D。</w:t>
      </w:r>
    </w:p>
    <w:p w14:paraId="57FE5FA8">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3.2.2 投标人的商务和技术得分分值计算保留小数点后两位，小数点后第三位“四舍五入 ”。</w:t>
      </w:r>
    </w:p>
    <w:p w14:paraId="5BBD279B">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3.2.3 投标人的商务和技术得分=A+B+D。</w:t>
      </w:r>
    </w:p>
    <w:p w14:paraId="513DA08E">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3.3 第二个信封开标</w:t>
      </w:r>
    </w:p>
    <w:p w14:paraId="2B966557">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第一个信封（商务及技术文件）评审结束后，招标人将按照第二章“投标人须知” 第 5.1 款规定的时间和地点对通过投标文件第一个信封（商务及技术文件）评审的投标文件第二个信封（报价文件）进行开标。</w:t>
      </w:r>
    </w:p>
    <w:p w14:paraId="690C3B85">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3.4 第二个信封初步评审</w:t>
      </w:r>
    </w:p>
    <w:p w14:paraId="00A3A367">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3.4.1 评标委员会依据本章第 2.1.1 项、第 2.1.3 项规定的评审标准对投标文件第二个信封（报价文件）进行初步评审。有一项不符合评审标准的，评标委员会应否决其投标。</w:t>
      </w:r>
    </w:p>
    <w:p w14:paraId="4AB3458F">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3.4.2 投标报价有算术错误的，评标委员会按以下原则对投标报价进行修正，修正的价格经投标人书面确认后具有约束力。投标人不接受修正价格的，评标委员会应否决其投标。</w:t>
      </w:r>
    </w:p>
    <w:p w14:paraId="776A7F84">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（1）投标文件中的大写金额与小写金额不一致的，以大写金额为准；</w:t>
      </w:r>
    </w:p>
    <w:p w14:paraId="0D9BD92B">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（2）总价金额与依据单价计算出的结果不一致的，以单价金额为准修正总价，但单价金额小数点有明显错误的除外；</w:t>
      </w:r>
    </w:p>
    <w:p w14:paraId="00BA796B">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（3）当单价与数量相乘不等于合价时，以单价计算为准，如果单价有明显的小数点位置差错，应以标出的合价为准，同时对单价予以修正；</w:t>
      </w:r>
    </w:p>
    <w:p w14:paraId="2D4C2F73">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（4）当各子目的合价累计不等于总价时，应以各子目合价累计数为准，修正总价。</w:t>
      </w:r>
    </w:p>
    <w:p w14:paraId="42651C17">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3.4.3 修正后的最终投标报价若超过最高投标限价（如有），评标委员会应否决其投标。</w:t>
      </w:r>
    </w:p>
    <w:p w14:paraId="40D57B1C">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3.4.4 修正后的最终投标报价仅作为签订合同的一个依据，不参与评标价得分的计算。</w:t>
      </w:r>
    </w:p>
    <w:p w14:paraId="6D16A936">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3.5 第二个信封详细评审</w:t>
      </w:r>
    </w:p>
    <w:p w14:paraId="5C7A7723">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3.5.1 评标委员会按本章第 2.2.4 项（3）目规定的评审因素和分值对评标价计算出得分 C。评标价得分分值计算保留小数点后两位，小数点后第三位“ 四舍五入”。</w:t>
      </w:r>
    </w:p>
    <w:p w14:paraId="6842A915">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3.5.2 投标人综合得分=投标人的商务和技术得分+C。</w:t>
      </w:r>
    </w:p>
    <w:p w14:paraId="3676915F">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7B1A6098">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3.6 投标文件相关信息的核查</w:t>
      </w:r>
    </w:p>
    <w:p w14:paraId="76BB325F">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3.6.1 在评标过程中，评标委员会应查询交通运输主管部门“公路建设市场信用信息管理系统 ”，对投标人的资质、业绩、主要人员资历和目前在岗情况、信用等级等信息进行核实。若投标文件载明的信息与交通运输主管部门“公路建设市场信用信息管理系统 ”发布的信息不符，使得投标人的资格条件不符合招标文件规定的，评标委员会应否决其投标。</w:t>
      </w:r>
    </w:p>
    <w:p w14:paraId="2B942EE3">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105D8DA9">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（1）有下列情形之一的，属于投标人相互串通投标：</w:t>
      </w:r>
    </w:p>
    <w:p w14:paraId="0A73D286">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a.投标人之间协商投标报价等投标文件的实质性内容；</w:t>
      </w:r>
    </w:p>
    <w:p w14:paraId="38A6498F">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b.投标人之间约定中标人；</w:t>
      </w:r>
    </w:p>
    <w:p w14:paraId="0B175589">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c.投标人之间约定部分投标人放弃投标或中标；</w:t>
      </w:r>
    </w:p>
    <w:p w14:paraId="328D1045">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d.属于同一集团、协会、商会等组织成员的投标人按照该组织要求协同投标；</w:t>
      </w:r>
    </w:p>
    <w:p w14:paraId="2EFF46DE">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e.投标人之间为谋取中标或排斥特定投标人而采取的其他联合行动。</w:t>
      </w:r>
    </w:p>
    <w:p w14:paraId="15628951">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（2）有下列情形之一的，视为投标人相互串通投标：</w:t>
      </w:r>
    </w:p>
    <w:p w14:paraId="65F8316D">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a.不同投标人的投标文件由同一单位或个人编制；</w:t>
      </w:r>
    </w:p>
    <w:p w14:paraId="43B5C544">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b.不同投标人委托同一单位或个人办理投标事宜；</w:t>
      </w:r>
    </w:p>
    <w:p w14:paraId="222265B5">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c.不同投标人的投标文件载明的项目管理成员为同一人；d.不同投标人的投标文件异常一致或投标报价呈规律性差异；</w:t>
      </w:r>
    </w:p>
    <w:p w14:paraId="46F5823C">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e.不同投标人的投标文件相互混装；</w:t>
      </w:r>
    </w:p>
    <w:p w14:paraId="7DB22666">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f.不同投标人的投标保证金从同一单位或个人的账户转出。</w:t>
      </w:r>
    </w:p>
    <w:p w14:paraId="405BFFC6">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g. 不同投标人的 CA 数字证书混用.</w:t>
      </w:r>
    </w:p>
    <w:p w14:paraId="76124643">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（3）有下列情形之一的，属于招标人与投标人串通投标：</w:t>
      </w:r>
    </w:p>
    <w:p w14:paraId="7ED194AD">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a.招标人在开标前开启投标文件并将有关信息泄露给其他投标人; </w:t>
      </w:r>
    </w:p>
    <w:p w14:paraId="05E3D0DC">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b.招标人直接或间接向投标人泄露标底、评标委员会成员等信息；</w:t>
      </w:r>
    </w:p>
    <w:p w14:paraId="0E12FA25">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c.招标人明示或暗示投标人压低或抬高投标报价；</w:t>
      </w:r>
    </w:p>
    <w:p w14:paraId="7E03E196">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d.招标人授意投标人撤换、修改投标文件；</w:t>
      </w:r>
    </w:p>
    <w:p w14:paraId="7C77853F">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e.招标人明示或暗示投标人为特定投标人中标提供方便；</w:t>
      </w:r>
    </w:p>
    <w:p w14:paraId="6F7543FF">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f.招标人与投标人为谋求特定投标人中标而采取的其他串通行为。</w:t>
      </w:r>
    </w:p>
    <w:p w14:paraId="59BD6122">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（4）投标人有下列情形之一的，属于弄虚作假的行为：</w:t>
      </w:r>
    </w:p>
    <w:p w14:paraId="5AC33D6B">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a.使用通过受让或租借等方式获取的资格、资质证书投标；</w:t>
      </w:r>
    </w:p>
    <w:p w14:paraId="36C80172">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b.使用伪造、变造的许可证件；</w:t>
      </w:r>
    </w:p>
    <w:p w14:paraId="10111C49">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c.提供虚假的业绩；</w:t>
      </w:r>
    </w:p>
    <w:p w14:paraId="099552D1">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d.提供虚假的项目负责人或主要技术人员简历、劳动关系证明；</w:t>
      </w:r>
    </w:p>
    <w:p w14:paraId="0D79BACC">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e.提供虚假的信用状况；</w:t>
      </w:r>
    </w:p>
    <w:p w14:paraId="05DA3663">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f.其他弄虚作假的行为。</w:t>
      </w:r>
    </w:p>
    <w:p w14:paraId="2E67449A">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3.7 投标文件的澄清和说明</w:t>
      </w:r>
    </w:p>
    <w:p w14:paraId="3259DB38">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28E4761D">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3.7.2 澄清和说明不得超出投标文件的范围或改变投标文件的实质性内容（算术性错误的修正除外）。投标人的书面澄清、说明属于投标文件的组成部分。</w:t>
      </w:r>
    </w:p>
    <w:p w14:paraId="10054B10">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3.7.3 评标委员会不得暗示或诱导投标人作出澄清、说明，对投标人提交的澄清、说明有疑问的，可以要求投标人进一步澄清或说明，直至满足评标委员会的要求。</w:t>
      </w:r>
    </w:p>
    <w:p w14:paraId="1F16712E">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3.7.4 凡超出招标文件规定的或给委托人带来未曾要求的利益的变化、偏差或其他因素在评标时不予考虑。</w:t>
      </w:r>
    </w:p>
    <w:p w14:paraId="3AA40F7B">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3.8 不得否决投标的情形投标文件存在第二章“投标人须知 ”第 1.12.3 项所列情形的，均视为细微偏差， 评标委员会不得否决投标人的投标，应按照第二章“投标人须知”第 1.12.4 项规定的原则处理。</w:t>
      </w:r>
    </w:p>
    <w:p w14:paraId="12567B34">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3.9 评标结果</w:t>
      </w:r>
    </w:p>
    <w:p w14:paraId="4670417C">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3.9.1 除第二章“投标人须知 ”前附表授权直接确定中标人外，评标委员会按照得分由高到低的顺序推荐中标候选人，并标明排序。</w:t>
      </w:r>
    </w:p>
    <w:p w14:paraId="5E210596">
      <w:pPr>
        <w:spacing w:line="40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3.9.2 评标委员会完成评标后，应向招标人提交书面评标报告。</w:t>
      </w:r>
      <w:bookmarkStart w:id="26" w:name="_GoBack"/>
      <w:bookmarkEnd w:id="26"/>
    </w:p>
    <w:p w14:paraId="49EA4CED">
      <w:pPr>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br w:type="page"/>
      </w:r>
    </w:p>
    <w:p w14:paraId="711F38C6">
      <w:pPr>
        <w:keepNext w:val="0"/>
        <w:keepLines w:val="0"/>
        <w:numPr>
          <w:ilvl w:val="0"/>
          <w:numId w:val="0"/>
        </w:numPr>
        <w:wordWrap/>
        <w:topLinePunct w:val="0"/>
        <w:bidi w:val="0"/>
        <w:spacing w:line="360" w:lineRule="auto"/>
        <w:ind w:left="0" w:leftChars="0" w:right="0" w:firstLine="482" w:firstLineChars="200"/>
        <w:jc w:val="both"/>
        <w:textAlignment w:val="auto"/>
        <w:rPr>
          <w:rFonts w:hint="eastAsia" w:ascii="宋体" w:hAnsi="宋体" w:cs="宋体"/>
          <w:b/>
          <w:bCs/>
          <w:color w:val="auto"/>
          <w:sz w:val="24"/>
          <w:szCs w:val="24"/>
          <w:highlight w:val="none"/>
          <w:lang w:val="en-US" w:eastAsia="zh-CN"/>
        </w:rPr>
      </w:pPr>
      <w:r>
        <w:rPr>
          <w:rFonts w:hint="eastAsia" w:ascii="宋体" w:hAnsi="宋体" w:cs="宋体" w:eastAsiaTheme="minorEastAsia"/>
          <w:b/>
          <w:bCs/>
          <w:color w:val="auto"/>
          <w:kern w:val="2"/>
          <w:sz w:val="24"/>
          <w:szCs w:val="24"/>
          <w:lang w:val="en-US" w:eastAsia="zh-CN" w:bidi="ar-SA"/>
        </w:rPr>
        <w:t>四、</w:t>
      </w:r>
      <w:r>
        <w:rPr>
          <w:rFonts w:hint="eastAsia" w:ascii="宋体" w:hAnsi="宋体" w:cs="宋体"/>
          <w:b/>
          <w:bCs/>
          <w:color w:val="auto"/>
          <w:sz w:val="24"/>
          <w:szCs w:val="24"/>
          <w:highlight w:val="none"/>
          <w:lang w:val="en-US" w:eastAsia="zh-CN"/>
        </w:rPr>
        <w:t>其他需要公开的内容</w:t>
      </w:r>
    </w:p>
    <w:p w14:paraId="2807FDE2">
      <w:pPr>
        <w:pStyle w:val="3"/>
        <w:jc w:val="center"/>
        <w:rPr>
          <w:rFonts w:hint="eastAsia" w:ascii="宋体" w:hAnsi="宋体" w:eastAsia="宋体" w:cs="宋体"/>
          <w:highlight w:val="none"/>
        </w:rPr>
      </w:pPr>
      <w:bookmarkStart w:id="20" w:name="_Toc1346"/>
      <w:bookmarkStart w:id="21" w:name="_Toc4178"/>
      <w:r>
        <w:rPr>
          <w:rFonts w:hint="eastAsia" w:ascii="宋体" w:hAnsi="宋体" w:eastAsia="宋体" w:cs="宋体"/>
          <w:highlight w:val="none"/>
        </w:rPr>
        <w:t>附录1   资格审查条件（资质最低要求）</w:t>
      </w:r>
      <w:bookmarkEnd w:id="20"/>
      <w:bookmarkEnd w:id="21"/>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037"/>
      </w:tblGrid>
      <w:tr w14:paraId="7E6950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063" w:type="dxa"/>
            <w:noWrap w:val="0"/>
            <w:vAlign w:val="center"/>
          </w:tcPr>
          <w:p w14:paraId="572CB2F3">
            <w:pPr>
              <w:spacing w:line="300" w:lineRule="exact"/>
              <w:jc w:val="center"/>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标段</w:t>
            </w:r>
          </w:p>
        </w:tc>
        <w:tc>
          <w:tcPr>
            <w:tcW w:w="8037" w:type="dxa"/>
            <w:noWrap w:val="0"/>
            <w:vAlign w:val="center"/>
          </w:tcPr>
          <w:p w14:paraId="093D75C3">
            <w:pPr>
              <w:spacing w:line="300" w:lineRule="exact"/>
              <w:jc w:val="center"/>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基本资格要求</w:t>
            </w:r>
          </w:p>
        </w:tc>
      </w:tr>
      <w:tr w14:paraId="29B523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jc w:val="center"/>
        </w:trPr>
        <w:tc>
          <w:tcPr>
            <w:tcW w:w="1063" w:type="dxa"/>
            <w:noWrap w:val="0"/>
            <w:vAlign w:val="center"/>
          </w:tcPr>
          <w:p w14:paraId="37A5B4B1">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037" w:type="dxa"/>
            <w:noWrap w:val="0"/>
            <w:vAlign w:val="center"/>
          </w:tcPr>
          <w:p w14:paraId="5A8DF76F">
            <w:pPr>
              <w:numPr>
                <w:ilvl w:val="0"/>
                <w:numId w:val="0"/>
              </w:num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（1）投标人须具备独立法人资格，持有有效的事业单位法人证书或企业法人营业执照，并在人员、设备、资金等方面具有相应的能力；</w:t>
            </w:r>
          </w:p>
          <w:p w14:paraId="6A554BBE">
            <w:pPr>
              <w:numPr>
                <w:ilvl w:val="0"/>
                <w:numId w:val="0"/>
              </w:num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（2）投标人同时具备以下资质要求：</w:t>
            </w:r>
          </w:p>
          <w:p w14:paraId="2960CABA">
            <w:pPr>
              <w:numPr>
                <w:ilvl w:val="0"/>
                <w:numId w:val="0"/>
              </w:num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①具备交通运输主管部门颁发的公路工程专业甲级及以上监理资质；</w:t>
            </w:r>
          </w:p>
          <w:p w14:paraId="248C7DEA">
            <w:pPr>
              <w:numPr>
                <w:ilvl w:val="0"/>
                <w:numId w:val="0"/>
              </w:num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②具备交通运输主管部门颁发的公路工程机电工程专项监理资质；</w:t>
            </w:r>
          </w:p>
          <w:p w14:paraId="38A63905">
            <w:pPr>
              <w:numPr>
                <w:ilvl w:val="0"/>
                <w:numId w:val="0"/>
              </w:num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具备交通运输主管部门颁发的公路工程综合乙级及以上试验检测机构资质或公路工程专业试验检测乙级及以上资质(试验检测资质证书中的机构名称应为投标人名称，或法定代表人与投标人法定代表人为同一个人，若与投标人名称不一致时，其应为与投标人存在控股或参股或管理关系的单位，或与投标人存在控股或参股或管理关系的单位的不具有独立法人资格的下属机构)。</w:t>
            </w:r>
          </w:p>
          <w:p w14:paraId="67DC8647">
            <w:pPr>
              <w:numPr>
                <w:ilvl w:val="0"/>
                <w:numId w:val="0"/>
              </w:num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④具备建设行政主管部门颁发的房屋建筑工程监理乙级及以上资质；</w:t>
            </w:r>
          </w:p>
          <w:p w14:paraId="495AD338">
            <w:pPr>
              <w:numPr>
                <w:ilvl w:val="0"/>
                <w:numId w:val="0"/>
              </w:num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⑤具备建设行政主管部门颁发的电力工程监理乙级及以上资质。</w:t>
            </w:r>
          </w:p>
        </w:tc>
      </w:tr>
    </w:tbl>
    <w:p w14:paraId="091E23F2">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64337182">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 </w:t>
      </w:r>
      <w:bookmarkStart w:id="22" w:name="_Toc31828"/>
    </w:p>
    <w:p w14:paraId="688F837B">
      <w:pPr>
        <w:pStyle w:val="2"/>
        <w:rPr>
          <w:rFonts w:hint="eastAsia" w:ascii="宋体" w:hAnsi="宋体" w:eastAsia="宋体" w:cs="宋体"/>
          <w:color w:val="auto"/>
          <w:highlight w:val="none"/>
          <w:lang w:bidi="ar"/>
        </w:rPr>
      </w:pPr>
    </w:p>
    <w:p w14:paraId="57DDBDD5">
      <w:pPr>
        <w:pStyle w:val="2"/>
        <w:rPr>
          <w:rFonts w:hint="eastAsia" w:ascii="宋体" w:hAnsi="宋体" w:eastAsia="宋体" w:cs="宋体"/>
          <w:color w:val="auto"/>
          <w:highlight w:val="none"/>
          <w:lang w:bidi="ar"/>
        </w:rPr>
      </w:pPr>
    </w:p>
    <w:p w14:paraId="07136984">
      <w:pPr>
        <w:pStyle w:val="3"/>
        <w:jc w:val="center"/>
        <w:rPr>
          <w:rFonts w:hint="eastAsia" w:ascii="宋体" w:hAnsi="宋体" w:eastAsia="宋体" w:cs="宋体"/>
          <w:b/>
          <w:bCs/>
          <w:highlight w:val="none"/>
        </w:rPr>
      </w:pPr>
      <w:r>
        <w:rPr>
          <w:rFonts w:hint="eastAsia" w:ascii="宋体" w:hAnsi="宋体" w:eastAsia="宋体" w:cs="宋体"/>
          <w:b/>
          <w:bCs/>
          <w:highlight w:val="none"/>
        </w:rPr>
        <w:t>附录2  资格审查条件（财务最低要求）</w:t>
      </w:r>
      <w:bookmarkEnd w:id="22"/>
    </w:p>
    <w:p w14:paraId="57AC5CCA">
      <w:pPr>
        <w:pStyle w:val="2"/>
        <w:rPr>
          <w:rFonts w:hint="eastAsia" w:ascii="宋体" w:hAnsi="宋体" w:eastAsia="宋体" w:cs="宋体"/>
          <w:color w:val="auto"/>
          <w:highlight w:val="none"/>
        </w:rPr>
      </w:pP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070"/>
      </w:tblGrid>
      <w:tr w14:paraId="4F0EAE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050" w:type="dxa"/>
            <w:noWrap w:val="0"/>
            <w:vAlign w:val="center"/>
          </w:tcPr>
          <w:p w14:paraId="6F65D5E6">
            <w:pPr>
              <w:spacing w:line="3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标段</w:t>
            </w:r>
          </w:p>
        </w:tc>
        <w:tc>
          <w:tcPr>
            <w:tcW w:w="8070" w:type="dxa"/>
            <w:noWrap w:val="0"/>
            <w:vAlign w:val="center"/>
          </w:tcPr>
          <w:p w14:paraId="3D5BB13D">
            <w:pPr>
              <w:spacing w:line="3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财务要求</w:t>
            </w:r>
          </w:p>
        </w:tc>
      </w:tr>
      <w:tr w14:paraId="68C213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1050" w:type="dxa"/>
            <w:noWrap w:val="0"/>
            <w:vAlign w:val="center"/>
          </w:tcPr>
          <w:p w14:paraId="175A9BC1">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070" w:type="dxa"/>
            <w:noWrap w:val="0"/>
            <w:vAlign w:val="center"/>
          </w:tcPr>
          <w:p w14:paraId="644658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1、投标人提供</w:t>
            </w:r>
            <w:r>
              <w:rPr>
                <w:rFonts w:hint="eastAsia" w:ascii="宋体" w:hAnsi="宋体" w:eastAsia="宋体" w:cs="宋体"/>
                <w:color w:val="auto"/>
                <w:highlight w:val="none"/>
                <w:lang w:eastAsia="zh-CN"/>
              </w:rPr>
              <w:t>2025或2024年度</w:t>
            </w:r>
            <w:r>
              <w:rPr>
                <w:rFonts w:hint="eastAsia" w:ascii="宋体" w:hAnsi="宋体" w:eastAsia="宋体" w:cs="宋体"/>
                <w:color w:val="auto"/>
                <w:highlight w:val="none"/>
              </w:rPr>
              <w:t>第三方出具的财务审计报告；</w:t>
            </w:r>
          </w:p>
          <w:p w14:paraId="5502FE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投标人2025或2024年度的年末流动资产与流动负债比率不小于1</w:t>
            </w:r>
            <w:r>
              <w:rPr>
                <w:rFonts w:hint="eastAsia" w:ascii="宋体" w:hAnsi="宋体" w:eastAsia="宋体" w:cs="宋体"/>
                <w:color w:val="auto"/>
                <w:highlight w:val="none"/>
              </w:rPr>
              <w:t xml:space="preserve">。 </w:t>
            </w:r>
          </w:p>
          <w:p w14:paraId="4A5DD5FA">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lang w:val="en-US" w:eastAsia="zh-CN"/>
              </w:rPr>
              <w:t>投标人须提供审计报告并附带网站查询途径</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p>
        </w:tc>
      </w:tr>
    </w:tbl>
    <w:p w14:paraId="7748EB9A">
      <w:pPr>
        <w:ind w:left="735" w:hanging="735" w:hangingChars="350"/>
        <w:rPr>
          <w:rFonts w:hint="eastAsia" w:ascii="宋体" w:hAnsi="宋体" w:eastAsia="宋体" w:cs="宋体"/>
          <w:szCs w:val="21"/>
          <w:highlight w:val="none"/>
          <w:lang w:bidi="ar"/>
        </w:rPr>
      </w:pPr>
      <w:r>
        <w:rPr>
          <w:rFonts w:hint="eastAsia" w:ascii="宋体" w:hAnsi="宋体" w:eastAsia="宋体" w:cs="宋体"/>
          <w:szCs w:val="21"/>
          <w:highlight w:val="none"/>
          <w:lang w:bidi="ar"/>
        </w:rPr>
        <w:t xml:space="preserve"> </w:t>
      </w:r>
      <w:bookmarkStart w:id="23" w:name="_Toc4833"/>
    </w:p>
    <w:p w14:paraId="3ECD0162">
      <w:pPr>
        <w:pStyle w:val="3"/>
        <w:jc w:val="center"/>
        <w:rPr>
          <w:rFonts w:hint="eastAsia" w:ascii="宋体" w:hAnsi="宋体" w:eastAsia="宋体" w:cs="宋体"/>
          <w:b w:val="0"/>
          <w:bCs w:val="0"/>
          <w:sz w:val="32"/>
          <w:szCs w:val="32"/>
          <w:highlight w:val="none"/>
        </w:rPr>
      </w:pPr>
      <w:r>
        <w:rPr>
          <w:rFonts w:hint="eastAsia" w:ascii="宋体" w:hAnsi="宋体" w:eastAsia="宋体" w:cs="宋体"/>
          <w:highlight w:val="none"/>
          <w:lang w:bidi="ar"/>
        </w:rPr>
        <w:br w:type="page"/>
      </w:r>
      <w:r>
        <w:rPr>
          <w:rFonts w:hint="eastAsia" w:ascii="宋体" w:hAnsi="宋体" w:eastAsia="宋体" w:cs="宋体"/>
          <w:b/>
          <w:bCs/>
          <w:highlight w:val="none"/>
        </w:rPr>
        <w:t>附录3  资格审查条件（业绩最低要求）</w:t>
      </w:r>
    </w:p>
    <w:p w14:paraId="0FC81F52">
      <w:pPr>
        <w:pStyle w:val="2"/>
        <w:rPr>
          <w:rFonts w:hint="eastAsia" w:ascii="宋体" w:hAnsi="宋体" w:eastAsia="宋体" w:cs="宋体"/>
          <w:highlight w:val="none"/>
        </w:rPr>
      </w:pP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070"/>
      </w:tblGrid>
      <w:tr w14:paraId="7CA38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050" w:type="dxa"/>
            <w:noWrap w:val="0"/>
            <w:vAlign w:val="center"/>
          </w:tcPr>
          <w:p w14:paraId="5E3D535A">
            <w:pPr>
              <w:spacing w:line="300" w:lineRule="exact"/>
              <w:jc w:val="center"/>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标段</w:t>
            </w:r>
          </w:p>
        </w:tc>
        <w:tc>
          <w:tcPr>
            <w:tcW w:w="8070" w:type="dxa"/>
            <w:noWrap w:val="0"/>
            <w:vAlign w:val="center"/>
          </w:tcPr>
          <w:p w14:paraId="59397718">
            <w:pPr>
              <w:spacing w:line="300" w:lineRule="exact"/>
              <w:jc w:val="center"/>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业绩要求</w:t>
            </w:r>
          </w:p>
        </w:tc>
      </w:tr>
      <w:tr w14:paraId="46889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1050" w:type="dxa"/>
            <w:noWrap w:val="0"/>
            <w:vAlign w:val="center"/>
          </w:tcPr>
          <w:p w14:paraId="7E5C4D71">
            <w:pPr>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8070" w:type="dxa"/>
            <w:noWrap w:val="0"/>
            <w:vAlign w:val="center"/>
          </w:tcPr>
          <w:p w14:paraId="7B2C0B44">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投标人近5年内(2021年5月1日至投标文件递交截止日)通过交工或竣工验收，至少完成过以下业绩:</w:t>
            </w:r>
          </w:p>
          <w:p w14:paraId="44C316A0">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①至少独立完成过1项新(改、扩)一级及以上公路路基工程的施工监理业绩；</w:t>
            </w:r>
          </w:p>
          <w:p w14:paraId="0201F785">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②至少独立完成过1项新(改、扩)一级及以上公路路面工程的施工监理业绩；</w:t>
            </w:r>
          </w:p>
          <w:p w14:paraId="22A7628A">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③至少独立完成过1 项新(改、扩)一级及以上公路交安工程的施工监理业绩；</w:t>
            </w:r>
          </w:p>
          <w:p w14:paraId="6DBE8DDB">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④至少独立完成过1项新(改、扩)一级及以上公路大桥或以上的施工监理业绩；</w:t>
            </w:r>
          </w:p>
          <w:p w14:paraId="7CAA96E0">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⑤至少独立完成过1项新(改、扩)一级及以上公路机电工程施工监理业绩；</w:t>
            </w:r>
          </w:p>
          <w:p w14:paraId="72D3D191">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⑥至少独立完成过1项新(改、扩)一级及以上公路特长隧道的施工监理业绩；</w:t>
            </w:r>
          </w:p>
          <w:p w14:paraId="7CE5AB2D">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⑦至少独立完成过1项新建房屋建筑工程施工监理业绩；</w:t>
            </w:r>
          </w:p>
          <w:p w14:paraId="367B8787">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⑧至少独立完成过1项电力工程施工监理业绩。</w:t>
            </w:r>
          </w:p>
          <w:p w14:paraId="3EA9B19E">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注：若某一项业绩同时满足上述多项业绩要求时，可分别予以认定。</w:t>
            </w:r>
          </w:p>
        </w:tc>
      </w:tr>
    </w:tbl>
    <w:p w14:paraId="32D21732">
      <w:pPr>
        <w:ind w:left="735" w:hanging="735" w:hangingChars="350"/>
        <w:rPr>
          <w:rFonts w:hint="eastAsia" w:ascii="宋体" w:hAnsi="宋体" w:eastAsia="宋体" w:cs="宋体"/>
          <w:szCs w:val="21"/>
          <w:highlight w:val="none"/>
          <w:lang w:bidi="ar"/>
        </w:rPr>
      </w:pPr>
      <w:r>
        <w:rPr>
          <w:rFonts w:hint="eastAsia" w:ascii="宋体" w:hAnsi="宋体" w:eastAsia="宋体" w:cs="宋体"/>
          <w:szCs w:val="21"/>
          <w:highlight w:val="none"/>
          <w:lang w:bidi="ar"/>
        </w:rPr>
        <w:t xml:space="preserve"> </w:t>
      </w:r>
    </w:p>
    <w:p w14:paraId="2F5BC576">
      <w:pPr>
        <w:pStyle w:val="3"/>
        <w:widowControl/>
        <w:jc w:val="center"/>
        <w:rPr>
          <w:rFonts w:hint="eastAsia" w:ascii="宋体" w:hAnsi="宋体" w:eastAsia="宋体" w:cs="宋体"/>
          <w:sz w:val="24"/>
          <w:szCs w:val="24"/>
          <w:highlight w:val="none"/>
        </w:rPr>
      </w:pPr>
      <w:bookmarkStart w:id="24" w:name="_Toc25930"/>
      <w:r>
        <w:rPr>
          <w:rFonts w:hint="eastAsia" w:ascii="宋体" w:hAnsi="宋体" w:eastAsia="宋体" w:cs="宋体"/>
          <w:sz w:val="30"/>
          <w:szCs w:val="30"/>
          <w:highlight w:val="none"/>
        </w:rPr>
        <w:t>附录4  资格审查条件（信誉最低要求）</w:t>
      </w:r>
      <w:bookmarkEnd w:id="23"/>
      <w:bookmarkEnd w:id="24"/>
    </w:p>
    <w:tbl>
      <w:tblPr>
        <w:tblStyle w:val="6"/>
        <w:tblW w:w="0" w:type="auto"/>
        <w:jc w:val="center"/>
        <w:tblLayout w:type="fixed"/>
        <w:tblCellMar>
          <w:top w:w="0" w:type="dxa"/>
          <w:left w:w="108" w:type="dxa"/>
          <w:bottom w:w="0" w:type="dxa"/>
          <w:right w:w="108" w:type="dxa"/>
        </w:tblCellMar>
      </w:tblPr>
      <w:tblGrid>
        <w:gridCol w:w="1104"/>
        <w:gridCol w:w="8136"/>
      </w:tblGrid>
      <w:tr w14:paraId="6032F97A">
        <w:tblPrEx>
          <w:tblCellMar>
            <w:top w:w="0" w:type="dxa"/>
            <w:left w:w="108" w:type="dxa"/>
            <w:bottom w:w="0" w:type="dxa"/>
            <w:right w:w="108" w:type="dxa"/>
          </w:tblCellMar>
        </w:tblPrEx>
        <w:trPr>
          <w:trHeight w:val="567" w:hRule="atLeast"/>
          <w:jc w:val="center"/>
        </w:trPr>
        <w:tc>
          <w:tcPr>
            <w:tcW w:w="1104" w:type="dxa"/>
            <w:tcBorders>
              <w:top w:val="double" w:color="auto" w:sz="2" w:space="0"/>
              <w:left w:val="double" w:color="auto" w:sz="2" w:space="0"/>
              <w:bottom w:val="single" w:color="auto" w:sz="4" w:space="0"/>
              <w:right w:val="double" w:color="auto" w:sz="2" w:space="0"/>
            </w:tcBorders>
            <w:noWrap w:val="0"/>
            <w:vAlign w:val="center"/>
          </w:tcPr>
          <w:p w14:paraId="231BD81C">
            <w:pPr>
              <w:spacing w:line="300" w:lineRule="exact"/>
              <w:jc w:val="center"/>
              <w:rPr>
                <w:rFonts w:hint="eastAsia" w:ascii="宋体" w:hAnsi="宋体" w:eastAsia="宋体" w:cs="宋体"/>
                <w:szCs w:val="21"/>
                <w:highlight w:val="none"/>
                <w:lang w:bidi="ar"/>
              </w:rPr>
            </w:pPr>
            <w:r>
              <w:rPr>
                <w:rFonts w:hint="eastAsia" w:ascii="宋体" w:hAnsi="宋体" w:eastAsia="宋体" w:cs="宋体"/>
                <w:b/>
                <w:snapToGrid w:val="0"/>
                <w:kern w:val="0"/>
                <w:sz w:val="24"/>
                <w:highlight w:val="none"/>
              </w:rPr>
              <w:t>标段</w:t>
            </w:r>
          </w:p>
        </w:tc>
        <w:tc>
          <w:tcPr>
            <w:tcW w:w="8136" w:type="dxa"/>
            <w:tcBorders>
              <w:top w:val="double" w:color="auto" w:sz="2" w:space="0"/>
              <w:left w:val="double" w:color="auto" w:sz="2" w:space="0"/>
              <w:bottom w:val="single" w:color="auto" w:sz="4" w:space="0"/>
              <w:right w:val="double" w:color="auto" w:sz="2" w:space="0"/>
            </w:tcBorders>
            <w:noWrap w:val="0"/>
            <w:vAlign w:val="center"/>
          </w:tcPr>
          <w:p w14:paraId="1FCB0A3D">
            <w:pPr>
              <w:spacing w:line="300" w:lineRule="exact"/>
              <w:jc w:val="center"/>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信 誉 要 求</w:t>
            </w:r>
          </w:p>
        </w:tc>
      </w:tr>
      <w:tr w14:paraId="2EF5E6C5">
        <w:tblPrEx>
          <w:tblCellMar>
            <w:top w:w="0" w:type="dxa"/>
            <w:left w:w="108" w:type="dxa"/>
            <w:bottom w:w="0" w:type="dxa"/>
            <w:right w:w="108" w:type="dxa"/>
          </w:tblCellMar>
        </w:tblPrEx>
        <w:trPr>
          <w:trHeight w:val="885" w:hRule="atLeast"/>
          <w:jc w:val="center"/>
        </w:trPr>
        <w:tc>
          <w:tcPr>
            <w:tcW w:w="1104" w:type="dxa"/>
            <w:tcBorders>
              <w:top w:val="single" w:color="auto" w:sz="4" w:space="0"/>
              <w:left w:val="double" w:color="auto" w:sz="2" w:space="0"/>
              <w:bottom w:val="double" w:color="auto" w:sz="2" w:space="0"/>
              <w:right w:val="double" w:color="auto" w:sz="2" w:space="0"/>
            </w:tcBorders>
            <w:noWrap w:val="0"/>
            <w:vAlign w:val="center"/>
          </w:tcPr>
          <w:p w14:paraId="1D11E876">
            <w:pPr>
              <w:spacing w:line="300" w:lineRule="exact"/>
              <w:jc w:val="center"/>
              <w:rPr>
                <w:rFonts w:hint="eastAsia" w:ascii="宋体" w:hAnsi="宋体" w:eastAsia="宋体" w:cs="宋体"/>
                <w:szCs w:val="21"/>
                <w:highlight w:val="none"/>
                <w:lang w:bidi="ar"/>
              </w:rPr>
            </w:pPr>
            <w:r>
              <w:rPr>
                <w:rFonts w:hint="eastAsia" w:ascii="宋体" w:hAnsi="宋体" w:eastAsia="宋体" w:cs="宋体"/>
                <w:sz w:val="24"/>
                <w:highlight w:val="none"/>
              </w:rPr>
              <w:t>1</w:t>
            </w:r>
          </w:p>
        </w:tc>
        <w:tc>
          <w:tcPr>
            <w:tcW w:w="8136" w:type="dxa"/>
            <w:tcBorders>
              <w:top w:val="single" w:color="auto" w:sz="4" w:space="0"/>
              <w:left w:val="double" w:color="auto" w:sz="2" w:space="0"/>
              <w:bottom w:val="double" w:color="auto" w:sz="2" w:space="0"/>
              <w:right w:val="double" w:color="auto" w:sz="2" w:space="0"/>
            </w:tcBorders>
            <w:noWrap w:val="0"/>
            <w:vAlign w:val="center"/>
          </w:tcPr>
          <w:p w14:paraId="20DE71C8">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①未被省级及以上交通主管部门取消投标资格；</w:t>
            </w:r>
          </w:p>
          <w:p w14:paraId="325E1384">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投标人在近三年（2023年5月以来）未在交通工程建设领域因重、特大工程质量、安全事故受到省级及以上行政主管部门的通报，未在山西省公路工程建设项目中发生重大工程质量、安全等事故并受到通报的无资格参与本项目的投标；</w:t>
            </w:r>
          </w:p>
          <w:p w14:paraId="3E8A37FA">
            <w:pPr>
              <w:spacing w:line="400" w:lineRule="exact"/>
              <w:ind w:firstLine="315" w:firstLineChars="150"/>
              <w:rPr>
                <w:rFonts w:hint="eastAsia" w:ascii="宋体" w:hAnsi="宋体" w:eastAsia="宋体" w:cs="宋体"/>
                <w:strike/>
                <w:dstrike w:val="0"/>
                <w:color w:val="0000FF"/>
                <w:highlight w:val="none"/>
                <w:lang w:val="en-US" w:eastAsia="zh-CN"/>
              </w:rPr>
            </w:pPr>
            <w:r>
              <w:rPr>
                <w:rFonts w:hint="eastAsia" w:ascii="宋体" w:hAnsi="宋体" w:eastAsia="宋体" w:cs="宋体"/>
                <w:color w:val="auto"/>
                <w:highlight w:val="none"/>
                <w:lang w:val="en-US" w:eastAsia="zh-CN"/>
              </w:rPr>
              <w:t>③投标人及其法定代表人、项目总监在近三年内（2023年5月至今）无行贿犯罪行为；</w:t>
            </w:r>
          </w:p>
          <w:p w14:paraId="7ED4191B">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④投标人在“信用中国”网站中未被列入严重失信主体名单；</w:t>
            </w:r>
          </w:p>
          <w:p w14:paraId="2777C12C">
            <w:pPr>
              <w:spacing w:line="400" w:lineRule="exact"/>
              <w:ind w:firstLine="315" w:firstLineChars="150"/>
              <w:rPr>
                <w:rFonts w:hint="eastAsia" w:ascii="宋体" w:hAnsi="宋体" w:eastAsia="宋体" w:cs="宋体"/>
                <w:sz w:val="24"/>
                <w:highlight w:val="none"/>
              </w:rPr>
            </w:pPr>
            <w:r>
              <w:rPr>
                <w:rFonts w:hint="eastAsia" w:ascii="宋体" w:hAnsi="宋体" w:eastAsia="宋体" w:cs="宋体"/>
                <w:color w:val="auto"/>
                <w:highlight w:val="none"/>
                <w:lang w:val="en-US" w:eastAsia="zh-CN"/>
              </w:rPr>
              <w:t>⑤投标人在“国家企业信用信息公示系统”中未被列入严重违法失信企业名单。</w:t>
            </w:r>
          </w:p>
        </w:tc>
      </w:tr>
    </w:tbl>
    <w:p w14:paraId="51E10917">
      <w:pPr>
        <w:jc w:val="center"/>
        <w:rPr>
          <w:rFonts w:hint="eastAsia" w:ascii="宋体" w:hAnsi="宋体" w:eastAsia="宋体" w:cs="宋体"/>
          <w:szCs w:val="21"/>
          <w:highlight w:val="none"/>
        </w:rPr>
      </w:pPr>
      <w:r>
        <w:rPr>
          <w:rFonts w:hint="eastAsia" w:ascii="宋体" w:hAnsi="宋体" w:eastAsia="宋体" w:cs="宋体"/>
          <w:szCs w:val="21"/>
          <w:highlight w:val="none"/>
          <w:lang w:bidi="ar"/>
        </w:rPr>
        <w:t xml:space="preserve"> </w:t>
      </w:r>
    </w:p>
    <w:p w14:paraId="298F1DA2">
      <w:pPr>
        <w:pStyle w:val="3"/>
        <w:widowControl/>
        <w:jc w:val="center"/>
        <w:rPr>
          <w:rFonts w:hint="eastAsia" w:ascii="宋体" w:hAnsi="宋体" w:eastAsia="宋体" w:cs="宋体"/>
          <w:sz w:val="24"/>
          <w:szCs w:val="24"/>
          <w:highlight w:val="none"/>
        </w:rPr>
      </w:pPr>
      <w:bookmarkStart w:id="25" w:name="_Toc340"/>
      <w:r>
        <w:rPr>
          <w:rFonts w:hint="eastAsia" w:ascii="宋体" w:hAnsi="宋体" w:eastAsia="宋体" w:cs="宋体"/>
          <w:sz w:val="30"/>
          <w:szCs w:val="30"/>
          <w:highlight w:val="none"/>
        </w:rPr>
        <w:t>附录5  资格审查条件（总监理工程师最低要求）</w:t>
      </w:r>
      <w:bookmarkEnd w:id="25"/>
    </w:p>
    <w:tbl>
      <w:tblPr>
        <w:tblStyle w:val="6"/>
        <w:tblW w:w="5000"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110"/>
        <w:gridCol w:w="969"/>
        <w:gridCol w:w="5809"/>
        <w:gridCol w:w="1315"/>
      </w:tblGrid>
      <w:tr w14:paraId="73CDADE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81" w:type="pct"/>
            <w:noWrap w:val="0"/>
            <w:vAlign w:val="center"/>
          </w:tcPr>
          <w:p w14:paraId="3835AD85">
            <w:pPr>
              <w:snapToGrid w:val="0"/>
              <w:spacing w:line="300" w:lineRule="exact"/>
              <w:jc w:val="center"/>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标段</w:t>
            </w:r>
          </w:p>
        </w:tc>
        <w:tc>
          <w:tcPr>
            <w:tcW w:w="557" w:type="pct"/>
            <w:noWrap w:val="0"/>
            <w:vAlign w:val="center"/>
          </w:tcPr>
          <w:p w14:paraId="04A824D5">
            <w:pPr>
              <w:spacing w:line="300" w:lineRule="exact"/>
              <w:jc w:val="center"/>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人员</w:t>
            </w:r>
          </w:p>
        </w:tc>
        <w:tc>
          <w:tcPr>
            <w:tcW w:w="486" w:type="pct"/>
            <w:noWrap w:val="0"/>
            <w:vAlign w:val="center"/>
          </w:tcPr>
          <w:p w14:paraId="181DFCD8">
            <w:pPr>
              <w:snapToGrid w:val="0"/>
              <w:spacing w:line="300" w:lineRule="exact"/>
              <w:jc w:val="center"/>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数量</w:t>
            </w:r>
          </w:p>
        </w:tc>
        <w:tc>
          <w:tcPr>
            <w:tcW w:w="2915" w:type="pct"/>
            <w:noWrap w:val="0"/>
            <w:vAlign w:val="center"/>
          </w:tcPr>
          <w:p w14:paraId="66DF6771">
            <w:pPr>
              <w:snapToGrid w:val="0"/>
              <w:spacing w:line="300" w:lineRule="exact"/>
              <w:jc w:val="center"/>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资 格 要 求</w:t>
            </w:r>
          </w:p>
        </w:tc>
        <w:tc>
          <w:tcPr>
            <w:tcW w:w="660" w:type="pct"/>
            <w:noWrap w:val="0"/>
            <w:vAlign w:val="center"/>
          </w:tcPr>
          <w:p w14:paraId="2E3BD5F6">
            <w:pPr>
              <w:snapToGrid w:val="0"/>
              <w:spacing w:line="300" w:lineRule="exact"/>
              <w:jc w:val="center"/>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在岗要求</w:t>
            </w:r>
          </w:p>
        </w:tc>
      </w:tr>
      <w:tr w14:paraId="444EF0A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381" w:type="pct"/>
            <w:noWrap w:val="0"/>
            <w:vAlign w:val="center"/>
          </w:tcPr>
          <w:p w14:paraId="3FC62F3E">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557" w:type="pct"/>
            <w:noWrap w:val="0"/>
            <w:vAlign w:val="center"/>
          </w:tcPr>
          <w:p w14:paraId="798B95BE">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总监理</w:t>
            </w:r>
          </w:p>
          <w:p w14:paraId="4EDACD34">
            <w:pPr>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工程师</w:t>
            </w:r>
          </w:p>
        </w:tc>
        <w:tc>
          <w:tcPr>
            <w:tcW w:w="486" w:type="pct"/>
            <w:noWrap w:val="0"/>
            <w:vAlign w:val="center"/>
          </w:tcPr>
          <w:p w14:paraId="264FA318">
            <w:pPr>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915" w:type="pct"/>
            <w:noWrap w:val="0"/>
            <w:vAlign w:val="center"/>
          </w:tcPr>
          <w:p w14:paraId="507BC896">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监理工程师1名，拟任的总监理工程师具有高级工程师及以上职称（公路相关专业），持有中华人民共和国人力资源和社会保障部、交通运输部批准颁发的交通运输工程专业的监理工程师或交通运输部颁发的公路工程监理工程师资格证书，且注册/登记单位与投标人单位名称一致，作为总监理工程师或副总监或驻地监理工程师至少承担过：</w:t>
            </w:r>
          </w:p>
          <w:p w14:paraId="4315BC88">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①1项新(改、扩)一级及以上公路路基工程的施工监理业绩；</w:t>
            </w:r>
          </w:p>
          <w:p w14:paraId="22C22900">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②1项新(改、扩)一级及以上公路路面工程的施工监理业绩；</w:t>
            </w:r>
          </w:p>
          <w:p w14:paraId="233FA66B">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③1项新(改、扩)一级及以上公路交安工程的施工监理业绩；</w:t>
            </w:r>
          </w:p>
          <w:p w14:paraId="5AAA0F4F">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④1项新(改、扩)一级及以上公路大桥或以上的施工监理业绩；</w:t>
            </w:r>
          </w:p>
          <w:p w14:paraId="7631CFD2">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⑤1项新(改、扩)一级及以上公路特长隧道的施工监理业绩。</w:t>
            </w:r>
          </w:p>
          <w:p w14:paraId="76A8900B">
            <w:pPr>
              <w:spacing w:line="400" w:lineRule="exact"/>
              <w:ind w:firstLine="315" w:firstLineChars="1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注：若某一项业绩同时满足上述多项业绩要求时，可分别予以认定。</w:t>
            </w:r>
          </w:p>
        </w:tc>
        <w:tc>
          <w:tcPr>
            <w:tcW w:w="660" w:type="pct"/>
            <w:noWrap w:val="0"/>
            <w:vAlign w:val="center"/>
          </w:tcPr>
          <w:p w14:paraId="130F3B7C">
            <w:pPr>
              <w:spacing w:line="400" w:lineRule="exact"/>
              <w:ind w:firstLine="315" w:firstLineChars="150"/>
              <w:rPr>
                <w:rFonts w:hint="eastAsia" w:ascii="宋体" w:hAnsi="宋体" w:eastAsia="宋体" w:cs="宋体"/>
                <w:szCs w:val="21"/>
                <w:highlight w:val="none"/>
              </w:rPr>
            </w:pPr>
            <w:r>
              <w:rPr>
                <w:rFonts w:hint="eastAsia" w:ascii="宋体" w:hAnsi="宋体" w:eastAsia="宋体" w:cs="宋体"/>
                <w:color w:val="auto"/>
                <w:highlight w:val="none"/>
                <w:lang w:val="en-US" w:eastAsia="zh-CN"/>
              </w:rPr>
              <w:t>无在岗项目的承诺函（指目前未在其他项目上任职，或虽在其他项目上任职但本项目中标后能够从该项目撤离，应提供上述人员能够从该项目撤离的书面承诺函（格式自拟））</w:t>
            </w:r>
          </w:p>
        </w:tc>
      </w:tr>
    </w:tbl>
    <w:p w14:paraId="55A2D742">
      <w:pPr>
        <w:keepNext w:val="0"/>
        <w:keepLines w:val="0"/>
        <w:numPr>
          <w:ilvl w:val="0"/>
          <w:numId w:val="0"/>
        </w:numPr>
        <w:wordWrap/>
        <w:topLinePunct w:val="0"/>
        <w:bidi w:val="0"/>
        <w:spacing w:line="360" w:lineRule="auto"/>
        <w:ind w:left="0" w:leftChars="0" w:right="0" w:firstLine="482" w:firstLineChars="200"/>
        <w:jc w:val="both"/>
        <w:textAlignment w:val="auto"/>
        <w:rPr>
          <w:rFonts w:hint="default" w:ascii="宋体" w:hAnsi="宋体" w:cs="宋体"/>
          <w:b/>
          <w:bCs/>
          <w:color w:val="auto"/>
          <w:sz w:val="24"/>
          <w:szCs w:val="24"/>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5056F"/>
    <w:multiLevelType w:val="singleLevel"/>
    <w:tmpl w:val="9A05056F"/>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48B6"/>
    <w:rsid w:val="13C56CA3"/>
    <w:rsid w:val="2179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4">
    <w:name w:val="annotation text"/>
    <w:basedOn w:val="1"/>
    <w:qFormat/>
    <w:uiPriority w:val="0"/>
    <w:pPr>
      <w:jc w:val="left"/>
    </w:pPr>
    <w:rPr>
      <w:rFonts w:ascii="宋体" w:hAnsi="宋体"/>
      <w:color w:val="0000FF"/>
      <w:sz w:val="24"/>
    </w:rPr>
  </w:style>
  <w:style w:type="paragraph" w:styleId="5">
    <w:name w:val="Normal (Web)"/>
    <w:basedOn w:val="1"/>
    <w:uiPriority w:val="0"/>
    <w:pPr>
      <w:widowControl/>
      <w:spacing w:before="100" w:beforeLines="0" w:beforeAutospacing="1" w:after="100" w:afterLines="0" w:afterAutospacing="1"/>
      <w:jc w:val="left"/>
    </w:pPr>
    <w:rPr>
      <w:rFonts w:ascii="宋体" w:hAnsi="宋体" w:cs="Arial"/>
      <w:color w:val="0000FF"/>
      <w:kern w:val="0"/>
      <w:sz w:val="24"/>
    </w:rPr>
  </w:style>
  <w:style w:type="paragraph" w:customStyle="1" w:styleId="8">
    <w:name w:val="Table Text"/>
    <w:basedOn w:val="1"/>
    <w:semiHidden/>
    <w:qFormat/>
    <w:uiPriority w:val="0"/>
    <w:rPr>
      <w:rFonts w:ascii="宋体" w:hAnsi="宋体" w:cs="宋体"/>
      <w:lang w:eastAsia="en-US"/>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sz w:val="24"/>
      <w:szCs w:val="24"/>
    </w:rPr>
  </w:style>
  <w:style w:type="paragraph" w:customStyle="1" w:styleId="11">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12286</Words>
  <Characters>12968</Characters>
  <Lines>0</Lines>
  <Paragraphs>0</Paragraphs>
  <TotalTime>0</TotalTime>
  <ScaleCrop>false</ScaleCrop>
  <LinksUpToDate>false</LinksUpToDate>
  <CharactersWithSpaces>13322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2026-01-08T02:45:00Z</dcterms:created>
  <dc:creator>Administrator</dc:creator>
  <cp:lastModifiedBy>心</cp:lastModifiedBy>
  <dcterms:modified xsi:type="dcterms:W3CDTF">2026-05-20T01:03:15Z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eyJoZGlkIjoiYzdjZmU2YmIyN2JmNmM4OTFjNjEyYzk5NTljMGViMGQiLCJ1c2VySWQiOiI4OTc4NTQyNjUifQ==</vt:lpwstr>
  </property>
  <property fmtid="{D5CDD505-2E9C-101B-9397-08002B2CF9AE}" pid="4" name="ICV">
    <vt:lpwstr>FD88D6F948BE46B68400686D7F31DFB2_13</vt:lpwstr>
  </property>
</Properties>
</file>