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A848">
      <w:pPr>
        <w:adjustRightInd w:val="0"/>
        <w:snapToGrid w:val="0"/>
        <w:jc w:val="center"/>
        <w:rPr>
          <w:rFonts w:eastAsia="方正小标宋简体"/>
          <w:sz w:val="32"/>
          <w:szCs w:val="32"/>
        </w:rPr>
      </w:pPr>
      <w:bookmarkStart w:id="0" w:name="_Hlk47950053"/>
      <w:r>
        <w:rPr>
          <w:rFonts w:hint="eastAsia" w:eastAsia="方正小标宋简体"/>
          <w:sz w:val="32"/>
          <w:szCs w:val="32"/>
        </w:rPr>
        <w:t>国道207陵川县过境段公路改线工程施工图设计</w:t>
      </w:r>
    </w:p>
    <w:bookmarkEnd w:id="0"/>
    <w:p w14:paraId="0C1BB7B2">
      <w:pPr>
        <w:adjustRightInd w:val="0"/>
        <w:snapToGrid w:val="0"/>
        <w:jc w:val="center"/>
        <w:rPr>
          <w:rFonts w:hint="eastAsia" w:eastAsia="方正小标宋简体"/>
          <w:sz w:val="32"/>
          <w:szCs w:val="32"/>
          <w:lang w:val="en-US" w:eastAsia="zh-CN"/>
        </w:rPr>
      </w:pPr>
      <w:r>
        <w:rPr>
          <w:rFonts w:hint="eastAsia" w:eastAsia="方正小标宋简体"/>
          <w:sz w:val="32"/>
          <w:szCs w:val="32"/>
          <w:lang w:val="en-US" w:eastAsia="zh-CN"/>
        </w:rPr>
        <w:t>关键内容公开</w:t>
      </w:r>
    </w:p>
    <w:p w14:paraId="547E94C8">
      <w:pPr>
        <w:topLinePunct/>
        <w:spacing w:line="440" w:lineRule="exact"/>
        <w:jc w:val="left"/>
        <w:rPr>
          <w:color w:val="auto"/>
          <w:sz w:val="24"/>
          <w:highlight w:val="none"/>
        </w:rPr>
      </w:pPr>
      <w:r>
        <w:rPr>
          <w:rFonts w:hint="eastAsia"/>
          <w:color w:val="auto"/>
          <w:sz w:val="24"/>
          <w:highlight w:val="none"/>
        </w:rPr>
        <w:t>招标项目所在地区：</w:t>
      </w:r>
      <w:r>
        <w:rPr>
          <w:rFonts w:ascii="宋体" w:hAnsi="宋体" w:eastAsia="宋体" w:cs="宋体"/>
          <w:b/>
          <w:bCs/>
          <w:spacing w:val="-3"/>
          <w:sz w:val="24"/>
          <w:szCs w:val="24"/>
        </w:rPr>
        <w:t>山西省-</w:t>
      </w:r>
      <w:r>
        <w:rPr>
          <w:rFonts w:hint="eastAsia" w:ascii="宋体" w:hAnsi="宋体" w:eastAsia="宋体" w:cs="宋体"/>
          <w:b/>
          <w:bCs/>
          <w:spacing w:val="-3"/>
          <w:sz w:val="24"/>
          <w:szCs w:val="24"/>
          <w:lang w:val="en-US" w:eastAsia="zh-CN"/>
        </w:rPr>
        <w:t>晋城</w:t>
      </w:r>
      <w:r>
        <w:rPr>
          <w:rFonts w:ascii="宋体" w:hAnsi="宋体" w:eastAsia="宋体" w:cs="宋体"/>
          <w:b/>
          <w:bCs/>
          <w:spacing w:val="-3"/>
          <w:sz w:val="24"/>
          <w:szCs w:val="24"/>
        </w:rPr>
        <w:t>市</w:t>
      </w:r>
    </w:p>
    <w:p w14:paraId="039985C1">
      <w:pPr>
        <w:topLinePunct/>
        <w:spacing w:before="120" w:beforeLines="50" w:after="120" w:afterLines="50" w:line="400" w:lineRule="exact"/>
        <w:outlineLvl w:val="1"/>
        <w:rPr>
          <w:rFonts w:eastAsia="黑体"/>
          <w:bCs/>
          <w:color w:val="auto"/>
          <w:sz w:val="28"/>
          <w:szCs w:val="28"/>
          <w:highlight w:val="none"/>
        </w:rPr>
      </w:pPr>
      <w:bookmarkStart w:id="1" w:name="_Toc396461573"/>
      <w:bookmarkStart w:id="2" w:name="_Toc396460405"/>
      <w:bookmarkStart w:id="3" w:name="_Toc447602673"/>
      <w:r>
        <w:rPr>
          <w:rFonts w:eastAsia="黑体"/>
          <w:bCs/>
          <w:color w:val="auto"/>
          <w:sz w:val="28"/>
          <w:szCs w:val="28"/>
          <w:highlight w:val="none"/>
        </w:rPr>
        <w:t>1、招标条件</w:t>
      </w:r>
      <w:bookmarkEnd w:id="1"/>
      <w:bookmarkEnd w:id="2"/>
      <w:bookmarkEnd w:id="3"/>
    </w:p>
    <w:p w14:paraId="5C3B8323">
      <w:pPr>
        <w:pStyle w:val="10"/>
        <w:spacing w:line="460" w:lineRule="exact"/>
        <w:ind w:firstLine="420"/>
        <w:rPr>
          <w:color w:val="auto"/>
          <w:highlight w:val="none"/>
        </w:rPr>
      </w:pPr>
      <w:r>
        <w:rPr>
          <w:rFonts w:hint="eastAsia"/>
          <w:color w:val="auto"/>
          <w:highlight w:val="none"/>
        </w:rPr>
        <w:t>国道207陵川县过境段公路改线工程施工图设计（招标项目编号：M1401000155101490001，以下简称本项目）已由山西省</w:t>
      </w:r>
      <w:r>
        <w:rPr>
          <w:rFonts w:hint="eastAsia"/>
          <w:color w:val="auto"/>
          <w:highlight w:val="none"/>
          <w:lang w:val="en-US" w:eastAsia="zh-CN"/>
        </w:rPr>
        <w:t>交通运输厅</w:t>
      </w:r>
      <w:r>
        <w:rPr>
          <w:rFonts w:hint="eastAsia"/>
          <w:color w:val="auto"/>
          <w:highlight w:val="none"/>
        </w:rPr>
        <w:t>关于国道207陵川县过境段公路改线工程</w:t>
      </w:r>
      <w:r>
        <w:rPr>
          <w:rFonts w:hint="eastAsia"/>
          <w:color w:val="auto"/>
          <w:highlight w:val="none"/>
          <w:lang w:val="en-US" w:eastAsia="zh-CN"/>
        </w:rPr>
        <w:t>初步设计</w:t>
      </w:r>
      <w:r>
        <w:rPr>
          <w:rFonts w:hint="eastAsia"/>
          <w:color w:val="auto"/>
          <w:highlight w:val="none"/>
        </w:rPr>
        <w:t>的批复批准建设，建设资金</w:t>
      </w:r>
      <w:r>
        <w:rPr>
          <w:rFonts w:hint="eastAsia"/>
          <w:color w:val="auto"/>
          <w:highlight w:val="none"/>
          <w:lang w:val="en-US" w:eastAsia="zh-CN"/>
        </w:rPr>
        <w:t>来源为建筑安装工程费使用交通运输领域重点项目资金和省级专项资金解决，其余部分由陵川县人民政府筹措（施工图设计）</w:t>
      </w:r>
      <w:r>
        <w:rPr>
          <w:rFonts w:hint="eastAsia"/>
          <w:color w:val="auto"/>
          <w:highlight w:val="none"/>
        </w:rPr>
        <w:t>，招标人为山西省公路局晋城分局。项目已具备招标条件，现对该项目进行公开招标</w:t>
      </w:r>
      <w:r>
        <w:rPr>
          <w:color w:val="auto"/>
          <w:highlight w:val="none"/>
        </w:rPr>
        <w:t>。</w:t>
      </w:r>
    </w:p>
    <w:p w14:paraId="3DDF131B">
      <w:pPr>
        <w:topLinePunct/>
        <w:spacing w:before="120" w:beforeLines="50" w:after="120" w:afterLines="50" w:line="400" w:lineRule="exact"/>
        <w:outlineLvl w:val="1"/>
        <w:rPr>
          <w:rFonts w:eastAsia="黑体"/>
          <w:bCs/>
          <w:color w:val="auto"/>
          <w:sz w:val="28"/>
          <w:szCs w:val="28"/>
          <w:highlight w:val="none"/>
        </w:rPr>
      </w:pPr>
      <w:bookmarkStart w:id="4" w:name="_Toc447602674"/>
      <w:r>
        <w:rPr>
          <w:rFonts w:eastAsia="黑体"/>
          <w:bCs/>
          <w:color w:val="auto"/>
          <w:sz w:val="28"/>
          <w:szCs w:val="28"/>
          <w:highlight w:val="none"/>
        </w:rPr>
        <w:t>2、项目概况与招标范围</w:t>
      </w:r>
      <w:bookmarkEnd w:id="4"/>
    </w:p>
    <w:p w14:paraId="5901671D">
      <w:pPr>
        <w:topLinePunct/>
        <w:spacing w:line="460" w:lineRule="exact"/>
        <w:ind w:firstLine="480" w:firstLineChars="200"/>
        <w:rPr>
          <w:color w:val="auto"/>
          <w:sz w:val="24"/>
          <w:highlight w:val="none"/>
        </w:rPr>
      </w:pPr>
      <w:r>
        <w:rPr>
          <w:color w:val="auto"/>
          <w:sz w:val="24"/>
          <w:highlight w:val="none"/>
        </w:rPr>
        <w:t>2.1</w:t>
      </w:r>
      <w:r>
        <w:rPr>
          <w:rFonts w:hint="eastAsia"/>
          <w:color w:val="auto"/>
          <w:sz w:val="24"/>
          <w:highlight w:val="none"/>
          <w:lang w:val="en-US" w:eastAsia="zh-CN"/>
        </w:rPr>
        <w:t xml:space="preserve"> </w:t>
      </w:r>
      <w:r>
        <w:rPr>
          <w:color w:val="auto"/>
          <w:sz w:val="24"/>
          <w:highlight w:val="none"/>
        </w:rPr>
        <w:t>项目概况</w:t>
      </w:r>
    </w:p>
    <w:p w14:paraId="18BF4381">
      <w:pPr>
        <w:topLinePunct/>
        <w:spacing w:line="460" w:lineRule="exact"/>
        <w:ind w:firstLine="480" w:firstLineChars="200"/>
        <w:rPr>
          <w:rFonts w:hint="default" w:eastAsia="宋体"/>
          <w:color w:val="auto"/>
          <w:sz w:val="24"/>
          <w:highlight w:val="none"/>
          <w:lang w:val="en-US" w:eastAsia="zh-CN"/>
        </w:rPr>
      </w:pPr>
      <w:r>
        <w:rPr>
          <w:rFonts w:hint="eastAsia"/>
          <w:color w:val="auto"/>
          <w:sz w:val="24"/>
          <w:highlight w:val="none"/>
        </w:rPr>
        <w:t>路线起点位于陵川县平城镇杨寨村东国道207线与国道342线平面交叉处，向南与国道342共线1公里后另辟新线，于崇文镇寨则村西，设隧道至阁老掌村东，在崇文镇大会村附近接既有国道207线</w:t>
      </w:r>
      <w:r>
        <w:rPr>
          <w:rFonts w:hint="eastAsia"/>
          <w:color w:val="auto"/>
          <w:sz w:val="24"/>
          <w:highlight w:val="none"/>
          <w:lang w:eastAsia="zh-CN"/>
        </w:rPr>
        <w:t>。</w:t>
      </w:r>
      <w:r>
        <w:rPr>
          <w:rFonts w:hint="eastAsia"/>
          <w:color w:val="auto"/>
          <w:sz w:val="24"/>
          <w:highlight w:val="none"/>
        </w:rPr>
        <w:t>路线全长8.6公里</w:t>
      </w:r>
      <w:r>
        <w:rPr>
          <w:rFonts w:hint="eastAsia"/>
          <w:color w:val="auto"/>
          <w:sz w:val="24"/>
          <w:highlight w:val="none"/>
          <w:lang w:eastAsia="zh-CN"/>
        </w:rPr>
        <w:t>，</w:t>
      </w:r>
      <w:r>
        <w:rPr>
          <w:rFonts w:hint="eastAsia"/>
          <w:color w:val="auto"/>
          <w:sz w:val="24"/>
          <w:highlight w:val="none"/>
          <w:lang w:val="en-US" w:eastAsia="zh-CN"/>
        </w:rPr>
        <w:t>设大桥614</w:t>
      </w:r>
      <w:r>
        <w:rPr>
          <w:rFonts w:hint="eastAsia"/>
          <w:color w:val="auto"/>
          <w:sz w:val="24"/>
          <w:highlight w:val="none"/>
        </w:rPr>
        <w:t>米/2座，</w:t>
      </w:r>
      <w:r>
        <w:rPr>
          <w:rFonts w:hint="eastAsia"/>
          <w:color w:val="auto"/>
          <w:sz w:val="24"/>
          <w:highlight w:val="none"/>
          <w:lang w:val="en-US" w:eastAsia="zh-CN"/>
        </w:rPr>
        <w:t>中</w:t>
      </w:r>
      <w:r>
        <w:rPr>
          <w:rFonts w:hint="eastAsia"/>
          <w:color w:val="auto"/>
          <w:sz w:val="24"/>
          <w:highlight w:val="none"/>
        </w:rPr>
        <w:t>隧道61</w:t>
      </w:r>
      <w:r>
        <w:rPr>
          <w:rFonts w:hint="eastAsia"/>
          <w:color w:val="auto"/>
          <w:sz w:val="24"/>
          <w:highlight w:val="none"/>
          <w:lang w:val="en-US" w:eastAsia="zh-CN"/>
        </w:rPr>
        <w:t>9</w:t>
      </w:r>
      <w:r>
        <w:rPr>
          <w:rFonts w:hint="eastAsia"/>
          <w:color w:val="auto"/>
          <w:sz w:val="24"/>
          <w:highlight w:val="none"/>
        </w:rPr>
        <w:t>米/1座</w:t>
      </w:r>
      <w:r>
        <w:rPr>
          <w:rFonts w:hint="eastAsia"/>
          <w:color w:val="auto"/>
          <w:sz w:val="24"/>
          <w:highlight w:val="none"/>
          <w:lang w:val="en-US" w:eastAsia="zh-CN"/>
        </w:rPr>
        <w:t>、涵洞22道、通道1处、平面交叉3处。</w:t>
      </w:r>
    </w:p>
    <w:p w14:paraId="0B4DDD74">
      <w:pPr>
        <w:topLinePunct/>
        <w:spacing w:line="460" w:lineRule="exact"/>
        <w:ind w:firstLine="480" w:firstLineChars="200"/>
        <w:rPr>
          <w:color w:val="auto"/>
          <w:sz w:val="24"/>
          <w:highlight w:val="none"/>
        </w:rPr>
      </w:pPr>
      <w:r>
        <w:rPr>
          <w:rFonts w:hint="eastAsia"/>
          <w:color w:val="auto"/>
          <w:sz w:val="24"/>
          <w:highlight w:val="none"/>
          <w:lang w:val="en-US" w:eastAsia="zh-CN"/>
        </w:rPr>
        <w:t>全线</w:t>
      </w:r>
      <w:r>
        <w:rPr>
          <w:rFonts w:hint="eastAsia"/>
          <w:color w:val="auto"/>
          <w:sz w:val="24"/>
          <w:highlight w:val="none"/>
        </w:rPr>
        <w:t>采用二级公路标准，设计速度60公里/小时，路基宽度12米。汽车荷载等级采用公路-Ⅰ级，其余技术指标按《公路工程技术标准》（JTG B01-2014）执行。</w:t>
      </w:r>
    </w:p>
    <w:p w14:paraId="546285AA">
      <w:pPr>
        <w:topLinePunct/>
        <w:spacing w:line="460" w:lineRule="exact"/>
        <w:ind w:firstLine="480" w:firstLineChars="200"/>
        <w:rPr>
          <w:color w:val="auto"/>
          <w:sz w:val="24"/>
          <w:highlight w:val="none"/>
        </w:rPr>
      </w:pPr>
      <w:r>
        <w:rPr>
          <w:rFonts w:hint="eastAsia"/>
          <w:color w:val="auto"/>
          <w:sz w:val="24"/>
          <w:highlight w:val="none"/>
        </w:rPr>
        <w:t>2.2</w:t>
      </w:r>
      <w:r>
        <w:rPr>
          <w:rFonts w:hint="eastAsia"/>
          <w:color w:val="auto"/>
          <w:sz w:val="24"/>
          <w:highlight w:val="none"/>
          <w:lang w:val="en-US" w:eastAsia="zh-CN"/>
        </w:rPr>
        <w:t xml:space="preserve"> </w:t>
      </w:r>
      <w:r>
        <w:rPr>
          <w:rFonts w:hint="eastAsia"/>
          <w:color w:val="auto"/>
          <w:sz w:val="24"/>
          <w:highlight w:val="none"/>
        </w:rPr>
        <w:t>招标范围及标段划分</w:t>
      </w:r>
    </w:p>
    <w:p w14:paraId="5BD2F2AA">
      <w:pPr>
        <w:spacing w:line="480" w:lineRule="exact"/>
        <w:ind w:firstLine="480"/>
        <w:rPr>
          <w:rFonts w:hint="eastAsia" w:ascii="宋体" w:hAnsi="宋体" w:cs="华文宋体"/>
          <w:color w:val="auto"/>
          <w:sz w:val="24"/>
          <w:highlight w:val="none"/>
        </w:rPr>
      </w:pPr>
      <w:bookmarkStart w:id="5" w:name="_Hlk25782511"/>
      <w:r>
        <w:rPr>
          <w:rFonts w:hint="eastAsia" w:ascii="宋体" w:hAnsi="宋体" w:cs="华文宋体"/>
          <w:color w:val="auto"/>
          <w:sz w:val="24"/>
          <w:highlight w:val="none"/>
        </w:rPr>
        <w:t>本招标项目划分为 1 个标段：001 标段，国道207陵川县过境段公路改线工程施工图设计。</w:t>
      </w:r>
    </w:p>
    <w:p w14:paraId="077EA976">
      <w:pPr>
        <w:spacing w:line="480" w:lineRule="exact"/>
        <w:ind w:firstLine="480"/>
        <w:rPr>
          <w:rFonts w:ascii="宋体" w:hAnsi="宋体" w:cs="华文宋体"/>
          <w:color w:val="auto"/>
          <w:sz w:val="24"/>
          <w:highlight w:val="none"/>
        </w:rPr>
      </w:pPr>
      <w:r>
        <w:rPr>
          <w:rFonts w:hint="eastAsia" w:ascii="宋体" w:hAnsi="宋体" w:cs="华文宋体"/>
          <w:color w:val="auto"/>
          <w:sz w:val="24"/>
          <w:highlight w:val="none"/>
        </w:rPr>
        <w:t>主要服务内容（包括但不限于）：</w:t>
      </w:r>
      <w:r>
        <w:rPr>
          <w:rFonts w:hint="eastAsia" w:ascii="宋体" w:hAnsi="宋体" w:eastAsia="宋体" w:cs="宋体"/>
          <w:sz w:val="24"/>
          <w:szCs w:val="24"/>
          <w:lang w:val="en-US" w:eastAsia="zh-CN"/>
        </w:rPr>
        <w:t>国道207 陵川县过境段公路改线工程施工图设计编制、工程详勘、预算编制、其他相关设计内容、相关科</w:t>
      </w:r>
      <w:r>
        <w:rPr>
          <w:rFonts w:hint="eastAsia" w:ascii="宋体" w:hAnsi="宋体" w:eastAsia="宋体" w:cs="宋体"/>
          <w:i w:val="0"/>
          <w:iCs w:val="0"/>
          <w:caps w:val="0"/>
          <w:color w:val="000000"/>
          <w:spacing w:val="0"/>
          <w:sz w:val="24"/>
          <w:szCs w:val="24"/>
          <w:shd w:val="clear" w:color="auto" w:fill="FFFFFF"/>
        </w:rPr>
        <w:t>研（如需要）及后续服务工作</w:t>
      </w:r>
      <w:r>
        <w:rPr>
          <w:rFonts w:hint="eastAsia" w:ascii="宋体" w:hAnsi="宋体" w:cs="华文宋体"/>
          <w:color w:val="auto"/>
          <w:sz w:val="24"/>
          <w:highlight w:val="none"/>
        </w:rPr>
        <w:t>。</w:t>
      </w:r>
    </w:p>
    <w:bookmarkEnd w:id="5"/>
    <w:p w14:paraId="198A7277">
      <w:pPr>
        <w:spacing w:line="480" w:lineRule="exact"/>
        <w:ind w:firstLine="480"/>
        <w:rPr>
          <w:color w:val="auto"/>
          <w:sz w:val="24"/>
          <w:highlight w:val="none"/>
        </w:rPr>
      </w:pPr>
      <w:r>
        <w:rPr>
          <w:rFonts w:hint="eastAsia" w:ascii="宋体" w:hAnsi="宋体" w:cs="华文宋体"/>
          <w:color w:val="auto"/>
          <w:sz w:val="24"/>
          <w:highlight w:val="none"/>
        </w:rPr>
        <w:t>2.3</w:t>
      </w:r>
      <w:r>
        <w:rPr>
          <w:rFonts w:hint="eastAsia" w:ascii="宋体" w:hAnsi="宋体" w:cs="华文宋体"/>
          <w:color w:val="auto"/>
          <w:sz w:val="24"/>
          <w:highlight w:val="none"/>
          <w:lang w:val="en-US" w:eastAsia="zh-CN"/>
        </w:rPr>
        <w:t xml:space="preserve"> </w:t>
      </w:r>
      <w:r>
        <w:rPr>
          <w:rFonts w:hint="eastAsia" w:ascii="宋体" w:hAnsi="宋体" w:cs="华文宋体"/>
          <w:color w:val="auto"/>
          <w:sz w:val="24"/>
          <w:highlight w:val="none"/>
        </w:rPr>
        <w:t>设计周期：</w:t>
      </w:r>
      <w:r>
        <w:rPr>
          <w:rFonts w:hint="eastAsia" w:ascii="宋体" w:hAnsi="宋体" w:cs="华文宋体"/>
          <w:color w:val="auto"/>
          <w:sz w:val="24"/>
          <w:highlight w:val="none"/>
          <w:lang w:val="en-US" w:eastAsia="zh-CN"/>
        </w:rPr>
        <w:t>6个月</w:t>
      </w:r>
      <w:r>
        <w:rPr>
          <w:rFonts w:hint="eastAsia" w:ascii="宋体" w:hAnsi="宋体" w:cs="华文宋体"/>
          <w:color w:val="auto"/>
          <w:sz w:val="24"/>
          <w:highlight w:val="none"/>
          <w:lang w:eastAsia="zh-CN"/>
        </w:rPr>
        <w:t>，</w:t>
      </w:r>
      <w:r>
        <w:rPr>
          <w:rFonts w:hint="eastAsia" w:ascii="宋体" w:hAnsi="宋体" w:cs="华文宋体"/>
          <w:color w:val="auto"/>
          <w:sz w:val="24"/>
          <w:highlight w:val="none"/>
        </w:rPr>
        <w:t>自合同协议书签订之日起至项目服务工作全部完成止。</w:t>
      </w:r>
    </w:p>
    <w:p w14:paraId="43120826">
      <w:pPr>
        <w:topLinePunct/>
        <w:spacing w:before="120" w:beforeLines="50" w:after="120" w:afterLines="50" w:line="460" w:lineRule="exact"/>
        <w:outlineLvl w:val="1"/>
        <w:rPr>
          <w:color w:val="auto"/>
          <w:sz w:val="24"/>
          <w:highlight w:val="none"/>
        </w:rPr>
      </w:pPr>
      <w:bookmarkStart w:id="6" w:name="_Toc447602675"/>
      <w:r>
        <w:rPr>
          <w:rFonts w:eastAsia="黑体"/>
          <w:bCs/>
          <w:color w:val="auto"/>
          <w:sz w:val="28"/>
          <w:szCs w:val="28"/>
          <w:highlight w:val="none"/>
        </w:rPr>
        <w:t>3、投标人资格要求</w:t>
      </w:r>
      <w:bookmarkEnd w:id="6"/>
    </w:p>
    <w:p w14:paraId="6CF0F998">
      <w:pPr>
        <w:spacing w:before="198" w:line="301" w:lineRule="auto"/>
        <w:ind w:left="10" w:firstLine="483"/>
        <w:rPr>
          <w:rFonts w:ascii="宋体" w:hAnsi="宋体" w:eastAsia="宋体" w:cs="宋体"/>
          <w:sz w:val="24"/>
          <w:szCs w:val="24"/>
        </w:rPr>
      </w:pPr>
      <w:r>
        <w:rPr>
          <w:rFonts w:ascii="宋体" w:hAnsi="宋体" w:eastAsia="宋体" w:cs="宋体"/>
          <w:spacing w:val="-3"/>
          <w:sz w:val="24"/>
          <w:szCs w:val="24"/>
        </w:rPr>
        <w:t>3.1 本次招标要求投标人在中华人民共和国境内依法登记注册，具有独立法人资格，持有</w:t>
      </w:r>
      <w:r>
        <w:rPr>
          <w:rFonts w:ascii="宋体" w:hAnsi="宋体" w:eastAsia="宋体" w:cs="宋体"/>
          <w:spacing w:val="14"/>
          <w:sz w:val="24"/>
          <w:szCs w:val="24"/>
        </w:rPr>
        <w:t xml:space="preserve"> </w:t>
      </w:r>
      <w:r>
        <w:rPr>
          <w:rFonts w:ascii="宋体" w:hAnsi="宋体" w:eastAsia="宋体" w:cs="宋体"/>
          <w:sz w:val="24"/>
          <w:szCs w:val="24"/>
        </w:rPr>
        <w:t>有效的营业执照，并在人员、设备、资金、信誉等</w:t>
      </w:r>
      <w:r>
        <w:rPr>
          <w:rFonts w:ascii="宋体" w:hAnsi="宋体" w:eastAsia="宋体" w:cs="宋体"/>
          <w:spacing w:val="-1"/>
          <w:sz w:val="24"/>
          <w:szCs w:val="24"/>
        </w:rPr>
        <w:t>方面具有相应的服务能力。</w:t>
      </w:r>
    </w:p>
    <w:p w14:paraId="61AC31CA">
      <w:pPr>
        <w:spacing w:before="216" w:line="302" w:lineRule="auto"/>
        <w:ind w:left="20" w:firstLine="473"/>
        <w:rPr>
          <w:rFonts w:hint="eastAsia" w:ascii="宋体" w:hAnsi="宋体" w:eastAsia="宋体" w:cs="宋体"/>
          <w:spacing w:val="-2"/>
          <w:sz w:val="24"/>
          <w:szCs w:val="24"/>
        </w:rPr>
      </w:pPr>
      <w:r>
        <w:rPr>
          <w:rFonts w:ascii="宋体" w:hAnsi="宋体" w:eastAsia="宋体" w:cs="宋体"/>
          <w:spacing w:val="-2"/>
          <w:sz w:val="24"/>
          <w:szCs w:val="24"/>
        </w:rPr>
        <w:t>3.2</w:t>
      </w:r>
      <w:r>
        <w:rPr>
          <w:rFonts w:ascii="宋体" w:hAnsi="宋体" w:eastAsia="宋体" w:cs="宋体"/>
          <w:spacing w:val="-29"/>
          <w:sz w:val="24"/>
          <w:szCs w:val="24"/>
        </w:rPr>
        <w:t xml:space="preserve"> </w:t>
      </w:r>
      <w:r>
        <w:rPr>
          <w:rFonts w:hint="eastAsia" w:ascii="宋体" w:hAnsi="宋体" w:cs="宋体"/>
          <w:spacing w:val="-29"/>
          <w:sz w:val="24"/>
          <w:szCs w:val="24"/>
          <w:lang w:val="en-US" w:eastAsia="zh-CN"/>
        </w:rPr>
        <w:t xml:space="preserve"> </w:t>
      </w:r>
      <w:r>
        <w:rPr>
          <w:rFonts w:ascii="宋体" w:hAnsi="宋体" w:eastAsia="宋体" w:cs="宋体"/>
          <w:spacing w:val="-2"/>
          <w:sz w:val="24"/>
          <w:szCs w:val="24"/>
        </w:rPr>
        <w:t>资质要求：</w:t>
      </w:r>
      <w:r>
        <w:rPr>
          <w:rFonts w:hint="eastAsia" w:ascii="宋体" w:hAnsi="宋体" w:eastAsia="宋体" w:cs="宋体"/>
          <w:spacing w:val="-2"/>
          <w:sz w:val="24"/>
          <w:szCs w:val="24"/>
        </w:rPr>
        <w:t>同时具备</w:t>
      </w:r>
    </w:p>
    <w:p w14:paraId="7BA08690">
      <w:pPr>
        <w:spacing w:before="216" w:line="302" w:lineRule="auto"/>
        <w:ind w:left="20" w:firstLine="473"/>
        <w:rPr>
          <w:rFonts w:hint="eastAsia" w:ascii="宋体" w:hAnsi="宋体" w:eastAsia="宋体" w:cs="宋体"/>
          <w:spacing w:val="-2"/>
          <w:sz w:val="24"/>
          <w:szCs w:val="24"/>
          <w:highlight w:val="none"/>
        </w:rPr>
      </w:pP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lang w:val="en-US" w:eastAsia="zh-CN"/>
        </w:rPr>
        <w:t>1</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工程勘察综合资质甲级，或同时具有</w:t>
      </w:r>
      <w:bookmarkStart w:id="7" w:name="OLE_LINK7"/>
      <w:r>
        <w:rPr>
          <w:rFonts w:hint="eastAsia" w:ascii="宋体" w:hAnsi="宋体" w:cs="宋体"/>
          <w:spacing w:val="-2"/>
          <w:sz w:val="24"/>
          <w:szCs w:val="24"/>
          <w:highlight w:val="none"/>
          <w:lang w:eastAsia="zh-CN"/>
        </w:rPr>
        <w:t>工程测量专业</w:t>
      </w:r>
      <w:r>
        <w:rPr>
          <w:rFonts w:hint="eastAsia" w:ascii="宋体" w:hAnsi="宋体" w:cs="宋体"/>
          <w:spacing w:val="-2"/>
          <w:sz w:val="24"/>
          <w:szCs w:val="24"/>
          <w:highlight w:val="none"/>
          <w:lang w:val="en-US" w:eastAsia="zh-CN"/>
        </w:rPr>
        <w:t>乙</w:t>
      </w:r>
      <w:r>
        <w:rPr>
          <w:rFonts w:hint="eastAsia" w:ascii="宋体" w:hAnsi="宋体" w:cs="宋体"/>
          <w:spacing w:val="-2"/>
          <w:sz w:val="24"/>
          <w:szCs w:val="24"/>
          <w:highlight w:val="none"/>
          <w:lang w:eastAsia="zh-CN"/>
        </w:rPr>
        <w:t>级</w:t>
      </w:r>
      <w:bookmarkEnd w:id="7"/>
      <w:r>
        <w:rPr>
          <w:rFonts w:hint="eastAsia" w:ascii="宋体" w:hAnsi="宋体" w:cs="宋体"/>
          <w:spacing w:val="-2"/>
          <w:sz w:val="24"/>
          <w:szCs w:val="24"/>
          <w:highlight w:val="none"/>
          <w:lang w:eastAsia="zh-CN"/>
        </w:rPr>
        <w:t>及以上资质、工程勘察岩土工程专业甲级</w:t>
      </w:r>
      <w:r>
        <w:rPr>
          <w:rFonts w:hint="eastAsia" w:ascii="宋体" w:hAnsi="宋体" w:eastAsia="宋体" w:cs="宋体"/>
          <w:spacing w:val="-2"/>
          <w:sz w:val="24"/>
          <w:szCs w:val="24"/>
          <w:highlight w:val="none"/>
        </w:rPr>
        <w:t xml:space="preserve">及以上资质； </w:t>
      </w:r>
    </w:p>
    <w:p w14:paraId="0F1F4A40">
      <w:pPr>
        <w:spacing w:before="216" w:line="302" w:lineRule="auto"/>
        <w:ind w:left="20" w:firstLine="473"/>
        <w:rPr>
          <w:rFonts w:hint="eastAsia" w:ascii="宋体" w:hAnsi="宋体" w:eastAsia="宋体" w:cs="宋体"/>
          <w:spacing w:val="-2"/>
          <w:sz w:val="24"/>
          <w:szCs w:val="24"/>
          <w:highlight w:val="none"/>
        </w:rPr>
      </w:pP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设计资质：工程</w:t>
      </w:r>
      <w:r>
        <w:rPr>
          <w:rFonts w:hint="eastAsia" w:ascii="宋体" w:hAnsi="宋体" w:cs="宋体"/>
          <w:spacing w:val="-2"/>
          <w:sz w:val="24"/>
          <w:szCs w:val="24"/>
          <w:highlight w:val="none"/>
          <w:lang w:val="en-US" w:eastAsia="zh-CN"/>
        </w:rPr>
        <w:t>设计</w:t>
      </w:r>
      <w:r>
        <w:rPr>
          <w:rFonts w:hint="eastAsia" w:ascii="宋体" w:hAnsi="宋体" w:eastAsia="宋体" w:cs="宋体"/>
          <w:spacing w:val="-2"/>
          <w:sz w:val="24"/>
          <w:szCs w:val="24"/>
          <w:highlight w:val="none"/>
        </w:rPr>
        <w:t>综合资质甲级</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lang w:val="en-US" w:eastAsia="zh-CN"/>
        </w:rPr>
        <w:t>或</w:t>
      </w:r>
      <w:r>
        <w:rPr>
          <w:rFonts w:hint="eastAsia" w:ascii="宋体" w:hAnsi="宋体" w:eastAsia="宋体" w:cs="宋体"/>
          <w:spacing w:val="-2"/>
          <w:sz w:val="24"/>
          <w:szCs w:val="24"/>
          <w:highlight w:val="none"/>
        </w:rPr>
        <w:t>工程设计公路行业甲级资质，或具有工程设计公路行业（公路工程）专业乙级及以上资质。</w:t>
      </w:r>
    </w:p>
    <w:p w14:paraId="6B229D2C">
      <w:pPr>
        <w:spacing w:before="216" w:line="302" w:lineRule="auto"/>
        <w:ind w:left="20" w:firstLine="473"/>
        <w:rPr>
          <w:rFonts w:ascii="宋体" w:hAnsi="宋体" w:eastAsia="宋体" w:cs="宋体"/>
          <w:sz w:val="24"/>
          <w:szCs w:val="24"/>
          <w:highlight w:val="none"/>
        </w:rPr>
      </w:pPr>
      <w:r>
        <w:rPr>
          <w:rFonts w:hint="eastAsia" w:ascii="宋体" w:hAnsi="宋体" w:eastAsia="宋体" w:cs="宋体"/>
          <w:spacing w:val="-2"/>
          <w:sz w:val="24"/>
          <w:szCs w:val="24"/>
          <w:highlight w:val="none"/>
        </w:rPr>
        <w:t xml:space="preserve"> 具有公路设计资质的投标人应进入交通运输部“全国公路建设市场监督管理系统（https: //hwdms.mot.gov.cn/BMWebSite/）”中的设计企业名录，且投标人名称和资质与该名录中的相应企业名称和资质完全一致。</w:t>
      </w:r>
    </w:p>
    <w:p w14:paraId="655493A3">
      <w:pPr>
        <w:spacing w:before="213" w:line="330" w:lineRule="auto"/>
        <w:ind w:left="8" w:firstLine="485"/>
        <w:rPr>
          <w:rFonts w:ascii="宋体" w:hAnsi="宋体" w:eastAsia="宋体" w:cs="宋体"/>
          <w:sz w:val="24"/>
          <w:szCs w:val="24"/>
          <w:highlight w:val="none"/>
        </w:rPr>
      </w:pPr>
      <w:r>
        <w:rPr>
          <w:rFonts w:ascii="宋体" w:hAnsi="宋体" w:eastAsia="宋体" w:cs="宋体"/>
          <w:spacing w:val="-4"/>
          <w:sz w:val="24"/>
          <w:szCs w:val="24"/>
          <w:highlight w:val="none"/>
        </w:rPr>
        <w:t>3.3</w:t>
      </w:r>
      <w:r>
        <w:rPr>
          <w:rFonts w:ascii="宋体" w:hAnsi="宋体" w:eastAsia="宋体" w:cs="宋体"/>
          <w:spacing w:val="-43"/>
          <w:sz w:val="24"/>
          <w:szCs w:val="24"/>
          <w:highlight w:val="none"/>
        </w:rPr>
        <w:t xml:space="preserve"> </w:t>
      </w:r>
      <w:r>
        <w:rPr>
          <w:rFonts w:hint="eastAsia" w:ascii="宋体" w:hAnsi="宋体" w:cs="宋体"/>
          <w:spacing w:val="-43"/>
          <w:sz w:val="24"/>
          <w:szCs w:val="24"/>
          <w:highlight w:val="none"/>
          <w:lang w:val="en-US" w:eastAsia="zh-CN"/>
        </w:rPr>
        <w:t xml:space="preserve"> </w:t>
      </w:r>
      <w:r>
        <w:rPr>
          <w:rFonts w:ascii="宋体" w:hAnsi="宋体" w:eastAsia="宋体" w:cs="宋体"/>
          <w:spacing w:val="-4"/>
          <w:sz w:val="24"/>
          <w:szCs w:val="24"/>
          <w:highlight w:val="none"/>
        </w:rPr>
        <w:t>业绩要求：</w:t>
      </w:r>
      <w:r>
        <w:rPr>
          <w:rFonts w:hint="eastAsia" w:ascii="宋体" w:hAnsi="宋体" w:cs="宋体"/>
          <w:spacing w:val="-4"/>
          <w:sz w:val="24"/>
          <w:szCs w:val="24"/>
          <w:highlight w:val="none"/>
          <w:lang w:eastAsia="zh-CN"/>
        </w:rPr>
        <w:t>近五年内（2021年1 月1日至投标文件递交截止日，以初步设计批复或施工图设计批复时间为准）至少完成过 1 项二级及以上新（改、扩）建公路（含隧道）的设计业绩</w:t>
      </w:r>
      <w:r>
        <w:rPr>
          <w:rFonts w:ascii="宋体" w:hAnsi="宋体" w:eastAsia="宋体" w:cs="宋体"/>
          <w:spacing w:val="-1"/>
          <w:sz w:val="24"/>
          <w:szCs w:val="24"/>
          <w:highlight w:val="none"/>
        </w:rPr>
        <w:t>。</w:t>
      </w:r>
    </w:p>
    <w:p w14:paraId="46E01A12">
      <w:pPr>
        <w:spacing w:before="215" w:line="343" w:lineRule="auto"/>
        <w:ind w:left="8" w:firstLine="485"/>
        <w:rPr>
          <w:rFonts w:ascii="宋体" w:hAnsi="宋体" w:eastAsia="宋体" w:cs="宋体"/>
          <w:spacing w:val="-1"/>
          <w:sz w:val="24"/>
          <w:szCs w:val="24"/>
          <w:highlight w:val="none"/>
        </w:rPr>
      </w:pPr>
      <w:r>
        <w:rPr>
          <w:rFonts w:ascii="宋体" w:hAnsi="宋体" w:eastAsia="宋体" w:cs="宋体"/>
          <w:spacing w:val="-1"/>
          <w:sz w:val="24"/>
          <w:szCs w:val="24"/>
          <w:highlight w:val="none"/>
        </w:rPr>
        <w:t>3.4</w:t>
      </w:r>
      <w:r>
        <w:rPr>
          <w:rFonts w:hint="eastAsia" w:ascii="宋体" w:hAnsi="宋体" w:cs="宋体"/>
          <w:spacing w:val="-1"/>
          <w:sz w:val="24"/>
          <w:szCs w:val="24"/>
          <w:highlight w:val="none"/>
          <w:lang w:val="en-US" w:eastAsia="zh-CN"/>
        </w:rPr>
        <w:t xml:space="preserve"> </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人员要求：拟委任的项目负责人须具</w:t>
      </w:r>
      <w:r>
        <w:rPr>
          <w:rFonts w:ascii="宋体" w:hAnsi="宋体" w:eastAsia="宋体" w:cs="宋体"/>
          <w:spacing w:val="-2"/>
          <w:sz w:val="24"/>
          <w:szCs w:val="24"/>
          <w:highlight w:val="none"/>
        </w:rPr>
        <w:t>备高级工程师或以上技术职称（公路工程相关专</w:t>
      </w:r>
      <w:r>
        <w:rPr>
          <w:rFonts w:ascii="宋体" w:hAnsi="宋体" w:eastAsia="宋体" w:cs="宋体"/>
          <w:spacing w:val="-4"/>
          <w:sz w:val="24"/>
          <w:szCs w:val="24"/>
          <w:highlight w:val="none"/>
        </w:rPr>
        <w:t>业</w:t>
      </w:r>
      <w:r>
        <w:rPr>
          <w:rFonts w:ascii="宋体" w:hAnsi="宋体" w:eastAsia="宋体" w:cs="宋体"/>
          <w:spacing w:val="-3"/>
          <w:sz w:val="24"/>
          <w:szCs w:val="24"/>
          <w:highlight w:val="none"/>
        </w:rPr>
        <w:t>），</w:t>
      </w:r>
      <w:r>
        <w:rPr>
          <w:rFonts w:ascii="宋体" w:hAnsi="宋体" w:eastAsia="宋体" w:cs="宋体"/>
          <w:spacing w:val="-4"/>
          <w:sz w:val="24"/>
          <w:szCs w:val="24"/>
          <w:highlight w:val="none"/>
        </w:rPr>
        <w:t>作为项目负责人</w:t>
      </w:r>
      <w:r>
        <w:rPr>
          <w:rFonts w:hint="eastAsia" w:ascii="宋体" w:hAnsi="宋体" w:cs="宋体"/>
          <w:spacing w:val="-4"/>
          <w:sz w:val="24"/>
          <w:szCs w:val="24"/>
          <w:highlight w:val="none"/>
          <w:lang w:eastAsia="zh-CN"/>
        </w:rPr>
        <w:t>至少完成过 1 项二级及以上新（改、扩）建公路（含隧道）的设计业绩</w:t>
      </w:r>
      <w:r>
        <w:rPr>
          <w:rFonts w:ascii="宋体" w:hAnsi="宋体" w:eastAsia="宋体" w:cs="宋体"/>
          <w:spacing w:val="-1"/>
          <w:sz w:val="24"/>
          <w:szCs w:val="24"/>
          <w:highlight w:val="none"/>
        </w:rPr>
        <w:t>。</w:t>
      </w:r>
    </w:p>
    <w:p w14:paraId="0E08794B">
      <w:pPr>
        <w:pStyle w:val="2"/>
        <w:ind w:left="0" w:leftChars="0" w:firstLine="0" w:firstLineChars="0"/>
        <w:rPr>
          <w:rFonts w:hint="default" w:eastAsia="宋体"/>
          <w:lang w:val="en-US" w:eastAsia="zh-CN"/>
        </w:rPr>
      </w:pPr>
      <w:r>
        <w:rPr>
          <w:rFonts w:hint="eastAsia" w:ascii="宋体" w:hAnsi="宋体" w:cs="宋体"/>
          <w:spacing w:val="-1"/>
          <w:sz w:val="24"/>
          <w:szCs w:val="24"/>
          <w:highlight w:val="none"/>
          <w:lang w:val="en-US" w:eastAsia="zh-CN"/>
        </w:rPr>
        <w:t xml:space="preserve">    3.5 财务要求：2024年度由会计师事务所出具的财务审计报告；</w:t>
      </w:r>
    </w:p>
    <w:p w14:paraId="0227329E">
      <w:pPr>
        <w:spacing w:before="217" w:line="301" w:lineRule="auto"/>
        <w:ind w:left="10" w:firstLine="483"/>
        <w:rPr>
          <w:rFonts w:hint="eastAsia" w:ascii="宋体" w:hAnsi="宋体" w:eastAsia="宋体" w:cs="宋体"/>
          <w:sz w:val="24"/>
          <w:szCs w:val="24"/>
          <w:highlight w:val="red"/>
          <w:lang w:eastAsia="zh-CN"/>
        </w:rPr>
      </w:pPr>
      <w:r>
        <w:rPr>
          <w:rFonts w:ascii="宋体" w:hAnsi="宋体" w:eastAsia="宋体" w:cs="宋体"/>
          <w:spacing w:val="-3"/>
          <w:sz w:val="24"/>
          <w:szCs w:val="24"/>
        </w:rPr>
        <w:t>3.</w:t>
      </w:r>
      <w:r>
        <w:rPr>
          <w:rFonts w:hint="eastAsia" w:ascii="宋体" w:hAnsi="宋体" w:cs="宋体"/>
          <w:spacing w:val="-3"/>
          <w:sz w:val="24"/>
          <w:szCs w:val="24"/>
          <w:lang w:val="en-US" w:eastAsia="zh-CN"/>
        </w:rPr>
        <w:t>6</w:t>
      </w:r>
      <w:r>
        <w:rPr>
          <w:rFonts w:ascii="宋体" w:hAnsi="宋体" w:eastAsia="宋体" w:cs="宋体"/>
          <w:spacing w:val="-3"/>
          <w:sz w:val="24"/>
          <w:szCs w:val="24"/>
        </w:rPr>
        <w:t xml:space="preserve"> 与招标人存在利害关系</w:t>
      </w:r>
      <w:r>
        <w:rPr>
          <w:rFonts w:hint="eastAsia" w:ascii="宋体" w:hAnsi="宋体" w:cs="宋体"/>
          <w:spacing w:val="-3"/>
          <w:sz w:val="24"/>
          <w:szCs w:val="24"/>
          <w:lang w:val="en-US" w:eastAsia="zh-CN"/>
        </w:rPr>
        <w:t>且</w:t>
      </w:r>
      <w:r>
        <w:rPr>
          <w:rFonts w:ascii="宋体" w:hAnsi="宋体" w:eastAsia="宋体" w:cs="宋体"/>
          <w:spacing w:val="-3"/>
          <w:sz w:val="24"/>
          <w:szCs w:val="24"/>
        </w:rPr>
        <w:t>可能影响招标公正性的单位，不得参加投标。投标人具有下列</w:t>
      </w:r>
      <w:r>
        <w:rPr>
          <w:rFonts w:ascii="宋体" w:hAnsi="宋体" w:eastAsia="宋体" w:cs="宋体"/>
          <w:spacing w:val="14"/>
          <w:sz w:val="24"/>
          <w:szCs w:val="24"/>
        </w:rPr>
        <w:t xml:space="preserve"> </w:t>
      </w:r>
      <w:r>
        <w:rPr>
          <w:rFonts w:ascii="宋体" w:hAnsi="宋体" w:eastAsia="宋体" w:cs="宋体"/>
          <w:spacing w:val="-1"/>
          <w:sz w:val="24"/>
          <w:szCs w:val="24"/>
        </w:rPr>
        <w:t>情况之一的，不得同时参与本项目的投标，否则其投标均无效：</w:t>
      </w:r>
    </w:p>
    <w:p w14:paraId="777546C1">
      <w:pPr>
        <w:spacing w:before="215" w:line="302" w:lineRule="auto"/>
        <w:ind w:left="13" w:firstLine="480"/>
        <w:rPr>
          <w:rFonts w:hint="eastAsia" w:ascii="宋体" w:hAnsi="宋体" w:eastAsia="宋体" w:cs="宋体"/>
          <w:spacing w:val="3"/>
          <w:sz w:val="24"/>
          <w:szCs w:val="24"/>
        </w:rPr>
      </w:pPr>
      <w:r>
        <w:rPr>
          <w:rFonts w:hint="eastAsia" w:ascii="宋体" w:hAnsi="宋体" w:eastAsia="宋体" w:cs="宋体"/>
          <w:spacing w:val="3"/>
          <w:sz w:val="24"/>
          <w:szCs w:val="24"/>
        </w:rPr>
        <w:t>（一）单位负责人为同一人或者存在控股、管理关系的不同单位；</w:t>
      </w:r>
    </w:p>
    <w:p w14:paraId="2924803F">
      <w:pPr>
        <w:spacing w:before="215" w:line="302" w:lineRule="auto"/>
        <w:ind w:left="13" w:firstLine="480"/>
        <w:rPr>
          <w:rFonts w:hint="eastAsia" w:ascii="宋体" w:hAnsi="宋体" w:eastAsia="宋体" w:cs="宋体"/>
          <w:spacing w:val="3"/>
          <w:sz w:val="24"/>
          <w:szCs w:val="24"/>
        </w:rPr>
      </w:pPr>
      <w:r>
        <w:rPr>
          <w:rFonts w:hint="eastAsia" w:ascii="宋体" w:hAnsi="宋体" w:eastAsia="宋体" w:cs="宋体"/>
          <w:spacing w:val="3"/>
          <w:sz w:val="24"/>
          <w:szCs w:val="24"/>
        </w:rPr>
        <w:t>（二）对招投标造成影响的具有投资参股关系的关联企业；</w:t>
      </w:r>
    </w:p>
    <w:p w14:paraId="5F9AABFB">
      <w:pPr>
        <w:spacing w:before="215" w:line="302" w:lineRule="auto"/>
        <w:ind w:left="13" w:firstLine="480"/>
        <w:rPr>
          <w:rFonts w:hint="eastAsia" w:ascii="宋体" w:hAnsi="宋体" w:eastAsia="宋体" w:cs="宋体"/>
          <w:spacing w:val="3"/>
          <w:sz w:val="24"/>
          <w:szCs w:val="24"/>
        </w:rPr>
      </w:pPr>
      <w:r>
        <w:rPr>
          <w:rFonts w:hint="eastAsia" w:ascii="宋体" w:hAnsi="宋体" w:eastAsia="宋体" w:cs="宋体"/>
          <w:spacing w:val="3"/>
          <w:sz w:val="24"/>
          <w:szCs w:val="24"/>
        </w:rPr>
        <w:t>（三）董事、监事、总经理、副总经理和财务负责人相互兼职的关联企业；</w:t>
      </w:r>
    </w:p>
    <w:p w14:paraId="1621B4E9">
      <w:pPr>
        <w:spacing w:before="215" w:line="302" w:lineRule="auto"/>
        <w:ind w:left="13" w:firstLine="480"/>
        <w:rPr>
          <w:rFonts w:hint="eastAsia" w:ascii="宋体" w:hAnsi="宋体" w:eastAsia="宋体" w:cs="宋体"/>
          <w:spacing w:val="3"/>
          <w:sz w:val="24"/>
          <w:szCs w:val="24"/>
        </w:rPr>
      </w:pPr>
      <w:r>
        <w:rPr>
          <w:rFonts w:hint="eastAsia" w:ascii="宋体" w:hAnsi="宋体" w:eastAsia="宋体" w:cs="宋体"/>
          <w:spacing w:val="3"/>
          <w:sz w:val="24"/>
          <w:szCs w:val="24"/>
        </w:rPr>
        <w:t>（四）法律法规规章规定的具有关联关系的其他情形。</w:t>
      </w:r>
    </w:p>
    <w:p w14:paraId="06F0DDAD">
      <w:pPr>
        <w:spacing w:before="215" w:line="302" w:lineRule="auto"/>
        <w:ind w:left="13" w:firstLine="480"/>
        <w:rPr>
          <w:rFonts w:ascii="宋体" w:hAnsi="宋体" w:eastAsia="宋体" w:cs="宋体"/>
          <w:sz w:val="24"/>
          <w:szCs w:val="24"/>
        </w:rPr>
      </w:pPr>
      <w:r>
        <w:rPr>
          <w:rFonts w:ascii="宋体" w:hAnsi="宋体" w:eastAsia="宋体" w:cs="宋体"/>
          <w:spacing w:val="3"/>
          <w:sz w:val="24"/>
          <w:szCs w:val="24"/>
        </w:rPr>
        <w:t>3.</w:t>
      </w:r>
      <w:r>
        <w:rPr>
          <w:rFonts w:hint="eastAsia" w:ascii="宋体" w:hAnsi="宋体" w:cs="宋体"/>
          <w:spacing w:val="3"/>
          <w:sz w:val="24"/>
          <w:szCs w:val="24"/>
          <w:lang w:val="en-US" w:eastAsia="zh-CN"/>
        </w:rPr>
        <w:t>7</w:t>
      </w:r>
      <w:r>
        <w:rPr>
          <w:rFonts w:ascii="宋体" w:hAnsi="宋体" w:eastAsia="宋体" w:cs="宋体"/>
          <w:spacing w:val="3"/>
          <w:sz w:val="24"/>
          <w:szCs w:val="24"/>
        </w:rPr>
        <w:t xml:space="preserve"> 凡被交通运输部或山西省交通运输厅取消投标资格或禁止进入公路建设市场的</w:t>
      </w:r>
      <w:r>
        <w:rPr>
          <w:rFonts w:ascii="宋体" w:hAnsi="宋体" w:eastAsia="宋体" w:cs="宋体"/>
          <w:spacing w:val="-1"/>
          <w:sz w:val="24"/>
          <w:szCs w:val="24"/>
        </w:rPr>
        <w:t>设计企业，在处罚期内无资格参与本项目的投标。</w:t>
      </w:r>
    </w:p>
    <w:p w14:paraId="5F5EC8EC">
      <w:pPr>
        <w:spacing w:before="216" w:line="302" w:lineRule="auto"/>
        <w:ind w:left="15" w:right="2" w:firstLine="479"/>
        <w:rPr>
          <w:rFonts w:ascii="宋体" w:hAnsi="宋体" w:eastAsia="宋体" w:cs="宋体"/>
          <w:sz w:val="24"/>
          <w:szCs w:val="24"/>
        </w:rPr>
      </w:pPr>
      <w:r>
        <w:rPr>
          <w:rFonts w:ascii="宋体" w:hAnsi="宋体" w:eastAsia="宋体" w:cs="宋体"/>
          <w:sz w:val="24"/>
          <w:szCs w:val="24"/>
        </w:rPr>
        <w:t>3.</w:t>
      </w:r>
      <w:r>
        <w:rPr>
          <w:rFonts w:hint="eastAsia" w:ascii="宋体" w:hAnsi="宋体" w:cs="宋体"/>
          <w:sz w:val="24"/>
          <w:szCs w:val="24"/>
          <w:lang w:val="en-US" w:eastAsia="zh-CN"/>
        </w:rPr>
        <w:t>8</w:t>
      </w:r>
      <w:r>
        <w:rPr>
          <w:rFonts w:ascii="宋体" w:hAnsi="宋体" w:eastAsia="宋体" w:cs="宋体"/>
          <w:sz w:val="24"/>
          <w:szCs w:val="24"/>
        </w:rPr>
        <w:t xml:space="preserve"> 投标人在“信用中国</w:t>
      </w:r>
      <w:r>
        <w:rPr>
          <w:rFonts w:ascii="宋体" w:hAnsi="宋体" w:eastAsia="宋体" w:cs="宋体"/>
          <w:spacing w:val="-86"/>
          <w:sz w:val="24"/>
          <w:szCs w:val="24"/>
        </w:rPr>
        <w:t xml:space="preserve"> </w:t>
      </w:r>
      <w:r>
        <w:rPr>
          <w:rFonts w:ascii="宋体" w:hAnsi="宋体" w:eastAsia="宋体" w:cs="宋体"/>
          <w:sz w:val="24"/>
          <w:szCs w:val="24"/>
        </w:rPr>
        <w:t>”网站（http：//www.c</w:t>
      </w:r>
      <w:r>
        <w:rPr>
          <w:rFonts w:ascii="宋体" w:hAnsi="宋体" w:eastAsia="宋体" w:cs="宋体"/>
          <w:spacing w:val="-1"/>
          <w:sz w:val="24"/>
          <w:szCs w:val="24"/>
        </w:rPr>
        <w:t>reditchina.gov.cn/）中未被列入严重</w:t>
      </w:r>
      <w:r>
        <w:rPr>
          <w:rFonts w:ascii="宋体" w:hAnsi="宋体" w:eastAsia="宋体" w:cs="宋体"/>
          <w:sz w:val="24"/>
          <w:szCs w:val="24"/>
        </w:rPr>
        <w:t xml:space="preserve"> </w:t>
      </w:r>
      <w:r>
        <w:rPr>
          <w:rFonts w:ascii="宋体" w:hAnsi="宋体" w:eastAsia="宋体" w:cs="宋体"/>
          <w:spacing w:val="-3"/>
          <w:sz w:val="24"/>
          <w:szCs w:val="24"/>
        </w:rPr>
        <w:t>失信主体名单。</w:t>
      </w:r>
    </w:p>
    <w:p w14:paraId="20531DD9">
      <w:pPr>
        <w:spacing w:before="213" w:line="303" w:lineRule="auto"/>
        <w:ind w:left="9" w:firstLine="484"/>
        <w:rPr>
          <w:rFonts w:ascii="宋体" w:hAnsi="宋体" w:eastAsia="宋体" w:cs="宋体"/>
          <w:sz w:val="24"/>
          <w:szCs w:val="24"/>
        </w:rPr>
      </w:pPr>
      <w:r>
        <w:rPr>
          <w:rFonts w:ascii="宋体" w:hAnsi="宋体" w:eastAsia="宋体" w:cs="宋体"/>
          <w:sz w:val="24"/>
          <w:szCs w:val="24"/>
        </w:rPr>
        <w:t>3.</w:t>
      </w:r>
      <w:r>
        <w:rPr>
          <w:rFonts w:hint="eastAsia" w:ascii="宋体" w:hAnsi="宋体" w:cs="宋体"/>
          <w:sz w:val="24"/>
          <w:szCs w:val="24"/>
          <w:lang w:val="en-US" w:eastAsia="zh-CN"/>
        </w:rPr>
        <w:t>9</w:t>
      </w:r>
      <w:r>
        <w:rPr>
          <w:rFonts w:ascii="宋体" w:hAnsi="宋体" w:eastAsia="宋体" w:cs="宋体"/>
          <w:sz w:val="24"/>
          <w:szCs w:val="24"/>
        </w:rPr>
        <w:t xml:space="preserve"> 投标人在国家企业信用信息公示系统（http://www.gsxt.gov.cn/）中未被列入</w:t>
      </w:r>
      <w:r>
        <w:rPr>
          <w:rFonts w:hint="eastAsia" w:ascii="宋体" w:hAnsi="宋体" w:cs="宋体"/>
          <w:sz w:val="24"/>
          <w:szCs w:val="24"/>
          <w:lang w:eastAsia="zh-CN"/>
        </w:rPr>
        <w:t>严重违法失信名单（黑名单）</w:t>
      </w:r>
      <w:r>
        <w:rPr>
          <w:rFonts w:ascii="宋体" w:hAnsi="宋体" w:eastAsia="宋体" w:cs="宋体"/>
          <w:spacing w:val="-2"/>
          <w:sz w:val="24"/>
          <w:szCs w:val="24"/>
        </w:rPr>
        <w:t>。</w:t>
      </w:r>
    </w:p>
    <w:p w14:paraId="48904389">
      <w:pPr>
        <w:spacing w:before="213" w:line="303" w:lineRule="auto"/>
        <w:ind w:left="9" w:firstLine="484"/>
        <w:rPr>
          <w:rFonts w:ascii="宋体" w:hAnsi="宋体" w:eastAsia="宋体" w:cs="宋体"/>
          <w:sz w:val="24"/>
          <w:szCs w:val="24"/>
        </w:rPr>
      </w:pPr>
      <w:r>
        <w:rPr>
          <w:rFonts w:ascii="宋体" w:hAnsi="宋体" w:eastAsia="宋体" w:cs="宋体"/>
          <w:sz w:val="24"/>
          <w:szCs w:val="24"/>
        </w:rPr>
        <w:t>3.</w:t>
      </w:r>
      <w:r>
        <w:rPr>
          <w:rFonts w:hint="eastAsia" w:ascii="宋体" w:hAnsi="宋体" w:cs="宋体"/>
          <w:sz w:val="24"/>
          <w:szCs w:val="24"/>
          <w:lang w:val="en-US" w:eastAsia="zh-CN"/>
        </w:rPr>
        <w:t>10</w:t>
      </w:r>
      <w:r>
        <w:rPr>
          <w:rFonts w:ascii="宋体" w:hAnsi="宋体" w:eastAsia="宋体" w:cs="宋体"/>
          <w:sz w:val="24"/>
          <w:szCs w:val="24"/>
        </w:rPr>
        <w:t xml:space="preserve"> 投标人及其法定代表人、拟任项目负责人在</w:t>
      </w:r>
      <w:r>
        <w:rPr>
          <w:rFonts w:hint="eastAsia" w:ascii="宋体" w:hAnsi="宋体" w:cs="宋体"/>
          <w:sz w:val="24"/>
          <w:szCs w:val="24"/>
          <w:lang w:eastAsia="zh-CN"/>
        </w:rPr>
        <w:t xml:space="preserve">近三年内（2023年 1 月 </w:t>
      </w:r>
      <w:r>
        <w:rPr>
          <w:rFonts w:hint="eastAsia" w:ascii="宋体" w:hAnsi="宋体" w:cs="宋体"/>
          <w:sz w:val="24"/>
          <w:szCs w:val="24"/>
          <w:lang w:val="en-US" w:eastAsia="zh-CN"/>
        </w:rPr>
        <w:t>1</w:t>
      </w:r>
      <w:r>
        <w:rPr>
          <w:rFonts w:hint="eastAsia" w:ascii="宋体" w:hAnsi="宋体" w:cs="宋体"/>
          <w:sz w:val="24"/>
          <w:szCs w:val="24"/>
          <w:lang w:eastAsia="zh-CN"/>
        </w:rPr>
        <w:t xml:space="preserve"> 日至今）</w:t>
      </w:r>
      <w:r>
        <w:rPr>
          <w:rFonts w:ascii="宋体" w:hAnsi="宋体" w:eastAsia="宋体" w:cs="宋体"/>
          <w:sz w:val="24"/>
          <w:szCs w:val="24"/>
        </w:rPr>
        <w:t>无行贿犯罪行为。</w:t>
      </w:r>
    </w:p>
    <w:p w14:paraId="56134F9F">
      <w:pPr>
        <w:spacing w:before="213" w:line="303" w:lineRule="auto"/>
        <w:ind w:left="9" w:firstLine="48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本项目不接受联合体</w:t>
      </w:r>
      <w:r>
        <w:rPr>
          <w:rFonts w:hint="eastAsia" w:ascii="宋体" w:hAnsi="宋体" w:cs="宋体"/>
          <w:sz w:val="24"/>
          <w:szCs w:val="24"/>
          <w:lang w:val="en-US" w:eastAsia="zh-CN"/>
        </w:rPr>
        <w:t>。</w:t>
      </w:r>
    </w:p>
    <w:p w14:paraId="7E4AD69F">
      <w:pPr>
        <w:topLinePunct/>
        <w:spacing w:before="120" w:beforeLines="50" w:after="120" w:afterLines="50" w:line="460" w:lineRule="exact"/>
        <w:outlineLvl w:val="1"/>
        <w:rPr>
          <w:rFonts w:hint="eastAsia" w:eastAsia="黑体"/>
          <w:bCs/>
          <w:color w:val="auto"/>
          <w:sz w:val="28"/>
          <w:szCs w:val="28"/>
          <w:highlight w:val="none"/>
          <w:lang w:val="en-US" w:eastAsia="zh-CN"/>
        </w:rPr>
      </w:pPr>
      <w:r>
        <w:rPr>
          <w:rFonts w:hint="eastAsia" w:eastAsia="黑体"/>
          <w:bCs/>
          <w:color w:val="auto"/>
          <w:sz w:val="28"/>
          <w:szCs w:val="28"/>
          <w:highlight w:val="none"/>
          <w:lang w:val="en-US" w:eastAsia="zh-CN"/>
        </w:rPr>
        <w:t>4、评标办法（双信封形式技术评分综合评分法）</w:t>
      </w:r>
    </w:p>
    <w:p w14:paraId="139ECE24">
      <w:pPr>
        <w:wordWrap w:val="0"/>
        <w:topLinePunct/>
        <w:spacing w:line="440" w:lineRule="exact"/>
        <w:jc w:val="center"/>
        <w:outlineLvl w:val="1"/>
        <w:rPr>
          <w:rFonts w:eastAsia="黑体"/>
          <w:color w:val="auto"/>
          <w:sz w:val="24"/>
          <w:szCs w:val="28"/>
          <w:highlight w:val="none"/>
        </w:rPr>
      </w:pPr>
      <w:bookmarkStart w:id="8" w:name="_Toc396460496"/>
      <w:bookmarkStart w:id="9" w:name="_Toc447602753"/>
      <w:bookmarkStart w:id="10" w:name="_Toc447145191"/>
      <w:bookmarkStart w:id="11" w:name="_Toc396461664"/>
      <w:r>
        <w:rPr>
          <w:rFonts w:eastAsia="黑体"/>
          <w:color w:val="auto"/>
          <w:sz w:val="24"/>
          <w:szCs w:val="28"/>
          <w:highlight w:val="none"/>
        </w:rPr>
        <w:t>评标办法前附表</w:t>
      </w:r>
      <w:bookmarkEnd w:id="8"/>
      <w:bookmarkEnd w:id="9"/>
      <w:bookmarkEnd w:id="10"/>
      <w:bookmarkEnd w:id="11"/>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254"/>
        <w:gridCol w:w="6357"/>
      </w:tblGrid>
      <w:tr w14:paraId="1730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137" w:type="dxa"/>
            <w:gridSpan w:val="2"/>
            <w:noWrap w:val="0"/>
            <w:vAlign w:val="center"/>
          </w:tcPr>
          <w:p w14:paraId="3FA21DE0">
            <w:pPr>
              <w:snapToGrid w:val="0"/>
              <w:jc w:val="center"/>
              <w:rPr>
                <w:rFonts w:hAnsi="宋体"/>
                <w:b/>
                <w:color w:val="auto"/>
                <w:szCs w:val="21"/>
                <w:highlight w:val="none"/>
              </w:rPr>
            </w:pPr>
            <w:r>
              <w:rPr>
                <w:rFonts w:hAnsi="宋体"/>
                <w:b/>
                <w:color w:val="auto"/>
                <w:szCs w:val="21"/>
                <w:highlight w:val="none"/>
              </w:rPr>
              <w:t>条款号/名称</w:t>
            </w:r>
          </w:p>
        </w:tc>
        <w:tc>
          <w:tcPr>
            <w:tcW w:w="6357" w:type="dxa"/>
            <w:noWrap w:val="0"/>
            <w:vAlign w:val="center"/>
          </w:tcPr>
          <w:p w14:paraId="289A4608">
            <w:pPr>
              <w:snapToGrid w:val="0"/>
              <w:jc w:val="center"/>
              <w:rPr>
                <w:rFonts w:hAnsi="宋体"/>
                <w:b/>
                <w:color w:val="auto"/>
                <w:szCs w:val="21"/>
                <w:highlight w:val="none"/>
              </w:rPr>
            </w:pPr>
            <w:r>
              <w:rPr>
                <w:rFonts w:hAnsi="宋体"/>
                <w:b/>
                <w:color w:val="auto"/>
                <w:szCs w:val="21"/>
                <w:highlight w:val="none"/>
              </w:rPr>
              <w:t>评审因素与标准</w:t>
            </w:r>
          </w:p>
        </w:tc>
      </w:tr>
      <w:tr w14:paraId="7ED0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83" w:type="dxa"/>
            <w:noWrap w:val="0"/>
            <w:vAlign w:val="center"/>
          </w:tcPr>
          <w:p w14:paraId="02DC476E">
            <w:pPr>
              <w:snapToGrid w:val="0"/>
              <w:jc w:val="center"/>
              <w:rPr>
                <w:rFonts w:hAnsi="宋体"/>
                <w:b/>
                <w:color w:val="auto"/>
                <w:szCs w:val="21"/>
                <w:highlight w:val="none"/>
              </w:rPr>
            </w:pPr>
            <w:r>
              <w:rPr>
                <w:rFonts w:hint="eastAsia" w:hAnsi="宋体"/>
                <w:color w:val="auto"/>
                <w:szCs w:val="21"/>
                <w:highlight w:val="none"/>
              </w:rPr>
              <w:t>1</w:t>
            </w:r>
          </w:p>
        </w:tc>
        <w:tc>
          <w:tcPr>
            <w:tcW w:w="1254" w:type="dxa"/>
            <w:noWrap w:val="0"/>
            <w:vAlign w:val="center"/>
          </w:tcPr>
          <w:p w14:paraId="2CF3B551">
            <w:pPr>
              <w:snapToGrid w:val="0"/>
              <w:jc w:val="center"/>
              <w:rPr>
                <w:rFonts w:hAnsi="宋体"/>
                <w:color w:val="auto"/>
                <w:szCs w:val="21"/>
                <w:highlight w:val="none"/>
              </w:rPr>
            </w:pPr>
            <w:r>
              <w:rPr>
                <w:rFonts w:hint="eastAsia" w:ascii="宋体" w:hAnsi="宋体"/>
                <w:color w:val="auto"/>
                <w:szCs w:val="21"/>
                <w:highlight w:val="none"/>
              </w:rPr>
              <w:t>评标办法</w:t>
            </w:r>
          </w:p>
        </w:tc>
        <w:tc>
          <w:tcPr>
            <w:tcW w:w="6357" w:type="dxa"/>
            <w:noWrap w:val="0"/>
            <w:vAlign w:val="center"/>
          </w:tcPr>
          <w:p w14:paraId="6FDB2340">
            <w:pPr>
              <w:snapToGrid w:val="0"/>
              <w:spacing w:line="288" w:lineRule="auto"/>
              <w:rPr>
                <w:rFonts w:hAnsi="宋体"/>
                <w:color w:val="auto"/>
                <w:szCs w:val="21"/>
                <w:highlight w:val="none"/>
              </w:rPr>
            </w:pPr>
            <w:r>
              <w:rPr>
                <w:rFonts w:hint="eastAsia" w:hAnsi="宋体"/>
                <w:color w:val="auto"/>
                <w:szCs w:val="21"/>
                <w:highlight w:val="none"/>
              </w:rPr>
              <w:t>综合评分相等时，评标委员会依次按照以下优先顺序推荐中标候选人或确定中标人：</w:t>
            </w:r>
          </w:p>
          <w:p w14:paraId="33F2C00F">
            <w:pPr>
              <w:snapToGrid w:val="0"/>
              <w:spacing w:line="288" w:lineRule="auto"/>
              <w:rPr>
                <w:rFonts w:hAnsi="宋体"/>
                <w:color w:val="auto"/>
                <w:szCs w:val="21"/>
                <w:highlight w:val="none"/>
              </w:rPr>
            </w:pPr>
            <w:r>
              <w:rPr>
                <w:rFonts w:hint="eastAsia" w:hAnsi="宋体"/>
                <w:color w:val="auto"/>
                <w:szCs w:val="21"/>
                <w:highlight w:val="none"/>
              </w:rPr>
              <w:t>（1）评标价低的投标人优先；</w:t>
            </w:r>
          </w:p>
          <w:p w14:paraId="04E5795A">
            <w:pPr>
              <w:snapToGrid w:val="0"/>
              <w:spacing w:line="288" w:lineRule="auto"/>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）技术得分较高的投标人优先；</w:t>
            </w:r>
          </w:p>
          <w:p w14:paraId="3DD870E0">
            <w:pPr>
              <w:snapToGrid w:val="0"/>
              <w:spacing w:line="288" w:lineRule="auto"/>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）以202</w:t>
            </w:r>
            <w:r>
              <w:rPr>
                <w:rFonts w:hint="eastAsia" w:hAnsi="宋体"/>
                <w:color w:val="auto"/>
                <w:szCs w:val="21"/>
                <w:highlight w:val="none"/>
                <w:lang w:val="en-US" w:eastAsia="zh-CN"/>
              </w:rPr>
              <w:t>4</w:t>
            </w:r>
            <w:r>
              <w:rPr>
                <w:rFonts w:hint="eastAsia" w:hAnsi="宋体"/>
                <w:color w:val="auto"/>
                <w:szCs w:val="21"/>
                <w:highlight w:val="none"/>
              </w:rPr>
              <w:t>年度</w:t>
            </w:r>
            <w:r>
              <w:rPr>
                <w:rFonts w:hint="eastAsia" w:hAnsi="宋体"/>
                <w:color w:val="auto"/>
                <w:szCs w:val="21"/>
                <w:highlight w:val="none"/>
                <w:lang w:val="en-US" w:eastAsia="zh-CN"/>
              </w:rPr>
              <w:t>山西省交通运输厅</w:t>
            </w:r>
            <w:r>
              <w:rPr>
                <w:rFonts w:hint="eastAsia" w:hAnsi="宋体"/>
                <w:color w:val="auto"/>
                <w:szCs w:val="21"/>
                <w:highlight w:val="none"/>
              </w:rPr>
              <w:t>信用等级较高的投标人优先；</w:t>
            </w:r>
          </w:p>
          <w:p w14:paraId="0017C9E6">
            <w:pPr>
              <w:snapToGrid w:val="0"/>
              <w:spacing w:line="288" w:lineRule="auto"/>
              <w:rPr>
                <w:rFonts w:hAnsi="宋体" w:cs="宋体"/>
                <w:color w:val="auto"/>
                <w:szCs w:val="21"/>
                <w:highlight w:val="none"/>
              </w:rPr>
            </w:pPr>
            <w:r>
              <w:rPr>
                <w:rFonts w:hint="eastAsia" w:hAnsi="宋体"/>
                <w:color w:val="auto"/>
                <w:szCs w:val="21"/>
                <w:highlight w:val="none"/>
              </w:rPr>
              <w:t>（4）最终投标文件上传至交易平台较早的投标人优先</w:t>
            </w:r>
            <w:r>
              <w:rPr>
                <w:rFonts w:hAnsi="宋体"/>
                <w:color w:val="auto"/>
                <w:szCs w:val="21"/>
                <w:highlight w:val="none"/>
              </w:rPr>
              <w:t>。</w:t>
            </w:r>
          </w:p>
        </w:tc>
      </w:tr>
      <w:tr w14:paraId="58C8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5D00E9C9">
            <w:pPr>
              <w:jc w:val="center"/>
              <w:rPr>
                <w:rFonts w:cs="Arial"/>
                <w:color w:val="auto"/>
                <w:szCs w:val="21"/>
                <w:highlight w:val="none"/>
              </w:rPr>
            </w:pPr>
            <w:r>
              <w:rPr>
                <w:rFonts w:cs="Arial"/>
                <w:color w:val="auto"/>
                <w:szCs w:val="21"/>
                <w:highlight w:val="none"/>
              </w:rPr>
              <w:t>2.1.1</w:t>
            </w:r>
          </w:p>
          <w:p w14:paraId="5A3A00C2">
            <w:pPr>
              <w:jc w:val="center"/>
              <w:rPr>
                <w:rFonts w:cs="Arial"/>
                <w:color w:val="auto"/>
                <w:szCs w:val="21"/>
                <w:highlight w:val="none"/>
              </w:rPr>
            </w:pPr>
            <w:r>
              <w:rPr>
                <w:rFonts w:cs="Arial"/>
                <w:color w:val="auto"/>
                <w:szCs w:val="21"/>
                <w:highlight w:val="none"/>
              </w:rPr>
              <w:t>2.1.3</w:t>
            </w:r>
          </w:p>
        </w:tc>
        <w:tc>
          <w:tcPr>
            <w:tcW w:w="1254" w:type="dxa"/>
            <w:noWrap w:val="0"/>
            <w:vAlign w:val="center"/>
          </w:tcPr>
          <w:p w14:paraId="6FD203A9">
            <w:pPr>
              <w:jc w:val="center"/>
              <w:rPr>
                <w:rFonts w:cs="Arial"/>
                <w:color w:val="auto"/>
                <w:szCs w:val="21"/>
                <w:highlight w:val="none"/>
              </w:rPr>
            </w:pPr>
            <w:r>
              <w:rPr>
                <w:rFonts w:hAnsi="宋体" w:cs="Arial"/>
                <w:color w:val="auto"/>
                <w:szCs w:val="21"/>
                <w:highlight w:val="none"/>
              </w:rPr>
              <w:t>形式评审与响应性评审标准</w:t>
            </w:r>
          </w:p>
        </w:tc>
        <w:tc>
          <w:tcPr>
            <w:tcW w:w="6357" w:type="dxa"/>
            <w:noWrap w:val="0"/>
            <w:vAlign w:val="center"/>
          </w:tcPr>
          <w:p w14:paraId="0A932266">
            <w:pPr>
              <w:pStyle w:val="13"/>
              <w:jc w:val="both"/>
              <w:rPr>
                <w:b/>
                <w:color w:val="auto"/>
                <w:sz w:val="21"/>
                <w:szCs w:val="21"/>
                <w:highlight w:val="none"/>
              </w:rPr>
            </w:pPr>
            <w:r>
              <w:rPr>
                <w:rFonts w:hint="eastAsia"/>
                <w:b/>
                <w:color w:val="auto"/>
                <w:sz w:val="21"/>
                <w:szCs w:val="21"/>
                <w:highlight w:val="none"/>
              </w:rPr>
              <w:t>第一个信封（商务及技术文件）评审标准：</w:t>
            </w:r>
          </w:p>
          <w:p w14:paraId="3CB01B6F">
            <w:pPr>
              <w:snapToGrid w:val="0"/>
              <w:spacing w:line="288" w:lineRule="auto"/>
              <w:rPr>
                <w:rFonts w:hAnsi="宋体"/>
                <w:color w:val="auto"/>
                <w:szCs w:val="21"/>
                <w:highlight w:val="none"/>
              </w:rPr>
            </w:pPr>
            <w:r>
              <w:rPr>
                <w:rFonts w:hint="eastAsia" w:hAnsi="宋体"/>
                <w:color w:val="auto"/>
                <w:szCs w:val="21"/>
                <w:highlight w:val="none"/>
              </w:rPr>
              <w:t>（1）投标文件按照招标文件规定的格式、内容填写，字迹清晰可辩：</w:t>
            </w:r>
          </w:p>
          <w:p w14:paraId="21527195">
            <w:pPr>
              <w:snapToGrid w:val="0"/>
              <w:spacing w:line="288" w:lineRule="auto"/>
              <w:rPr>
                <w:rFonts w:hAnsi="宋体"/>
                <w:color w:val="auto"/>
                <w:szCs w:val="21"/>
                <w:highlight w:val="none"/>
              </w:rPr>
            </w:pPr>
            <w:r>
              <w:rPr>
                <w:rFonts w:hint="eastAsia" w:hAnsi="宋体"/>
                <w:color w:val="auto"/>
                <w:szCs w:val="21"/>
                <w:highlight w:val="none"/>
              </w:rPr>
              <w:t>a.投标函按招标文件规定填报了项目名称、补遗书编号（如有）、</w:t>
            </w:r>
            <w:r>
              <w:rPr>
                <w:rFonts w:hint="eastAsia" w:hAnsi="宋体"/>
                <w:color w:val="auto"/>
                <w:szCs w:val="21"/>
                <w:highlight w:val="none"/>
                <w:lang w:eastAsia="zh-CN"/>
              </w:rPr>
              <w:t>设计</w:t>
            </w:r>
            <w:r>
              <w:rPr>
                <w:rFonts w:hint="eastAsia" w:hAnsi="宋体"/>
                <w:color w:val="auto"/>
                <w:szCs w:val="21"/>
                <w:highlight w:val="none"/>
              </w:rPr>
              <w:t>服务期限、工程质量要求及安全目标；</w:t>
            </w:r>
          </w:p>
          <w:p w14:paraId="0E2F5CB8">
            <w:pPr>
              <w:snapToGrid w:val="0"/>
              <w:spacing w:line="288" w:lineRule="auto"/>
              <w:rPr>
                <w:rFonts w:hAnsi="宋体"/>
                <w:color w:val="auto"/>
                <w:szCs w:val="21"/>
                <w:highlight w:val="none"/>
              </w:rPr>
            </w:pPr>
            <w:r>
              <w:rPr>
                <w:rFonts w:hint="eastAsia" w:hAnsi="宋体"/>
                <w:color w:val="auto"/>
                <w:szCs w:val="21"/>
                <w:highlight w:val="none"/>
              </w:rPr>
              <w:t>b.投标文件组成齐全完整，内容均按规定填写；</w:t>
            </w:r>
          </w:p>
          <w:p w14:paraId="1F193A38">
            <w:pPr>
              <w:snapToGrid w:val="0"/>
              <w:spacing w:line="288" w:lineRule="auto"/>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）投标人按照</w:t>
            </w:r>
            <w:r>
              <w:rPr>
                <w:rFonts w:hint="eastAsia" w:hAnsi="宋体"/>
                <w:color w:val="auto"/>
                <w:szCs w:val="21"/>
                <w:highlight w:val="none"/>
                <w:lang w:val="en-US" w:eastAsia="zh-CN"/>
              </w:rPr>
              <w:t>投标人须知前附表3.4.1</w:t>
            </w:r>
            <w:r>
              <w:rPr>
                <w:rFonts w:hint="eastAsia" w:hAnsi="宋体"/>
                <w:color w:val="auto"/>
                <w:szCs w:val="21"/>
                <w:highlight w:val="none"/>
              </w:rPr>
              <w:t>规定提供了投标保证金</w:t>
            </w:r>
            <w:r>
              <w:rPr>
                <w:rFonts w:hint="eastAsia" w:hAnsi="宋体"/>
                <w:color w:val="auto"/>
                <w:szCs w:val="21"/>
                <w:highlight w:val="none"/>
                <w:lang w:eastAsia="zh-CN"/>
              </w:rPr>
              <w:t>。</w:t>
            </w: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）投标文件上法定代表人的电子签名、投标人单位的电子签章齐全，符合</w:t>
            </w:r>
            <w:r>
              <w:rPr>
                <w:rFonts w:hAnsi="宋体"/>
                <w:color w:val="auto"/>
                <w:szCs w:val="21"/>
                <w:highlight w:val="none"/>
              </w:rPr>
              <w:t>招标文件</w:t>
            </w:r>
            <w:r>
              <w:rPr>
                <w:rFonts w:hint="eastAsia" w:hAnsi="宋体"/>
                <w:color w:val="auto"/>
                <w:szCs w:val="21"/>
                <w:highlight w:val="none"/>
                <w:lang w:val="en-US" w:eastAsia="zh-CN"/>
              </w:rPr>
              <w:t>投标人须知前附表3.7.3</w:t>
            </w:r>
            <w:r>
              <w:rPr>
                <w:rFonts w:hint="eastAsia" w:hAnsi="宋体"/>
                <w:color w:val="auto"/>
                <w:szCs w:val="21"/>
                <w:highlight w:val="none"/>
              </w:rPr>
              <w:t>规定。</w:t>
            </w:r>
          </w:p>
          <w:p w14:paraId="187D965B">
            <w:pPr>
              <w:snapToGrid w:val="0"/>
              <w:spacing w:line="288" w:lineRule="auto"/>
              <w:rPr>
                <w:rFonts w:hint="eastAsia" w:hAnsi="宋体" w:eastAsia="宋体"/>
                <w:color w:val="auto"/>
                <w:szCs w:val="21"/>
                <w:highlight w:val="none"/>
                <w:lang w:eastAsia="zh-CN"/>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）投标人未以联合体形式投标</w:t>
            </w:r>
            <w:r>
              <w:rPr>
                <w:rFonts w:hint="eastAsia" w:hAnsi="宋体"/>
                <w:color w:val="auto"/>
                <w:szCs w:val="21"/>
                <w:highlight w:val="none"/>
                <w:lang w:eastAsia="zh-CN"/>
              </w:rPr>
              <w:t>。</w:t>
            </w:r>
          </w:p>
          <w:p w14:paraId="2F20AF1C">
            <w:pPr>
              <w:snapToGrid w:val="0"/>
              <w:spacing w:line="288" w:lineRule="auto"/>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5</w:t>
            </w:r>
            <w:r>
              <w:rPr>
                <w:rFonts w:hint="eastAsia" w:hAnsi="宋体"/>
                <w:color w:val="auto"/>
                <w:szCs w:val="21"/>
                <w:highlight w:val="none"/>
              </w:rPr>
              <w:t>）同一投标人未提交两个以上不同的投标文件。</w:t>
            </w:r>
          </w:p>
          <w:p w14:paraId="6E7B6288">
            <w:pPr>
              <w:snapToGrid w:val="0"/>
              <w:spacing w:line="288" w:lineRule="auto"/>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6</w:t>
            </w:r>
            <w:r>
              <w:rPr>
                <w:rFonts w:hint="eastAsia" w:hAnsi="宋体"/>
                <w:color w:val="auto"/>
                <w:szCs w:val="21"/>
                <w:highlight w:val="none"/>
              </w:rPr>
              <w:t>）投标文件中未出现有关投标报价的内容。</w:t>
            </w:r>
          </w:p>
          <w:p w14:paraId="06DADF04">
            <w:pPr>
              <w:snapToGrid w:val="0"/>
              <w:spacing w:line="288" w:lineRule="auto"/>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7</w:t>
            </w:r>
            <w:r>
              <w:rPr>
                <w:rFonts w:hint="eastAsia" w:hAnsi="宋体"/>
                <w:color w:val="auto"/>
                <w:szCs w:val="21"/>
                <w:highlight w:val="none"/>
              </w:rPr>
              <w:t>）投标文件载明的招标项目完成期限满足招标文件规定。</w:t>
            </w:r>
          </w:p>
          <w:p w14:paraId="1DB7CC1F">
            <w:pPr>
              <w:snapToGrid w:val="0"/>
              <w:spacing w:line="288" w:lineRule="auto"/>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8</w:t>
            </w:r>
            <w:r>
              <w:rPr>
                <w:rFonts w:hint="eastAsia" w:hAnsi="宋体"/>
                <w:color w:val="auto"/>
                <w:szCs w:val="21"/>
                <w:highlight w:val="none"/>
              </w:rPr>
              <w:t>）投标文件对招标文件的实质性要求和条件作出响应。</w:t>
            </w:r>
          </w:p>
          <w:p w14:paraId="56B3ACCD">
            <w:pPr>
              <w:snapToGrid w:val="0"/>
              <w:spacing w:line="288" w:lineRule="auto"/>
              <w:rPr>
                <w:rFonts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9</w:t>
            </w:r>
            <w:r>
              <w:rPr>
                <w:rFonts w:hint="eastAsia" w:hAnsi="宋体"/>
                <w:color w:val="auto"/>
                <w:szCs w:val="21"/>
                <w:highlight w:val="none"/>
              </w:rPr>
              <w:t>）权利义务符合招标文件规定：</w:t>
            </w:r>
          </w:p>
          <w:p w14:paraId="79009759">
            <w:pPr>
              <w:snapToGrid w:val="0"/>
              <w:spacing w:line="288" w:lineRule="auto"/>
              <w:rPr>
                <w:rFonts w:hAnsi="宋体"/>
                <w:color w:val="auto"/>
                <w:szCs w:val="21"/>
                <w:highlight w:val="none"/>
              </w:rPr>
            </w:pPr>
            <w:r>
              <w:rPr>
                <w:rFonts w:hint="eastAsia" w:hAnsi="宋体"/>
                <w:color w:val="auto"/>
                <w:szCs w:val="21"/>
                <w:highlight w:val="none"/>
              </w:rPr>
              <w:t>a.投标人应接受招标文件规定的风险划分原则，未提出新的风险划分办法；</w:t>
            </w:r>
          </w:p>
          <w:p w14:paraId="416619BF">
            <w:pPr>
              <w:snapToGrid w:val="0"/>
              <w:spacing w:line="288" w:lineRule="auto"/>
              <w:rPr>
                <w:rFonts w:hAnsi="宋体"/>
                <w:color w:val="auto"/>
                <w:szCs w:val="21"/>
                <w:highlight w:val="none"/>
              </w:rPr>
            </w:pPr>
            <w:r>
              <w:rPr>
                <w:rFonts w:hint="eastAsia" w:hAnsi="宋体"/>
                <w:color w:val="auto"/>
                <w:szCs w:val="21"/>
                <w:highlight w:val="none"/>
              </w:rPr>
              <w:t>b.投标人未增加发包人的责任范围，或减少投标人义务；</w:t>
            </w:r>
          </w:p>
          <w:p w14:paraId="28515533">
            <w:pPr>
              <w:snapToGrid w:val="0"/>
              <w:spacing w:line="288" w:lineRule="auto"/>
              <w:rPr>
                <w:rFonts w:hAnsi="宋体"/>
                <w:color w:val="auto"/>
                <w:szCs w:val="21"/>
                <w:highlight w:val="none"/>
              </w:rPr>
            </w:pPr>
            <w:r>
              <w:rPr>
                <w:rFonts w:hint="eastAsia" w:hAnsi="宋体"/>
                <w:color w:val="auto"/>
                <w:szCs w:val="21"/>
                <w:highlight w:val="none"/>
              </w:rPr>
              <w:t>c.投标人未提出不同的工程验收、计量、支付办法；</w:t>
            </w:r>
          </w:p>
          <w:p w14:paraId="6CDD31C3">
            <w:pPr>
              <w:snapToGrid w:val="0"/>
              <w:spacing w:line="288" w:lineRule="auto"/>
              <w:rPr>
                <w:rFonts w:hAnsi="宋体"/>
                <w:color w:val="auto"/>
                <w:szCs w:val="21"/>
                <w:highlight w:val="none"/>
              </w:rPr>
            </w:pPr>
            <w:r>
              <w:rPr>
                <w:rFonts w:hint="eastAsia" w:hAnsi="宋体"/>
                <w:color w:val="auto"/>
                <w:szCs w:val="21"/>
                <w:highlight w:val="none"/>
              </w:rPr>
              <w:t>d.投标人对合同纠纷、事故处理办法未提出异议；</w:t>
            </w:r>
          </w:p>
          <w:p w14:paraId="3C924B54">
            <w:pPr>
              <w:snapToGrid w:val="0"/>
              <w:spacing w:line="288" w:lineRule="auto"/>
              <w:rPr>
                <w:rFonts w:hAnsi="宋体"/>
                <w:color w:val="auto"/>
                <w:szCs w:val="21"/>
                <w:highlight w:val="none"/>
              </w:rPr>
            </w:pPr>
            <w:r>
              <w:rPr>
                <w:rFonts w:hint="eastAsia" w:hAnsi="宋体"/>
                <w:color w:val="auto"/>
                <w:szCs w:val="21"/>
                <w:highlight w:val="none"/>
              </w:rPr>
              <w:t>e.投标人在投标活动中无欺诈行为；</w:t>
            </w:r>
          </w:p>
          <w:p w14:paraId="6A180A08">
            <w:pPr>
              <w:snapToGrid w:val="0"/>
              <w:spacing w:line="288" w:lineRule="auto"/>
              <w:rPr>
                <w:rFonts w:hAnsi="宋体"/>
                <w:color w:val="auto"/>
                <w:szCs w:val="21"/>
                <w:highlight w:val="none"/>
              </w:rPr>
            </w:pPr>
            <w:r>
              <w:rPr>
                <w:rFonts w:hint="eastAsia" w:hAnsi="宋体"/>
                <w:color w:val="auto"/>
                <w:szCs w:val="21"/>
                <w:highlight w:val="none"/>
              </w:rPr>
              <w:t>f.投标人未对合同条款有重要保留。</w:t>
            </w:r>
          </w:p>
          <w:p w14:paraId="3D8CFE04">
            <w:pPr>
              <w:snapToGrid w:val="0"/>
              <w:spacing w:line="288" w:lineRule="auto"/>
              <w:rPr>
                <w:rFonts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0</w:t>
            </w:r>
            <w:r>
              <w:rPr>
                <w:rFonts w:hint="eastAsia" w:hAnsi="宋体"/>
                <w:color w:val="auto"/>
                <w:szCs w:val="21"/>
                <w:highlight w:val="none"/>
              </w:rPr>
              <w:t>）投标人名称与营业执照、基本账户开户许可证或银行基本账户存款信息一致，如企业名称有变更的，应提供变更记录或相关部门的合法批件复印件。</w:t>
            </w:r>
          </w:p>
          <w:p w14:paraId="13975C55">
            <w:pPr>
              <w:snapToGrid w:val="0"/>
              <w:spacing w:line="288" w:lineRule="auto"/>
              <w:rPr>
                <w:rFonts w:hAnsi="宋体"/>
                <w:color w:val="auto"/>
                <w:szCs w:val="21"/>
                <w:highlight w:val="none"/>
              </w:rPr>
            </w:pPr>
            <w:r>
              <w:rPr>
                <w:rFonts w:hAnsi="宋体"/>
                <w:color w:val="auto"/>
                <w:szCs w:val="21"/>
                <w:highlight w:val="none"/>
              </w:rPr>
              <w:t>（1</w:t>
            </w:r>
            <w:r>
              <w:rPr>
                <w:rFonts w:hint="eastAsia" w:hAnsi="宋体"/>
                <w:color w:val="auto"/>
                <w:szCs w:val="21"/>
                <w:highlight w:val="none"/>
                <w:lang w:val="en-US" w:eastAsia="zh-CN"/>
              </w:rPr>
              <w:t>1</w:t>
            </w:r>
            <w:r>
              <w:rPr>
                <w:rFonts w:hint="eastAsia" w:hAnsi="宋体"/>
                <w:color w:val="auto"/>
                <w:szCs w:val="21"/>
                <w:highlight w:val="none"/>
              </w:rPr>
              <w:t>）</w:t>
            </w:r>
            <w:r>
              <w:rPr>
                <w:rFonts w:hint="eastAsia"/>
                <w:color w:val="auto"/>
                <w:szCs w:val="21"/>
                <w:highlight w:val="none"/>
              </w:rPr>
              <w:t>电子投标文件符合招标文件投标人须知</w:t>
            </w:r>
            <w:r>
              <w:rPr>
                <w:rFonts w:hint="eastAsia"/>
                <w:color w:val="auto"/>
                <w:szCs w:val="21"/>
                <w:highlight w:val="none"/>
                <w:lang w:val="en-US" w:eastAsia="zh-CN"/>
              </w:rPr>
              <w:t>前附表3.7.4</w:t>
            </w:r>
            <w:r>
              <w:rPr>
                <w:rFonts w:hint="eastAsia"/>
                <w:color w:val="auto"/>
                <w:szCs w:val="21"/>
                <w:highlight w:val="none"/>
              </w:rPr>
              <w:t>规定且不存在投标人须知</w:t>
            </w:r>
            <w:r>
              <w:rPr>
                <w:rFonts w:hint="eastAsia"/>
                <w:color w:val="auto"/>
                <w:szCs w:val="21"/>
                <w:highlight w:val="none"/>
                <w:lang w:val="en-US" w:eastAsia="zh-CN"/>
              </w:rPr>
              <w:t>前附表10.8</w:t>
            </w:r>
            <w:r>
              <w:rPr>
                <w:rFonts w:hint="eastAsia"/>
                <w:color w:val="auto"/>
                <w:szCs w:val="21"/>
                <w:highlight w:val="none"/>
              </w:rPr>
              <w:t>规定的情形。</w:t>
            </w:r>
          </w:p>
          <w:p w14:paraId="510E010A">
            <w:pPr>
              <w:snapToGrid w:val="0"/>
              <w:spacing w:line="288" w:lineRule="auto"/>
              <w:rPr>
                <w:rFonts w:hAnsi="宋体"/>
                <w:color w:val="auto"/>
                <w:szCs w:val="21"/>
                <w:highlight w:val="none"/>
              </w:rPr>
            </w:pPr>
            <w:r>
              <w:rPr>
                <w:rFonts w:hAnsi="宋体"/>
                <w:color w:val="auto"/>
                <w:szCs w:val="21"/>
                <w:highlight w:val="none"/>
              </w:rPr>
              <w:t>（</w:t>
            </w:r>
            <w:r>
              <w:rPr>
                <w:rFonts w:hint="eastAsia" w:hAnsi="宋体"/>
                <w:color w:val="auto"/>
                <w:szCs w:val="21"/>
                <w:highlight w:val="none"/>
              </w:rPr>
              <w:t>1</w:t>
            </w:r>
            <w:r>
              <w:rPr>
                <w:rFonts w:hint="eastAsia" w:hAnsi="宋体"/>
                <w:color w:val="auto"/>
                <w:szCs w:val="21"/>
                <w:highlight w:val="none"/>
                <w:lang w:val="en-US" w:eastAsia="zh-CN"/>
              </w:rPr>
              <w:t>2</w:t>
            </w:r>
            <w:r>
              <w:rPr>
                <w:rFonts w:hAnsi="宋体"/>
                <w:color w:val="auto"/>
                <w:szCs w:val="21"/>
                <w:highlight w:val="none"/>
              </w:rPr>
              <w:t>）投标文件未附有招标人不能接受的其他条件</w:t>
            </w:r>
            <w:r>
              <w:rPr>
                <w:rFonts w:hint="eastAsia" w:hAnsi="宋体"/>
                <w:color w:val="auto"/>
                <w:szCs w:val="21"/>
                <w:highlight w:val="none"/>
              </w:rPr>
              <w:t>。</w:t>
            </w:r>
          </w:p>
          <w:p w14:paraId="440B7146">
            <w:pPr>
              <w:snapToGrid w:val="0"/>
              <w:spacing w:line="288" w:lineRule="auto"/>
              <w:rPr>
                <w:rFonts w:hAnsi="宋体"/>
                <w:color w:val="auto"/>
                <w:szCs w:val="21"/>
                <w:highlight w:val="none"/>
              </w:rPr>
            </w:pPr>
          </w:p>
          <w:p w14:paraId="7743434A">
            <w:pPr>
              <w:snapToGrid w:val="0"/>
              <w:spacing w:line="288" w:lineRule="auto"/>
              <w:rPr>
                <w:rFonts w:hAnsi="宋体"/>
                <w:b/>
                <w:color w:val="auto"/>
                <w:szCs w:val="21"/>
                <w:highlight w:val="none"/>
              </w:rPr>
            </w:pPr>
            <w:r>
              <w:rPr>
                <w:rFonts w:hint="eastAsia" w:hAnsi="宋体"/>
                <w:b/>
                <w:color w:val="auto"/>
                <w:szCs w:val="21"/>
                <w:highlight w:val="none"/>
              </w:rPr>
              <w:t>第二个信封（报价文件）评审标准：</w:t>
            </w:r>
          </w:p>
          <w:p w14:paraId="407E5036">
            <w:pPr>
              <w:snapToGrid w:val="0"/>
              <w:spacing w:line="288" w:lineRule="auto"/>
              <w:rPr>
                <w:rFonts w:cs="Arial"/>
                <w:color w:val="auto"/>
                <w:szCs w:val="21"/>
                <w:highlight w:val="none"/>
              </w:rPr>
            </w:pPr>
            <w:r>
              <w:rPr>
                <w:rFonts w:cs="Arial"/>
                <w:color w:val="auto"/>
                <w:szCs w:val="21"/>
                <w:highlight w:val="none"/>
              </w:rPr>
              <w:t>（1）投标文件按照招标文件规定的格式、内容填写，字迹清晰可辨，内容齐全完整：</w:t>
            </w:r>
          </w:p>
          <w:p w14:paraId="2624C8DC">
            <w:pPr>
              <w:snapToGrid w:val="0"/>
              <w:spacing w:line="288" w:lineRule="auto"/>
              <w:rPr>
                <w:rFonts w:cs="Arial"/>
                <w:color w:val="auto"/>
                <w:szCs w:val="21"/>
                <w:highlight w:val="none"/>
              </w:rPr>
            </w:pPr>
            <w:r>
              <w:rPr>
                <w:rFonts w:cs="Arial"/>
                <w:color w:val="auto"/>
                <w:szCs w:val="21"/>
                <w:highlight w:val="none"/>
              </w:rPr>
              <w:t>a．投标函按照招标文件规定填报了项目名称、补遗书编号（如有）、投标价（包括大写金额和小写金额）；</w:t>
            </w:r>
          </w:p>
          <w:p w14:paraId="766DD890">
            <w:pPr>
              <w:snapToGrid w:val="0"/>
              <w:spacing w:line="288" w:lineRule="auto"/>
              <w:rPr>
                <w:rFonts w:cs="Arial"/>
                <w:color w:val="auto"/>
                <w:szCs w:val="21"/>
                <w:highlight w:val="none"/>
              </w:rPr>
            </w:pPr>
            <w:r>
              <w:rPr>
                <w:rFonts w:cs="Arial"/>
                <w:color w:val="auto"/>
                <w:szCs w:val="21"/>
                <w:highlight w:val="none"/>
              </w:rPr>
              <w:t>b．已标价报价清单说明文字与招标文件规定一致，未进行实质性修改和删减；</w:t>
            </w:r>
          </w:p>
          <w:p w14:paraId="31499E0F">
            <w:pPr>
              <w:snapToGrid w:val="0"/>
              <w:spacing w:line="288" w:lineRule="auto"/>
              <w:rPr>
                <w:rFonts w:cs="Arial"/>
                <w:color w:val="auto"/>
                <w:szCs w:val="21"/>
                <w:highlight w:val="none"/>
              </w:rPr>
            </w:pPr>
            <w:r>
              <w:rPr>
                <w:rFonts w:cs="Arial"/>
                <w:color w:val="auto"/>
                <w:szCs w:val="21"/>
                <w:highlight w:val="none"/>
              </w:rPr>
              <w:t>c．投标文件组成齐全完整，内容均按规定填写。</w:t>
            </w:r>
          </w:p>
          <w:p w14:paraId="03A6A6A1">
            <w:pPr>
              <w:pStyle w:val="13"/>
              <w:jc w:val="both"/>
              <w:rPr>
                <w:rFonts w:ascii="Arial" w:hAnsi="Arial" w:cs="Arial"/>
                <w:color w:val="auto"/>
                <w:sz w:val="21"/>
                <w:szCs w:val="21"/>
                <w:highlight w:val="none"/>
              </w:rPr>
            </w:pPr>
            <w:r>
              <w:rPr>
                <w:rFonts w:ascii="Arial" w:hAnsi="Arial" w:cs="Arial"/>
                <w:color w:val="auto"/>
                <w:sz w:val="21"/>
                <w:szCs w:val="21"/>
                <w:highlight w:val="none"/>
              </w:rPr>
              <w:t>（2）投标文件上法定代表人的</w:t>
            </w:r>
            <w:r>
              <w:rPr>
                <w:rFonts w:hint="eastAsia" w:ascii="Arial" w:hAnsi="Arial" w:cs="Arial"/>
                <w:color w:val="auto"/>
                <w:sz w:val="21"/>
                <w:szCs w:val="21"/>
                <w:highlight w:val="none"/>
              </w:rPr>
              <w:t>电子</w:t>
            </w:r>
            <w:r>
              <w:rPr>
                <w:rFonts w:ascii="Arial" w:hAnsi="Arial" w:cs="Arial"/>
                <w:color w:val="auto"/>
                <w:sz w:val="21"/>
                <w:szCs w:val="21"/>
                <w:highlight w:val="none"/>
              </w:rPr>
              <w:t>签名、投标人的单位</w:t>
            </w:r>
            <w:r>
              <w:rPr>
                <w:rFonts w:hint="eastAsia" w:ascii="Arial" w:hAnsi="Arial" w:cs="Arial"/>
                <w:color w:val="auto"/>
                <w:sz w:val="21"/>
                <w:szCs w:val="21"/>
                <w:highlight w:val="none"/>
              </w:rPr>
              <w:t>电子</w:t>
            </w:r>
            <w:r>
              <w:rPr>
                <w:rFonts w:ascii="Arial" w:hAnsi="Arial" w:cs="Arial"/>
                <w:color w:val="auto"/>
                <w:sz w:val="21"/>
                <w:szCs w:val="21"/>
                <w:highlight w:val="none"/>
              </w:rPr>
              <w:t>签章齐全，符合</w:t>
            </w:r>
            <w:r>
              <w:rPr>
                <w:rFonts w:hint="eastAsia" w:ascii="Arial" w:hAnsi="Arial" w:cs="Arial"/>
                <w:color w:val="auto"/>
                <w:sz w:val="21"/>
                <w:szCs w:val="21"/>
                <w:highlight w:val="none"/>
              </w:rPr>
              <w:t>招标文件投标人须知前附表3.7.3规定</w:t>
            </w:r>
            <w:r>
              <w:rPr>
                <w:rFonts w:ascii="Arial" w:hAnsi="Arial" w:cs="Arial"/>
                <w:color w:val="auto"/>
                <w:sz w:val="21"/>
                <w:szCs w:val="21"/>
                <w:highlight w:val="none"/>
              </w:rPr>
              <w:t xml:space="preserve">。 </w:t>
            </w:r>
          </w:p>
          <w:p w14:paraId="5F39ED57">
            <w:pPr>
              <w:pStyle w:val="13"/>
              <w:jc w:val="both"/>
              <w:rPr>
                <w:rFonts w:ascii="Arial" w:hAnsi="Arial" w:cs="Arial"/>
                <w:color w:val="auto"/>
                <w:sz w:val="21"/>
                <w:szCs w:val="21"/>
                <w:highlight w:val="none"/>
              </w:rPr>
            </w:pPr>
            <w:r>
              <w:rPr>
                <w:rFonts w:ascii="Arial" w:hAnsi="Arial" w:cs="Arial"/>
                <w:color w:val="auto"/>
                <w:sz w:val="21"/>
                <w:szCs w:val="21"/>
                <w:highlight w:val="none"/>
              </w:rPr>
              <w:t xml:space="preserve">（3）投标报价未超过招标文件设定的最高投标限价或最终控制价上限。 </w:t>
            </w:r>
          </w:p>
          <w:p w14:paraId="505FFC67">
            <w:pPr>
              <w:pStyle w:val="13"/>
              <w:jc w:val="both"/>
              <w:rPr>
                <w:rFonts w:ascii="Arial" w:hAnsi="Arial" w:cs="Arial"/>
                <w:color w:val="auto"/>
                <w:sz w:val="21"/>
                <w:szCs w:val="21"/>
                <w:highlight w:val="none"/>
              </w:rPr>
            </w:pPr>
            <w:r>
              <w:rPr>
                <w:rFonts w:ascii="Arial" w:hAnsi="Arial" w:cs="Arial"/>
                <w:color w:val="auto"/>
                <w:sz w:val="21"/>
                <w:szCs w:val="21"/>
                <w:highlight w:val="none"/>
              </w:rPr>
              <w:t xml:space="preserve">（4）投标报价的大写金额能够确定具体数值。 </w:t>
            </w:r>
          </w:p>
          <w:p w14:paraId="489AA84D">
            <w:pPr>
              <w:pStyle w:val="13"/>
              <w:jc w:val="both"/>
              <w:rPr>
                <w:rFonts w:ascii="Arial" w:hAnsi="Arial" w:cs="Arial"/>
                <w:color w:val="auto"/>
                <w:sz w:val="21"/>
                <w:szCs w:val="21"/>
                <w:highlight w:val="none"/>
              </w:rPr>
            </w:pPr>
            <w:r>
              <w:rPr>
                <w:rFonts w:ascii="Arial" w:hAnsi="Arial" w:cs="Arial"/>
                <w:color w:val="auto"/>
                <w:sz w:val="21"/>
                <w:szCs w:val="21"/>
                <w:highlight w:val="none"/>
              </w:rPr>
              <w:t xml:space="preserve">（5）同一投标人未提交两个以上不同的投标报价，但招标文件要求提交备选投标的除外。 </w:t>
            </w:r>
          </w:p>
          <w:p w14:paraId="54BC20B7">
            <w:pPr>
              <w:snapToGrid w:val="0"/>
              <w:spacing w:line="288" w:lineRule="auto"/>
              <w:rPr>
                <w:rFonts w:cs="Arial"/>
                <w:color w:val="auto"/>
                <w:szCs w:val="21"/>
                <w:highlight w:val="none"/>
              </w:rPr>
            </w:pPr>
            <w:r>
              <w:rPr>
                <w:rFonts w:cs="Arial"/>
                <w:color w:val="auto"/>
                <w:szCs w:val="21"/>
                <w:highlight w:val="none"/>
              </w:rPr>
              <w:t>（6）</w:t>
            </w:r>
            <w:r>
              <w:rPr>
                <w:rFonts w:hint="eastAsia" w:cs="Arial"/>
                <w:color w:val="auto"/>
                <w:szCs w:val="21"/>
                <w:highlight w:val="none"/>
              </w:rPr>
              <w:t>电子投标文件符合招标文件规定且不存在投标人须知前附表10.</w:t>
            </w:r>
            <w:r>
              <w:rPr>
                <w:rFonts w:hint="eastAsia" w:cs="Arial"/>
                <w:color w:val="auto"/>
                <w:szCs w:val="21"/>
                <w:highlight w:val="none"/>
                <w:lang w:val="en-US" w:eastAsia="zh-CN"/>
              </w:rPr>
              <w:t>8</w:t>
            </w:r>
            <w:r>
              <w:rPr>
                <w:rFonts w:hint="eastAsia" w:cs="Arial"/>
                <w:color w:val="auto"/>
                <w:szCs w:val="21"/>
                <w:highlight w:val="none"/>
              </w:rPr>
              <w:t>规定的情形</w:t>
            </w:r>
            <w:r>
              <w:rPr>
                <w:rFonts w:hint="eastAsia"/>
                <w:color w:val="auto"/>
                <w:szCs w:val="21"/>
                <w:highlight w:val="none"/>
              </w:rPr>
              <w:t>。</w:t>
            </w:r>
          </w:p>
          <w:p w14:paraId="283EDE9E">
            <w:pPr>
              <w:snapToGrid w:val="0"/>
              <w:spacing w:line="288" w:lineRule="auto"/>
              <w:rPr>
                <w:rFonts w:hAnsi="宋体"/>
                <w:color w:val="auto"/>
                <w:szCs w:val="21"/>
                <w:highlight w:val="none"/>
              </w:rPr>
            </w:pPr>
            <w:r>
              <w:rPr>
                <w:rFonts w:hint="eastAsia" w:cs="Arial"/>
                <w:color w:val="auto"/>
                <w:szCs w:val="21"/>
                <w:highlight w:val="none"/>
              </w:rPr>
              <w:t>（</w:t>
            </w:r>
            <w:r>
              <w:rPr>
                <w:rFonts w:cs="Arial"/>
                <w:color w:val="auto"/>
                <w:szCs w:val="21"/>
                <w:highlight w:val="none"/>
              </w:rPr>
              <w:t>7</w:t>
            </w:r>
            <w:r>
              <w:rPr>
                <w:rFonts w:hint="eastAsia" w:cs="Arial"/>
                <w:color w:val="auto"/>
                <w:szCs w:val="21"/>
                <w:highlight w:val="none"/>
              </w:rPr>
              <w:t>）</w:t>
            </w:r>
            <w:r>
              <w:rPr>
                <w:rFonts w:cs="Arial"/>
                <w:color w:val="auto"/>
                <w:szCs w:val="21"/>
                <w:highlight w:val="none"/>
              </w:rPr>
              <w:t>投标文件未附有招标人不能接受的其他条件</w:t>
            </w:r>
            <w:r>
              <w:rPr>
                <w:rFonts w:hint="eastAsia"/>
                <w:color w:val="auto"/>
                <w:szCs w:val="21"/>
                <w:highlight w:val="none"/>
              </w:rPr>
              <w:t>。</w:t>
            </w:r>
          </w:p>
        </w:tc>
      </w:tr>
      <w:tr w14:paraId="1CC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83" w:type="dxa"/>
            <w:noWrap w:val="0"/>
            <w:vAlign w:val="center"/>
          </w:tcPr>
          <w:p w14:paraId="7010AB92">
            <w:pPr>
              <w:jc w:val="center"/>
              <w:rPr>
                <w:rFonts w:cs="Arial"/>
                <w:color w:val="auto"/>
                <w:szCs w:val="21"/>
                <w:highlight w:val="none"/>
              </w:rPr>
            </w:pPr>
            <w:r>
              <w:rPr>
                <w:rFonts w:cs="Arial"/>
                <w:color w:val="auto"/>
                <w:szCs w:val="21"/>
                <w:highlight w:val="none"/>
              </w:rPr>
              <w:t>2.1.2</w:t>
            </w:r>
          </w:p>
        </w:tc>
        <w:tc>
          <w:tcPr>
            <w:tcW w:w="1254" w:type="dxa"/>
            <w:noWrap w:val="0"/>
            <w:vAlign w:val="center"/>
          </w:tcPr>
          <w:p w14:paraId="78215BAD">
            <w:pPr>
              <w:jc w:val="center"/>
              <w:rPr>
                <w:rFonts w:cs="Arial"/>
                <w:color w:val="auto"/>
                <w:szCs w:val="21"/>
                <w:highlight w:val="none"/>
              </w:rPr>
            </w:pPr>
            <w:r>
              <w:rPr>
                <w:rFonts w:hAnsi="宋体" w:cs="Arial"/>
                <w:color w:val="auto"/>
                <w:szCs w:val="21"/>
                <w:highlight w:val="none"/>
              </w:rPr>
              <w:t>资格评审标准</w:t>
            </w:r>
          </w:p>
        </w:tc>
        <w:tc>
          <w:tcPr>
            <w:tcW w:w="6357" w:type="dxa"/>
            <w:noWrap w:val="0"/>
            <w:vAlign w:val="center"/>
          </w:tcPr>
          <w:p w14:paraId="4366D3DD">
            <w:pPr>
              <w:snapToGrid w:val="0"/>
              <w:spacing w:line="288" w:lineRule="auto"/>
              <w:rPr>
                <w:rFonts w:cs="Arial"/>
                <w:color w:val="auto"/>
                <w:szCs w:val="21"/>
                <w:highlight w:val="none"/>
              </w:rPr>
            </w:pPr>
            <w:r>
              <w:rPr>
                <w:rFonts w:cs="Arial"/>
                <w:color w:val="auto"/>
                <w:szCs w:val="21"/>
                <w:highlight w:val="none"/>
              </w:rPr>
              <w:t>（1）投标人具备有效的营业执照、资质证书和基本账户开户许可证</w:t>
            </w:r>
            <w:r>
              <w:rPr>
                <w:rFonts w:hint="eastAsia" w:cs="Arial"/>
                <w:color w:val="auto"/>
                <w:szCs w:val="21"/>
                <w:highlight w:val="none"/>
              </w:rPr>
              <w:t>或银行基本存款账户信息。</w:t>
            </w:r>
          </w:p>
          <w:p w14:paraId="40D4803C">
            <w:pPr>
              <w:snapToGrid w:val="0"/>
              <w:spacing w:line="288" w:lineRule="auto"/>
              <w:rPr>
                <w:rFonts w:cs="Arial"/>
                <w:color w:val="auto"/>
                <w:szCs w:val="21"/>
                <w:highlight w:val="none"/>
              </w:rPr>
            </w:pPr>
            <w:r>
              <w:rPr>
                <w:rFonts w:cs="Arial"/>
                <w:color w:val="auto"/>
                <w:szCs w:val="21"/>
                <w:highlight w:val="none"/>
              </w:rPr>
              <w:t>（2）投标人的资质等级符合招标文件</w:t>
            </w:r>
            <w:r>
              <w:rPr>
                <w:rFonts w:hint="eastAsia" w:cs="Arial"/>
                <w:color w:val="auto"/>
                <w:szCs w:val="21"/>
                <w:highlight w:val="none"/>
                <w:lang w:val="en-US" w:eastAsia="zh-CN"/>
              </w:rPr>
              <w:t>附录1</w:t>
            </w:r>
            <w:r>
              <w:rPr>
                <w:rFonts w:cs="Arial"/>
                <w:color w:val="auto"/>
                <w:szCs w:val="21"/>
                <w:highlight w:val="none"/>
              </w:rPr>
              <w:t>规定</w:t>
            </w:r>
            <w:r>
              <w:rPr>
                <w:rFonts w:hint="eastAsia" w:cs="Arial"/>
                <w:color w:val="auto"/>
                <w:szCs w:val="21"/>
                <w:highlight w:val="none"/>
              </w:rPr>
              <w:t>。</w:t>
            </w:r>
          </w:p>
          <w:p w14:paraId="2EC08980">
            <w:pPr>
              <w:snapToGrid w:val="0"/>
              <w:spacing w:line="288" w:lineRule="auto"/>
              <w:rPr>
                <w:rFonts w:cs="Arial"/>
                <w:color w:val="auto"/>
                <w:szCs w:val="21"/>
                <w:highlight w:val="none"/>
              </w:rPr>
            </w:pPr>
            <w:r>
              <w:rPr>
                <w:rFonts w:cs="Arial"/>
                <w:color w:val="auto"/>
                <w:szCs w:val="21"/>
                <w:highlight w:val="none"/>
              </w:rPr>
              <w:t>（3）投标人的类似项目业绩符合招标文件</w:t>
            </w:r>
            <w:r>
              <w:rPr>
                <w:rFonts w:hint="eastAsia" w:cs="Arial"/>
                <w:color w:val="auto"/>
                <w:szCs w:val="21"/>
                <w:highlight w:val="none"/>
                <w:lang w:val="en-US" w:eastAsia="zh-CN"/>
              </w:rPr>
              <w:t>附录2</w:t>
            </w:r>
            <w:r>
              <w:rPr>
                <w:rFonts w:cs="Arial"/>
                <w:color w:val="auto"/>
                <w:szCs w:val="21"/>
                <w:highlight w:val="none"/>
              </w:rPr>
              <w:t>规定</w:t>
            </w:r>
            <w:r>
              <w:rPr>
                <w:rFonts w:hint="eastAsia" w:cs="Arial"/>
                <w:color w:val="auto"/>
                <w:szCs w:val="21"/>
                <w:highlight w:val="none"/>
              </w:rPr>
              <w:t>。</w:t>
            </w:r>
          </w:p>
          <w:p w14:paraId="75367505">
            <w:pPr>
              <w:snapToGrid w:val="0"/>
              <w:spacing w:line="288" w:lineRule="auto"/>
              <w:rPr>
                <w:rFonts w:cs="Arial"/>
                <w:color w:val="auto"/>
                <w:szCs w:val="21"/>
                <w:highlight w:val="none"/>
              </w:rPr>
            </w:pPr>
            <w:r>
              <w:rPr>
                <w:rFonts w:cs="Arial"/>
                <w:color w:val="auto"/>
                <w:szCs w:val="21"/>
                <w:highlight w:val="none"/>
              </w:rPr>
              <w:t>（4）投标人的信誉符合招标文件</w:t>
            </w:r>
            <w:r>
              <w:rPr>
                <w:rFonts w:hint="eastAsia" w:cs="Arial"/>
                <w:color w:val="auto"/>
                <w:szCs w:val="21"/>
                <w:highlight w:val="none"/>
                <w:lang w:val="en-US" w:eastAsia="zh-CN"/>
              </w:rPr>
              <w:t>附录3</w:t>
            </w:r>
            <w:r>
              <w:rPr>
                <w:rFonts w:cs="Arial"/>
                <w:color w:val="auto"/>
                <w:szCs w:val="21"/>
                <w:highlight w:val="none"/>
              </w:rPr>
              <w:t>规定</w:t>
            </w:r>
            <w:r>
              <w:rPr>
                <w:rFonts w:hint="eastAsia" w:cs="Arial"/>
                <w:color w:val="auto"/>
                <w:szCs w:val="21"/>
                <w:highlight w:val="none"/>
              </w:rPr>
              <w:t>。</w:t>
            </w:r>
          </w:p>
          <w:p w14:paraId="5394488E">
            <w:pPr>
              <w:snapToGrid w:val="0"/>
              <w:spacing w:line="288" w:lineRule="auto"/>
              <w:rPr>
                <w:rFonts w:cs="Arial"/>
                <w:color w:val="auto"/>
                <w:szCs w:val="21"/>
                <w:highlight w:val="none"/>
              </w:rPr>
            </w:pPr>
            <w:r>
              <w:rPr>
                <w:rFonts w:cs="Arial"/>
                <w:color w:val="auto"/>
                <w:szCs w:val="21"/>
                <w:highlight w:val="none"/>
              </w:rPr>
              <w:t>（5）投标人的项目负责人资格符合招标文件</w:t>
            </w:r>
            <w:r>
              <w:rPr>
                <w:rFonts w:hint="eastAsia" w:cs="Arial"/>
                <w:color w:val="auto"/>
                <w:szCs w:val="21"/>
                <w:highlight w:val="none"/>
                <w:lang w:val="en-US" w:eastAsia="zh-CN"/>
              </w:rPr>
              <w:t>附录4</w:t>
            </w:r>
            <w:r>
              <w:rPr>
                <w:rFonts w:cs="Arial"/>
                <w:color w:val="auto"/>
                <w:szCs w:val="21"/>
                <w:highlight w:val="none"/>
              </w:rPr>
              <w:t>规定</w:t>
            </w:r>
            <w:r>
              <w:rPr>
                <w:rFonts w:hint="eastAsia" w:cs="Arial"/>
                <w:color w:val="auto"/>
                <w:szCs w:val="21"/>
                <w:highlight w:val="none"/>
              </w:rPr>
              <w:t>。</w:t>
            </w:r>
          </w:p>
          <w:p w14:paraId="4946CE05">
            <w:pPr>
              <w:snapToGrid w:val="0"/>
              <w:spacing w:line="288" w:lineRule="auto"/>
              <w:rPr>
                <w:rFonts w:cs="Arial"/>
                <w:color w:val="auto"/>
                <w:szCs w:val="21"/>
                <w:highlight w:val="none"/>
              </w:rPr>
            </w:pPr>
            <w:r>
              <w:rPr>
                <w:rFonts w:cs="Arial"/>
                <w:color w:val="auto"/>
                <w:szCs w:val="21"/>
                <w:highlight w:val="none"/>
              </w:rPr>
              <w:t>（6）投标人不存在</w:t>
            </w:r>
            <w:bookmarkStart w:id="12" w:name="OLE_LINK4"/>
            <w:r>
              <w:rPr>
                <w:rFonts w:cs="Arial"/>
                <w:color w:val="auto"/>
                <w:szCs w:val="21"/>
                <w:highlight w:val="none"/>
              </w:rPr>
              <w:t>投标人须知</w:t>
            </w:r>
            <w:r>
              <w:rPr>
                <w:rFonts w:hint="eastAsia" w:cs="Arial"/>
                <w:color w:val="auto"/>
                <w:szCs w:val="21"/>
                <w:highlight w:val="none"/>
                <w:lang w:val="en-US" w:eastAsia="zh-CN"/>
              </w:rPr>
              <w:t>前附表</w:t>
            </w:r>
            <w:bookmarkEnd w:id="12"/>
            <w:r>
              <w:rPr>
                <w:rFonts w:cs="Arial"/>
                <w:color w:val="auto"/>
                <w:szCs w:val="21"/>
                <w:highlight w:val="none"/>
              </w:rPr>
              <w:t>第1.4.3项或第1.4.4项规定的任何一种情形。</w:t>
            </w:r>
          </w:p>
          <w:p w14:paraId="2ADDA873">
            <w:pPr>
              <w:snapToGrid w:val="0"/>
              <w:spacing w:line="288" w:lineRule="auto"/>
              <w:rPr>
                <w:color w:val="auto"/>
                <w:szCs w:val="21"/>
                <w:highlight w:val="none"/>
              </w:rPr>
            </w:pPr>
            <w:r>
              <w:rPr>
                <w:rFonts w:cs="Arial"/>
                <w:color w:val="auto"/>
                <w:szCs w:val="21"/>
                <w:highlight w:val="none"/>
              </w:rPr>
              <w:t>（</w:t>
            </w:r>
            <w:r>
              <w:rPr>
                <w:rFonts w:hint="eastAsia" w:cs="Arial"/>
                <w:color w:val="auto"/>
                <w:szCs w:val="21"/>
                <w:highlight w:val="none"/>
              </w:rPr>
              <w:t>7</w:t>
            </w:r>
            <w:r>
              <w:rPr>
                <w:rFonts w:cs="Arial"/>
                <w:color w:val="auto"/>
                <w:szCs w:val="21"/>
                <w:highlight w:val="none"/>
              </w:rPr>
              <w:t>）投标人符合</w:t>
            </w:r>
            <w:r>
              <w:rPr>
                <w:rFonts w:hint="eastAsia" w:cs="Arial"/>
                <w:color w:val="auto"/>
                <w:szCs w:val="21"/>
                <w:highlight w:val="none"/>
              </w:rPr>
              <w:t>投标人须知</w:t>
            </w:r>
            <w:r>
              <w:rPr>
                <w:rFonts w:cs="Arial"/>
                <w:color w:val="auto"/>
                <w:szCs w:val="21"/>
                <w:highlight w:val="none"/>
              </w:rPr>
              <w:t>第1.4.5项规定。</w:t>
            </w:r>
          </w:p>
        </w:tc>
      </w:tr>
      <w:tr w14:paraId="01FA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07AAD2ED">
            <w:pPr>
              <w:jc w:val="center"/>
              <w:rPr>
                <w:rFonts w:cs="Arial"/>
                <w:color w:val="auto"/>
                <w:szCs w:val="21"/>
                <w:highlight w:val="none"/>
              </w:rPr>
            </w:pPr>
            <w:r>
              <w:rPr>
                <w:rFonts w:cs="Arial"/>
                <w:color w:val="auto"/>
                <w:szCs w:val="21"/>
                <w:highlight w:val="none"/>
              </w:rPr>
              <w:t>2.2.1</w:t>
            </w:r>
          </w:p>
        </w:tc>
        <w:tc>
          <w:tcPr>
            <w:tcW w:w="1254" w:type="dxa"/>
            <w:noWrap w:val="0"/>
            <w:vAlign w:val="center"/>
          </w:tcPr>
          <w:p w14:paraId="506BBD63">
            <w:pPr>
              <w:jc w:val="center"/>
              <w:rPr>
                <w:rFonts w:cs="Arial"/>
                <w:color w:val="auto"/>
                <w:szCs w:val="21"/>
                <w:highlight w:val="none"/>
              </w:rPr>
            </w:pPr>
            <w:r>
              <w:rPr>
                <w:rFonts w:hAnsi="宋体" w:cs="Arial"/>
                <w:color w:val="auto"/>
                <w:szCs w:val="21"/>
                <w:highlight w:val="none"/>
              </w:rPr>
              <w:t>分值构成</w:t>
            </w:r>
          </w:p>
        </w:tc>
        <w:tc>
          <w:tcPr>
            <w:tcW w:w="6357" w:type="dxa"/>
            <w:noWrap w:val="0"/>
            <w:vAlign w:val="center"/>
          </w:tcPr>
          <w:p w14:paraId="74CC1B07">
            <w:pPr>
              <w:snapToGrid w:val="0"/>
              <w:spacing w:line="288" w:lineRule="auto"/>
              <w:rPr>
                <w:rFonts w:hAnsi="宋体"/>
                <w:b/>
                <w:color w:val="auto"/>
                <w:szCs w:val="21"/>
                <w:highlight w:val="none"/>
              </w:rPr>
            </w:pPr>
            <w:r>
              <w:rPr>
                <w:rFonts w:hint="eastAsia" w:hAnsi="宋体"/>
                <w:b/>
                <w:color w:val="auto"/>
                <w:szCs w:val="21"/>
                <w:highlight w:val="none"/>
              </w:rPr>
              <w:t>第一个信封（商务及技术文件）评分分值构成：</w:t>
            </w:r>
          </w:p>
          <w:p w14:paraId="2BB23767">
            <w:pPr>
              <w:snapToGrid w:val="0"/>
              <w:spacing w:line="288" w:lineRule="auto"/>
              <w:rPr>
                <w:rFonts w:hAnsi="宋体"/>
                <w:color w:val="auto"/>
                <w:szCs w:val="21"/>
                <w:highlight w:val="none"/>
              </w:rPr>
            </w:pPr>
            <w:r>
              <w:rPr>
                <w:rFonts w:hint="eastAsia" w:hAnsi="宋体"/>
                <w:color w:val="auto"/>
                <w:szCs w:val="21"/>
                <w:highlight w:val="none"/>
              </w:rPr>
              <w:t>技术建议书：</w:t>
            </w:r>
            <w:r>
              <w:rPr>
                <w:rFonts w:hint="eastAsia" w:hAnsi="宋体"/>
                <w:color w:val="auto"/>
                <w:szCs w:val="21"/>
                <w:highlight w:val="none"/>
                <w:lang w:val="en-US" w:eastAsia="zh-CN"/>
              </w:rPr>
              <w:t>35</w:t>
            </w:r>
            <w:r>
              <w:rPr>
                <w:rFonts w:hint="eastAsia" w:hAnsi="宋体"/>
                <w:color w:val="auto"/>
                <w:szCs w:val="21"/>
                <w:highlight w:val="none"/>
              </w:rPr>
              <w:t>分</w:t>
            </w:r>
          </w:p>
          <w:p w14:paraId="714AFF21">
            <w:pPr>
              <w:snapToGrid w:val="0"/>
              <w:spacing w:line="288" w:lineRule="auto"/>
              <w:rPr>
                <w:rFonts w:hAnsi="宋体"/>
                <w:color w:val="auto"/>
                <w:szCs w:val="21"/>
                <w:highlight w:val="none"/>
              </w:rPr>
            </w:pPr>
            <w:r>
              <w:rPr>
                <w:rFonts w:hint="eastAsia" w:hAnsi="宋体"/>
                <w:color w:val="auto"/>
                <w:szCs w:val="21"/>
                <w:highlight w:val="none"/>
              </w:rPr>
              <w:t>主要人员：</w:t>
            </w:r>
            <w:r>
              <w:rPr>
                <w:rFonts w:hint="eastAsia" w:hAnsi="宋体"/>
                <w:color w:val="auto"/>
                <w:szCs w:val="21"/>
                <w:highlight w:val="none"/>
                <w:lang w:val="en-US" w:eastAsia="zh-CN"/>
              </w:rPr>
              <w:t>40</w:t>
            </w:r>
            <w:r>
              <w:rPr>
                <w:rFonts w:hint="eastAsia" w:hAnsi="宋体"/>
                <w:color w:val="auto"/>
                <w:szCs w:val="21"/>
                <w:highlight w:val="none"/>
              </w:rPr>
              <w:t>分</w:t>
            </w:r>
          </w:p>
          <w:p w14:paraId="0E6B4178">
            <w:pPr>
              <w:snapToGrid w:val="0"/>
              <w:spacing w:line="288" w:lineRule="auto"/>
              <w:rPr>
                <w:rFonts w:hAnsi="宋体"/>
                <w:color w:val="auto"/>
                <w:szCs w:val="21"/>
                <w:highlight w:val="none"/>
              </w:rPr>
            </w:pPr>
            <w:r>
              <w:rPr>
                <w:rFonts w:hint="eastAsia" w:hAnsi="宋体"/>
                <w:color w:val="auto"/>
                <w:szCs w:val="21"/>
                <w:highlight w:val="none"/>
              </w:rPr>
              <w:t>业    绩：</w:t>
            </w:r>
            <w:r>
              <w:rPr>
                <w:rFonts w:hint="eastAsia" w:hAnsi="宋体"/>
                <w:color w:val="auto"/>
                <w:szCs w:val="21"/>
                <w:highlight w:val="none"/>
                <w:lang w:val="en-US" w:eastAsia="zh-CN"/>
              </w:rPr>
              <w:t>10</w:t>
            </w:r>
            <w:r>
              <w:rPr>
                <w:rFonts w:hint="eastAsia" w:hAnsi="宋体"/>
                <w:color w:val="auto"/>
                <w:szCs w:val="21"/>
                <w:highlight w:val="none"/>
              </w:rPr>
              <w:t>分</w:t>
            </w:r>
          </w:p>
          <w:p w14:paraId="1EA2129B">
            <w:pPr>
              <w:snapToGrid w:val="0"/>
              <w:spacing w:line="288" w:lineRule="auto"/>
              <w:rPr>
                <w:rFonts w:hAnsi="宋体"/>
                <w:color w:val="auto"/>
                <w:szCs w:val="21"/>
                <w:highlight w:val="none"/>
              </w:rPr>
            </w:pPr>
            <w:r>
              <w:rPr>
                <w:rFonts w:hint="eastAsia" w:hAnsi="宋体"/>
                <w:color w:val="auto"/>
                <w:szCs w:val="21"/>
                <w:highlight w:val="none"/>
              </w:rPr>
              <w:t>履约信誉：</w:t>
            </w:r>
            <w:r>
              <w:rPr>
                <w:rFonts w:hAnsi="宋体"/>
                <w:color w:val="auto"/>
                <w:szCs w:val="21"/>
                <w:highlight w:val="none"/>
              </w:rPr>
              <w:t>5</w:t>
            </w:r>
            <w:r>
              <w:rPr>
                <w:rFonts w:hint="eastAsia" w:hAnsi="宋体"/>
                <w:color w:val="auto"/>
                <w:szCs w:val="21"/>
                <w:highlight w:val="none"/>
              </w:rPr>
              <w:t>分</w:t>
            </w:r>
          </w:p>
          <w:p w14:paraId="58017A64">
            <w:pPr>
              <w:snapToGrid w:val="0"/>
              <w:spacing w:line="288" w:lineRule="auto"/>
              <w:rPr>
                <w:rFonts w:hAnsi="宋体"/>
                <w:b/>
                <w:color w:val="auto"/>
                <w:szCs w:val="21"/>
                <w:highlight w:val="none"/>
              </w:rPr>
            </w:pPr>
            <w:r>
              <w:rPr>
                <w:rFonts w:hint="eastAsia" w:hAnsi="宋体"/>
                <w:b/>
                <w:color w:val="auto"/>
                <w:szCs w:val="21"/>
                <w:highlight w:val="none"/>
              </w:rPr>
              <w:t>第二个信封（报价文件）评分分值构成：</w:t>
            </w:r>
          </w:p>
          <w:p w14:paraId="6ABFAC23">
            <w:pPr>
              <w:snapToGrid w:val="0"/>
              <w:spacing w:line="288" w:lineRule="auto"/>
              <w:rPr>
                <w:rFonts w:hAnsi="宋体"/>
                <w:color w:val="auto"/>
                <w:szCs w:val="21"/>
                <w:highlight w:val="none"/>
              </w:rPr>
            </w:pPr>
            <w:r>
              <w:rPr>
                <w:rFonts w:hint="eastAsia" w:hAnsi="宋体"/>
                <w:color w:val="auto"/>
                <w:szCs w:val="21"/>
                <w:highlight w:val="none"/>
              </w:rPr>
              <w:t>评标价：10分</w:t>
            </w:r>
          </w:p>
        </w:tc>
      </w:tr>
      <w:tr w14:paraId="6B4F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7B3636EB">
            <w:pPr>
              <w:ind w:right="113"/>
              <w:jc w:val="center"/>
              <w:rPr>
                <w:rFonts w:cs="Arial"/>
                <w:color w:val="auto"/>
                <w:szCs w:val="21"/>
                <w:highlight w:val="none"/>
              </w:rPr>
            </w:pPr>
            <w:r>
              <w:rPr>
                <w:rFonts w:cs="Arial"/>
                <w:color w:val="auto"/>
                <w:szCs w:val="21"/>
                <w:highlight w:val="none"/>
              </w:rPr>
              <w:t>2.2.2</w:t>
            </w:r>
          </w:p>
        </w:tc>
        <w:tc>
          <w:tcPr>
            <w:tcW w:w="1254" w:type="dxa"/>
            <w:noWrap w:val="0"/>
            <w:vAlign w:val="center"/>
          </w:tcPr>
          <w:p w14:paraId="1A21806A">
            <w:pPr>
              <w:ind w:right="113"/>
              <w:jc w:val="center"/>
              <w:rPr>
                <w:rFonts w:cs="Arial"/>
                <w:color w:val="auto"/>
                <w:szCs w:val="21"/>
                <w:highlight w:val="none"/>
              </w:rPr>
            </w:pPr>
            <w:r>
              <w:rPr>
                <w:rFonts w:hAnsi="宋体" w:cs="Arial"/>
                <w:color w:val="auto"/>
                <w:szCs w:val="21"/>
                <w:highlight w:val="none"/>
              </w:rPr>
              <w:t>评标基准价计算方法</w:t>
            </w:r>
          </w:p>
        </w:tc>
        <w:tc>
          <w:tcPr>
            <w:tcW w:w="6357" w:type="dxa"/>
            <w:noWrap w:val="0"/>
            <w:vAlign w:val="center"/>
          </w:tcPr>
          <w:p w14:paraId="1FF89795">
            <w:pPr>
              <w:snapToGrid w:val="0"/>
              <w:spacing w:line="288" w:lineRule="auto"/>
              <w:rPr>
                <w:rFonts w:cs="Arial"/>
                <w:color w:val="auto"/>
                <w:szCs w:val="21"/>
                <w:highlight w:val="none"/>
              </w:rPr>
            </w:pPr>
            <w:r>
              <w:rPr>
                <w:rFonts w:hint="eastAsia" w:cs="Arial"/>
                <w:color w:val="auto"/>
                <w:szCs w:val="21"/>
                <w:highlight w:val="none"/>
              </w:rPr>
              <w:t>评标基准价的计算：</w:t>
            </w:r>
          </w:p>
          <w:p w14:paraId="2F73161E">
            <w:pPr>
              <w:snapToGrid w:val="0"/>
              <w:spacing w:line="288" w:lineRule="auto"/>
              <w:rPr>
                <w:rFonts w:cs="Arial"/>
                <w:color w:val="auto"/>
                <w:szCs w:val="21"/>
                <w:highlight w:val="none"/>
              </w:rPr>
            </w:pPr>
            <w:r>
              <w:rPr>
                <w:rFonts w:hint="eastAsia" w:cs="Arial"/>
                <w:color w:val="auto"/>
                <w:szCs w:val="21"/>
                <w:highlight w:val="none"/>
              </w:rPr>
              <w:t>（</w:t>
            </w:r>
            <w:r>
              <w:rPr>
                <w:rFonts w:cs="Arial"/>
                <w:color w:val="auto"/>
                <w:szCs w:val="21"/>
                <w:highlight w:val="none"/>
              </w:rPr>
              <w:t>1</w:t>
            </w:r>
            <w:r>
              <w:rPr>
                <w:rFonts w:hint="eastAsia" w:cs="Arial"/>
                <w:color w:val="auto"/>
                <w:szCs w:val="21"/>
                <w:highlight w:val="none"/>
              </w:rPr>
              <w:t>）评标价的确定：</w:t>
            </w:r>
          </w:p>
          <w:p w14:paraId="4DA2C0BC">
            <w:pPr>
              <w:snapToGrid w:val="0"/>
              <w:spacing w:line="288" w:lineRule="auto"/>
              <w:rPr>
                <w:rFonts w:cs="Arial"/>
                <w:color w:val="auto"/>
                <w:szCs w:val="21"/>
                <w:highlight w:val="none"/>
              </w:rPr>
            </w:pPr>
            <w:r>
              <w:rPr>
                <w:rFonts w:hint="eastAsia" w:cs="Arial"/>
                <w:color w:val="auto"/>
                <w:szCs w:val="21"/>
                <w:highlight w:val="none"/>
              </w:rPr>
              <w:t>有效评标价＝第二个信封开标现场未被宣布为无效投标的投标报价函文字报价</w:t>
            </w:r>
          </w:p>
          <w:p w14:paraId="7D7A806B">
            <w:pPr>
              <w:snapToGrid w:val="0"/>
              <w:spacing w:line="288" w:lineRule="auto"/>
              <w:rPr>
                <w:rFonts w:cs="Arial"/>
                <w:color w:val="auto"/>
                <w:szCs w:val="21"/>
                <w:highlight w:val="none"/>
              </w:rPr>
            </w:pPr>
            <w:r>
              <w:rPr>
                <w:rFonts w:hint="eastAsia" w:cs="Arial"/>
                <w:color w:val="auto"/>
                <w:szCs w:val="21"/>
                <w:highlight w:val="none"/>
              </w:rPr>
              <w:t>出现第二章</w:t>
            </w:r>
            <w:r>
              <w:rPr>
                <w:rFonts w:cs="Arial"/>
                <w:color w:val="auto"/>
                <w:szCs w:val="21"/>
                <w:highlight w:val="none"/>
              </w:rPr>
              <w:t>“</w:t>
            </w:r>
            <w:r>
              <w:rPr>
                <w:rFonts w:hint="eastAsia" w:cs="Arial"/>
                <w:color w:val="auto"/>
                <w:szCs w:val="21"/>
                <w:highlight w:val="none"/>
              </w:rPr>
              <w:t>投标人须知</w:t>
            </w:r>
            <w:r>
              <w:rPr>
                <w:rFonts w:cs="Arial"/>
                <w:color w:val="auto"/>
                <w:szCs w:val="21"/>
                <w:highlight w:val="none"/>
              </w:rPr>
              <w:t>”</w:t>
            </w:r>
            <w:r>
              <w:rPr>
                <w:rFonts w:hint="eastAsia" w:cs="Arial"/>
                <w:color w:val="auto"/>
                <w:szCs w:val="21"/>
                <w:highlight w:val="none"/>
              </w:rPr>
              <w:t>第</w:t>
            </w:r>
            <w:r>
              <w:rPr>
                <w:rFonts w:cs="Arial"/>
                <w:color w:val="auto"/>
                <w:szCs w:val="21"/>
                <w:highlight w:val="none"/>
              </w:rPr>
              <w:t>5.2.4</w:t>
            </w:r>
            <w:r>
              <w:rPr>
                <w:rFonts w:hint="eastAsia" w:cs="Arial"/>
                <w:color w:val="auto"/>
                <w:szCs w:val="21"/>
                <w:highlight w:val="none"/>
              </w:rPr>
              <w:t>项所规定情况的投标文件，应做投标无效处理，其投标报价视为无效报价，不参与任何计算。</w:t>
            </w:r>
          </w:p>
          <w:p w14:paraId="1B2E0373">
            <w:pPr>
              <w:snapToGrid w:val="0"/>
              <w:spacing w:line="288" w:lineRule="auto"/>
              <w:rPr>
                <w:rFonts w:cs="Arial"/>
                <w:color w:val="auto"/>
                <w:szCs w:val="21"/>
                <w:highlight w:val="none"/>
              </w:rPr>
            </w:pPr>
            <w:r>
              <w:rPr>
                <w:rFonts w:hint="eastAsia" w:cs="Arial"/>
                <w:color w:val="auto"/>
                <w:szCs w:val="21"/>
                <w:highlight w:val="none"/>
              </w:rPr>
              <w:t>（</w:t>
            </w:r>
            <w:r>
              <w:rPr>
                <w:rFonts w:cs="Arial"/>
                <w:color w:val="auto"/>
                <w:szCs w:val="21"/>
                <w:highlight w:val="none"/>
              </w:rPr>
              <w:t>2</w:t>
            </w:r>
            <w:r>
              <w:rPr>
                <w:rFonts w:hint="eastAsia" w:cs="Arial"/>
                <w:color w:val="auto"/>
                <w:szCs w:val="21"/>
                <w:highlight w:val="none"/>
              </w:rPr>
              <w:t>）确定最终控制价上限</w:t>
            </w:r>
            <w:r>
              <w:rPr>
                <w:rFonts w:cs="Arial"/>
                <w:color w:val="auto"/>
                <w:szCs w:val="21"/>
                <w:highlight w:val="none"/>
              </w:rPr>
              <w:t>G2</w:t>
            </w:r>
          </w:p>
          <w:p w14:paraId="5AD6B3C3">
            <w:pPr>
              <w:snapToGrid w:val="0"/>
              <w:spacing w:line="288" w:lineRule="auto"/>
              <w:rPr>
                <w:rFonts w:cs="Arial"/>
                <w:color w:val="auto"/>
                <w:szCs w:val="21"/>
                <w:highlight w:val="none"/>
              </w:rPr>
            </w:pPr>
            <w:r>
              <w:rPr>
                <w:rFonts w:hint="eastAsia" w:cs="Arial"/>
                <w:color w:val="auto"/>
                <w:szCs w:val="21"/>
                <w:highlight w:val="none"/>
              </w:rPr>
              <w:t>第二个信封开标现场随机抽取投标控制价上限的下浮系数</w:t>
            </w:r>
            <w:r>
              <w:rPr>
                <w:rFonts w:cs="Arial"/>
                <w:color w:val="auto"/>
                <w:szCs w:val="21"/>
                <w:highlight w:val="none"/>
              </w:rPr>
              <w:t>X1</w:t>
            </w:r>
            <w:r>
              <w:rPr>
                <w:rFonts w:hint="eastAsia" w:cs="Arial"/>
                <w:color w:val="auto"/>
                <w:szCs w:val="21"/>
                <w:highlight w:val="none"/>
              </w:rPr>
              <w:t>。</w:t>
            </w:r>
          </w:p>
          <w:p w14:paraId="5D4D165E">
            <w:pPr>
              <w:snapToGrid w:val="0"/>
              <w:spacing w:line="288" w:lineRule="auto"/>
              <w:rPr>
                <w:rFonts w:cs="Arial"/>
                <w:color w:val="auto"/>
                <w:szCs w:val="21"/>
                <w:highlight w:val="none"/>
              </w:rPr>
            </w:pPr>
            <w:r>
              <w:rPr>
                <w:rFonts w:hint="eastAsia" w:cs="Arial"/>
                <w:color w:val="auto"/>
                <w:szCs w:val="21"/>
                <w:highlight w:val="none"/>
              </w:rPr>
              <w:t>（</w:t>
            </w:r>
            <w:r>
              <w:rPr>
                <w:rFonts w:cs="Arial"/>
                <w:color w:val="auto"/>
                <w:szCs w:val="21"/>
                <w:highlight w:val="none"/>
              </w:rPr>
              <w:t>X1</w:t>
            </w:r>
            <w:r>
              <w:rPr>
                <w:rFonts w:hint="eastAsia" w:cs="Arial"/>
                <w:color w:val="auto"/>
                <w:szCs w:val="21"/>
                <w:highlight w:val="none"/>
              </w:rPr>
              <w:t>为</w:t>
            </w:r>
            <w:r>
              <w:rPr>
                <w:rFonts w:cs="Arial"/>
                <w:color w:val="auto"/>
                <w:szCs w:val="21"/>
                <w:highlight w:val="none"/>
              </w:rPr>
              <w:t>0.5%</w:t>
            </w:r>
            <w:r>
              <w:rPr>
                <w:rFonts w:hint="eastAsia" w:cs="Arial"/>
                <w:color w:val="auto"/>
                <w:szCs w:val="21"/>
                <w:highlight w:val="none"/>
              </w:rPr>
              <w:t>、</w:t>
            </w:r>
            <w:r>
              <w:rPr>
                <w:rFonts w:cs="Arial"/>
                <w:color w:val="auto"/>
                <w:szCs w:val="21"/>
                <w:highlight w:val="none"/>
              </w:rPr>
              <w:t>1%</w:t>
            </w:r>
            <w:r>
              <w:rPr>
                <w:rFonts w:hint="eastAsia" w:cs="Arial"/>
                <w:color w:val="auto"/>
                <w:szCs w:val="21"/>
                <w:highlight w:val="none"/>
              </w:rPr>
              <w:t>、</w:t>
            </w:r>
            <w:r>
              <w:rPr>
                <w:rFonts w:cs="Arial"/>
                <w:color w:val="auto"/>
                <w:szCs w:val="21"/>
                <w:highlight w:val="none"/>
              </w:rPr>
              <w:t>1.5%</w:t>
            </w:r>
            <w:r>
              <w:rPr>
                <w:rFonts w:hint="eastAsia" w:cs="Arial"/>
                <w:color w:val="auto"/>
                <w:szCs w:val="21"/>
                <w:highlight w:val="none"/>
              </w:rPr>
              <w:t>、</w:t>
            </w:r>
            <w:r>
              <w:rPr>
                <w:rFonts w:cs="Arial"/>
                <w:color w:val="auto"/>
                <w:szCs w:val="21"/>
                <w:highlight w:val="none"/>
              </w:rPr>
              <w:t>2%</w:t>
            </w:r>
            <w:r>
              <w:rPr>
                <w:rFonts w:hint="eastAsia" w:cs="Arial"/>
                <w:color w:val="auto"/>
                <w:szCs w:val="21"/>
                <w:highlight w:val="none"/>
              </w:rPr>
              <w:t>、</w:t>
            </w:r>
            <w:r>
              <w:rPr>
                <w:rFonts w:cs="Arial"/>
                <w:color w:val="auto"/>
                <w:szCs w:val="21"/>
                <w:highlight w:val="none"/>
              </w:rPr>
              <w:t>2.5%</w:t>
            </w:r>
            <w:r>
              <w:rPr>
                <w:rFonts w:hint="eastAsia" w:cs="Arial"/>
                <w:color w:val="auto"/>
                <w:szCs w:val="21"/>
                <w:highlight w:val="none"/>
              </w:rPr>
              <w:t>、</w:t>
            </w:r>
            <w:r>
              <w:rPr>
                <w:rFonts w:cs="Arial"/>
                <w:color w:val="auto"/>
                <w:szCs w:val="21"/>
                <w:highlight w:val="none"/>
              </w:rPr>
              <w:t>3%</w:t>
            </w:r>
            <w:r>
              <w:rPr>
                <w:rFonts w:hint="eastAsia" w:cs="Arial"/>
                <w:color w:val="auto"/>
                <w:szCs w:val="21"/>
                <w:highlight w:val="none"/>
              </w:rPr>
              <w:t>六个数值中的一个）。</w:t>
            </w:r>
          </w:p>
          <w:p w14:paraId="37FA753A">
            <w:pPr>
              <w:snapToGrid w:val="0"/>
              <w:spacing w:line="288" w:lineRule="auto"/>
              <w:rPr>
                <w:rFonts w:cs="Arial"/>
                <w:color w:val="auto"/>
                <w:szCs w:val="21"/>
                <w:highlight w:val="none"/>
              </w:rPr>
            </w:pPr>
            <w:r>
              <w:rPr>
                <w:rFonts w:hint="eastAsia" w:cs="Arial"/>
                <w:color w:val="auto"/>
                <w:szCs w:val="21"/>
                <w:highlight w:val="none"/>
              </w:rPr>
              <w:t>最终控制价上限</w:t>
            </w:r>
            <w:r>
              <w:rPr>
                <w:rFonts w:cs="Arial"/>
                <w:color w:val="auto"/>
                <w:szCs w:val="21"/>
                <w:highlight w:val="none"/>
              </w:rPr>
              <w:t>G2=G1×</w:t>
            </w:r>
            <w:r>
              <w:rPr>
                <w:rFonts w:hint="eastAsia" w:cs="Arial"/>
                <w:color w:val="auto"/>
                <w:szCs w:val="21"/>
                <w:highlight w:val="none"/>
              </w:rPr>
              <w:t>（</w:t>
            </w:r>
            <w:r>
              <w:rPr>
                <w:rFonts w:cs="Arial"/>
                <w:color w:val="auto"/>
                <w:szCs w:val="21"/>
                <w:highlight w:val="none"/>
              </w:rPr>
              <w:t>1-X1</w:t>
            </w:r>
            <w:r>
              <w:rPr>
                <w:rFonts w:hint="eastAsia" w:cs="Arial"/>
                <w:color w:val="auto"/>
                <w:szCs w:val="21"/>
                <w:highlight w:val="none"/>
              </w:rPr>
              <w:t>）</w:t>
            </w:r>
          </w:p>
          <w:p w14:paraId="09DAC5A3">
            <w:pPr>
              <w:snapToGrid w:val="0"/>
              <w:spacing w:line="288" w:lineRule="auto"/>
              <w:rPr>
                <w:rFonts w:cs="Arial"/>
                <w:color w:val="auto"/>
                <w:szCs w:val="21"/>
                <w:highlight w:val="none"/>
              </w:rPr>
            </w:pPr>
            <w:r>
              <w:rPr>
                <w:rFonts w:cs="Arial"/>
                <w:color w:val="auto"/>
                <w:szCs w:val="21"/>
                <w:highlight w:val="none"/>
              </w:rPr>
              <w:t>G1=</w:t>
            </w:r>
            <w:r>
              <w:rPr>
                <w:rFonts w:hint="eastAsia" w:cs="Arial"/>
                <w:color w:val="auto"/>
                <w:szCs w:val="21"/>
                <w:highlight w:val="none"/>
              </w:rPr>
              <w:t>各标段最高投标限价（含暂列金额）。</w:t>
            </w:r>
          </w:p>
          <w:p w14:paraId="75E8A7C0">
            <w:pPr>
              <w:snapToGrid w:val="0"/>
              <w:spacing w:line="288" w:lineRule="auto"/>
              <w:rPr>
                <w:rFonts w:cs="Arial"/>
                <w:color w:val="auto"/>
                <w:szCs w:val="21"/>
                <w:highlight w:val="none"/>
              </w:rPr>
            </w:pPr>
            <w:r>
              <w:rPr>
                <w:rFonts w:hint="eastAsia" w:cs="Arial"/>
                <w:color w:val="auto"/>
                <w:szCs w:val="21"/>
                <w:highlight w:val="none"/>
              </w:rPr>
              <w:t>如投标人评标价高于本标段的</w:t>
            </w:r>
            <w:r>
              <w:rPr>
                <w:rFonts w:cs="Arial"/>
                <w:color w:val="auto"/>
                <w:szCs w:val="21"/>
                <w:highlight w:val="none"/>
              </w:rPr>
              <w:t>G2</w:t>
            </w:r>
            <w:r>
              <w:rPr>
                <w:rFonts w:hint="eastAsia" w:cs="Arial"/>
                <w:color w:val="auto"/>
                <w:szCs w:val="21"/>
                <w:highlight w:val="none"/>
              </w:rPr>
              <w:t>，则视其为超出招标人的支付能力，将不再参与后续任何计算，按投标无效处理。</w:t>
            </w:r>
          </w:p>
          <w:p w14:paraId="2935ADC4">
            <w:pPr>
              <w:snapToGrid w:val="0"/>
              <w:spacing w:line="288" w:lineRule="auto"/>
              <w:rPr>
                <w:rFonts w:cs="Arial"/>
                <w:color w:val="auto"/>
                <w:szCs w:val="21"/>
                <w:highlight w:val="none"/>
              </w:rPr>
            </w:pPr>
            <w:r>
              <w:rPr>
                <w:rFonts w:hint="eastAsia" w:cs="Arial"/>
                <w:color w:val="auto"/>
                <w:szCs w:val="21"/>
                <w:highlight w:val="none"/>
              </w:rPr>
              <w:t>（</w:t>
            </w:r>
            <w:r>
              <w:rPr>
                <w:rFonts w:cs="Arial"/>
                <w:color w:val="auto"/>
                <w:szCs w:val="21"/>
                <w:highlight w:val="none"/>
              </w:rPr>
              <w:t>3</w:t>
            </w:r>
            <w:r>
              <w:rPr>
                <w:rFonts w:hint="eastAsia" w:cs="Arial"/>
                <w:color w:val="auto"/>
                <w:szCs w:val="21"/>
                <w:highlight w:val="none"/>
              </w:rPr>
              <w:t>）确定理论成本价</w:t>
            </w:r>
            <w:r>
              <w:rPr>
                <w:rFonts w:cs="Arial"/>
                <w:color w:val="auto"/>
                <w:szCs w:val="21"/>
                <w:highlight w:val="none"/>
              </w:rPr>
              <w:t>LC</w:t>
            </w:r>
          </w:p>
          <w:p w14:paraId="75B21795">
            <w:pPr>
              <w:snapToGrid w:val="0"/>
              <w:spacing w:line="288" w:lineRule="auto"/>
              <w:rPr>
                <w:rFonts w:cs="Arial"/>
                <w:color w:val="auto"/>
                <w:szCs w:val="21"/>
                <w:highlight w:val="none"/>
              </w:rPr>
            </w:pPr>
            <w:r>
              <w:rPr>
                <w:rFonts w:hint="eastAsia" w:cs="Arial"/>
                <w:color w:val="auto"/>
                <w:szCs w:val="21"/>
                <w:highlight w:val="none"/>
              </w:rPr>
              <w:t>所有不高于</w:t>
            </w:r>
            <w:r>
              <w:rPr>
                <w:rFonts w:cs="Arial"/>
                <w:color w:val="auto"/>
                <w:szCs w:val="21"/>
                <w:highlight w:val="none"/>
              </w:rPr>
              <w:t>G2</w:t>
            </w:r>
            <w:r>
              <w:rPr>
                <w:rFonts w:hint="eastAsia" w:cs="Arial"/>
                <w:color w:val="auto"/>
                <w:szCs w:val="21"/>
                <w:highlight w:val="none"/>
              </w:rPr>
              <w:t>的有效评标价的算术平均值的</w:t>
            </w:r>
            <w:r>
              <w:rPr>
                <w:rFonts w:cs="Arial"/>
                <w:color w:val="auto"/>
                <w:szCs w:val="21"/>
                <w:highlight w:val="none"/>
              </w:rPr>
              <w:t>50%</w:t>
            </w:r>
            <w:r>
              <w:rPr>
                <w:rFonts w:hint="eastAsia" w:cs="Arial"/>
                <w:color w:val="auto"/>
                <w:szCs w:val="21"/>
                <w:highlight w:val="none"/>
              </w:rPr>
              <w:t>（当有效评标价有</w:t>
            </w:r>
            <w:r>
              <w:rPr>
                <w:rFonts w:cs="Arial"/>
                <w:color w:val="auto"/>
                <w:szCs w:val="21"/>
                <w:highlight w:val="none"/>
              </w:rPr>
              <w:t>5</w:t>
            </w:r>
            <w:r>
              <w:rPr>
                <w:rFonts w:hint="eastAsia" w:cs="Arial"/>
                <w:color w:val="auto"/>
                <w:szCs w:val="21"/>
                <w:highlight w:val="none"/>
              </w:rPr>
              <w:t>个及以上时，应去掉其中的最高值和最低值）与</w:t>
            </w:r>
            <w:r>
              <w:rPr>
                <w:rFonts w:cs="Arial"/>
                <w:color w:val="auto"/>
                <w:szCs w:val="21"/>
                <w:highlight w:val="none"/>
              </w:rPr>
              <w:t>G2</w:t>
            </w:r>
            <w:r>
              <w:rPr>
                <w:rFonts w:hint="eastAsia" w:cs="Arial"/>
                <w:color w:val="auto"/>
                <w:szCs w:val="21"/>
                <w:highlight w:val="none"/>
              </w:rPr>
              <w:t>的</w:t>
            </w:r>
            <w:r>
              <w:rPr>
                <w:rFonts w:cs="Arial"/>
                <w:color w:val="auto"/>
                <w:szCs w:val="21"/>
                <w:highlight w:val="none"/>
              </w:rPr>
              <w:t>50%</w:t>
            </w:r>
            <w:r>
              <w:rPr>
                <w:rFonts w:hint="eastAsia" w:cs="Arial"/>
                <w:color w:val="auto"/>
                <w:szCs w:val="21"/>
                <w:highlight w:val="none"/>
              </w:rPr>
              <w:t>相加后，乘以成本价系数</w:t>
            </w:r>
            <w:r>
              <w:rPr>
                <w:rFonts w:cs="Arial"/>
                <w:color w:val="auto"/>
                <w:szCs w:val="21"/>
                <w:highlight w:val="none"/>
              </w:rPr>
              <w:t>Z</w:t>
            </w:r>
            <w:r>
              <w:rPr>
                <w:rFonts w:hint="eastAsia" w:cs="Arial"/>
                <w:color w:val="auto"/>
                <w:szCs w:val="21"/>
                <w:highlight w:val="none"/>
              </w:rPr>
              <w:t>所得数值为该标段的理论成本价。</w:t>
            </w:r>
          </w:p>
          <w:p w14:paraId="27A30C9A">
            <w:pPr>
              <w:snapToGrid w:val="0"/>
              <w:spacing w:line="288" w:lineRule="auto"/>
              <w:rPr>
                <w:rFonts w:cs="Arial"/>
                <w:color w:val="auto"/>
                <w:szCs w:val="21"/>
                <w:highlight w:val="none"/>
              </w:rPr>
            </w:pPr>
            <w:r>
              <w:rPr>
                <w:rFonts w:cs="Arial"/>
                <w:color w:val="auto"/>
                <w:szCs w:val="21"/>
                <w:highlight w:val="none"/>
              </w:rPr>
              <w:t>LC=</w:t>
            </w:r>
            <w:r>
              <w:rPr>
                <w:rFonts w:hint="eastAsia" w:cs="Arial"/>
                <w:color w:val="auto"/>
                <w:szCs w:val="21"/>
                <w:highlight w:val="none"/>
              </w:rPr>
              <w:t>（</w:t>
            </w:r>
            <w:r>
              <w:rPr>
                <w:rFonts w:cs="Arial"/>
                <w:color w:val="auto"/>
                <w:szCs w:val="21"/>
                <w:highlight w:val="none"/>
              </w:rPr>
              <w:t>0.5×G2+0.5×SP1</w:t>
            </w:r>
            <w:r>
              <w:rPr>
                <w:rFonts w:hint="eastAsia" w:cs="Arial"/>
                <w:color w:val="auto"/>
                <w:szCs w:val="21"/>
                <w:highlight w:val="none"/>
              </w:rPr>
              <w:t>）</w:t>
            </w:r>
            <w:r>
              <w:rPr>
                <w:rFonts w:cs="Arial"/>
                <w:color w:val="auto"/>
                <w:szCs w:val="21"/>
                <w:highlight w:val="none"/>
              </w:rPr>
              <w:t>×0.85</w:t>
            </w:r>
          </w:p>
          <w:p w14:paraId="2F460F02">
            <w:pPr>
              <w:snapToGrid w:val="0"/>
              <w:spacing w:line="288" w:lineRule="auto"/>
              <w:rPr>
                <w:rFonts w:cs="Arial"/>
                <w:color w:val="auto"/>
                <w:szCs w:val="21"/>
                <w:highlight w:val="none"/>
              </w:rPr>
            </w:pPr>
            <w:r>
              <w:rPr>
                <w:rFonts w:cs="Arial"/>
                <w:color w:val="auto"/>
                <w:szCs w:val="21"/>
                <w:highlight w:val="none"/>
              </w:rPr>
              <w:t>SP1——</w:t>
            </w:r>
            <w:r>
              <w:rPr>
                <w:rFonts w:hint="eastAsia" w:cs="Arial"/>
                <w:color w:val="auto"/>
                <w:szCs w:val="21"/>
                <w:highlight w:val="none"/>
              </w:rPr>
              <w:t>该标段所有不高于</w:t>
            </w:r>
            <w:r>
              <w:rPr>
                <w:rFonts w:cs="Arial"/>
                <w:color w:val="auto"/>
                <w:szCs w:val="21"/>
                <w:highlight w:val="none"/>
              </w:rPr>
              <w:t>G2</w:t>
            </w:r>
            <w:r>
              <w:rPr>
                <w:rFonts w:hint="eastAsia" w:cs="Arial"/>
                <w:color w:val="auto"/>
                <w:szCs w:val="21"/>
                <w:highlight w:val="none"/>
              </w:rPr>
              <w:t>的有效评标价的算术平均值（当有效评标价有</w:t>
            </w:r>
            <w:r>
              <w:rPr>
                <w:rFonts w:cs="Arial"/>
                <w:color w:val="auto"/>
                <w:szCs w:val="21"/>
                <w:highlight w:val="none"/>
              </w:rPr>
              <w:t>5</w:t>
            </w:r>
            <w:r>
              <w:rPr>
                <w:rFonts w:hint="eastAsia" w:cs="Arial"/>
                <w:color w:val="auto"/>
                <w:szCs w:val="21"/>
                <w:highlight w:val="none"/>
              </w:rPr>
              <w:t>个及以上时，应去掉其中的最高值和最低值）</w:t>
            </w:r>
          </w:p>
          <w:p w14:paraId="42C91080">
            <w:pPr>
              <w:snapToGrid w:val="0"/>
              <w:spacing w:line="288" w:lineRule="auto"/>
              <w:rPr>
                <w:rFonts w:cs="Arial"/>
                <w:color w:val="auto"/>
                <w:szCs w:val="21"/>
                <w:highlight w:val="none"/>
              </w:rPr>
            </w:pPr>
            <w:r>
              <w:rPr>
                <w:rFonts w:hint="eastAsia" w:cs="Arial"/>
                <w:color w:val="auto"/>
                <w:szCs w:val="21"/>
                <w:highlight w:val="none"/>
              </w:rPr>
              <w:t>（</w:t>
            </w:r>
            <w:r>
              <w:rPr>
                <w:rFonts w:cs="Arial"/>
                <w:color w:val="auto"/>
                <w:szCs w:val="21"/>
                <w:highlight w:val="none"/>
              </w:rPr>
              <w:t>4</w:t>
            </w:r>
            <w:r>
              <w:rPr>
                <w:rFonts w:hint="eastAsia" w:cs="Arial"/>
                <w:color w:val="auto"/>
                <w:szCs w:val="21"/>
                <w:highlight w:val="none"/>
              </w:rPr>
              <w:t>）确定评标基准价</w:t>
            </w:r>
            <w:r>
              <w:rPr>
                <w:rFonts w:cs="Arial"/>
                <w:color w:val="auto"/>
                <w:szCs w:val="21"/>
                <w:highlight w:val="none"/>
              </w:rPr>
              <w:t>JZ</w:t>
            </w:r>
          </w:p>
          <w:p w14:paraId="6C76BF7E">
            <w:pPr>
              <w:snapToGrid w:val="0"/>
              <w:spacing w:line="288" w:lineRule="auto"/>
              <w:rPr>
                <w:rFonts w:cs="Arial"/>
                <w:color w:val="auto"/>
                <w:szCs w:val="21"/>
                <w:highlight w:val="none"/>
              </w:rPr>
            </w:pPr>
            <w:r>
              <w:rPr>
                <w:rFonts w:hint="eastAsia" w:cs="Arial"/>
                <w:color w:val="auto"/>
                <w:szCs w:val="21"/>
                <w:highlight w:val="none"/>
              </w:rPr>
              <w:t>评标基准价＝［最终投标控制价上限×加权系数＋有效评标价算术平均值×（</w:t>
            </w:r>
            <w:r>
              <w:rPr>
                <w:rFonts w:cs="Arial"/>
                <w:color w:val="auto"/>
                <w:szCs w:val="21"/>
                <w:highlight w:val="none"/>
              </w:rPr>
              <w:t>1-</w:t>
            </w:r>
            <w:r>
              <w:rPr>
                <w:rFonts w:hint="eastAsia" w:cs="Arial"/>
                <w:color w:val="auto"/>
                <w:szCs w:val="21"/>
                <w:highlight w:val="none"/>
              </w:rPr>
              <w:t>加权系数）］×评标基准价系数</w:t>
            </w:r>
          </w:p>
          <w:p w14:paraId="49D70993">
            <w:pPr>
              <w:snapToGrid w:val="0"/>
              <w:spacing w:line="288" w:lineRule="auto"/>
              <w:rPr>
                <w:rFonts w:cs="Arial"/>
                <w:color w:val="auto"/>
                <w:szCs w:val="21"/>
                <w:highlight w:val="none"/>
              </w:rPr>
            </w:pPr>
            <w:r>
              <w:rPr>
                <w:rFonts w:hint="eastAsia" w:cs="Arial"/>
                <w:color w:val="auto"/>
                <w:szCs w:val="21"/>
                <w:highlight w:val="none"/>
              </w:rPr>
              <w:t>式中：加权系数（</w:t>
            </w:r>
            <w:r>
              <w:rPr>
                <w:rFonts w:cs="Arial"/>
                <w:color w:val="auto"/>
                <w:szCs w:val="21"/>
                <w:highlight w:val="none"/>
              </w:rPr>
              <w:t>X2</w:t>
            </w:r>
            <w:r>
              <w:rPr>
                <w:rFonts w:hint="eastAsia" w:cs="Arial"/>
                <w:color w:val="auto"/>
                <w:szCs w:val="21"/>
                <w:highlight w:val="none"/>
              </w:rPr>
              <w:t>）应从</w:t>
            </w:r>
            <w:r>
              <w:rPr>
                <w:rFonts w:cs="Arial"/>
                <w:color w:val="auto"/>
                <w:szCs w:val="21"/>
                <w:highlight w:val="none"/>
              </w:rPr>
              <w:t>0.3</w:t>
            </w:r>
            <w:r>
              <w:rPr>
                <w:rFonts w:hint="eastAsia" w:cs="Arial"/>
                <w:color w:val="auto"/>
                <w:szCs w:val="21"/>
                <w:highlight w:val="none"/>
              </w:rPr>
              <w:t>、</w:t>
            </w:r>
            <w:r>
              <w:rPr>
                <w:rFonts w:cs="Arial"/>
                <w:color w:val="auto"/>
                <w:szCs w:val="21"/>
                <w:highlight w:val="none"/>
              </w:rPr>
              <w:t>0.35</w:t>
            </w:r>
            <w:r>
              <w:rPr>
                <w:rFonts w:hint="eastAsia" w:cs="Arial"/>
                <w:color w:val="auto"/>
                <w:szCs w:val="21"/>
                <w:highlight w:val="none"/>
              </w:rPr>
              <w:t>、</w:t>
            </w:r>
            <w:r>
              <w:rPr>
                <w:rFonts w:cs="Arial"/>
                <w:color w:val="auto"/>
                <w:szCs w:val="21"/>
                <w:highlight w:val="none"/>
              </w:rPr>
              <w:t>0.4</w:t>
            </w:r>
            <w:r>
              <w:rPr>
                <w:rFonts w:hint="eastAsia" w:cs="Arial"/>
                <w:color w:val="auto"/>
                <w:szCs w:val="21"/>
                <w:highlight w:val="none"/>
              </w:rPr>
              <w:t>中选取，评标基准价系数（</w:t>
            </w:r>
            <w:r>
              <w:rPr>
                <w:rFonts w:cs="Arial"/>
                <w:color w:val="auto"/>
                <w:szCs w:val="21"/>
                <w:highlight w:val="none"/>
              </w:rPr>
              <w:t>X3</w:t>
            </w:r>
            <w:r>
              <w:rPr>
                <w:rFonts w:hint="eastAsia" w:cs="Arial"/>
                <w:color w:val="auto"/>
                <w:szCs w:val="21"/>
                <w:highlight w:val="none"/>
              </w:rPr>
              <w:t>）应从</w:t>
            </w:r>
            <w:r>
              <w:rPr>
                <w:rFonts w:cs="Arial"/>
                <w:color w:val="auto"/>
                <w:szCs w:val="21"/>
                <w:highlight w:val="none"/>
              </w:rPr>
              <w:t>0.96</w:t>
            </w:r>
            <w:r>
              <w:rPr>
                <w:rFonts w:hint="eastAsia" w:cs="Arial"/>
                <w:color w:val="auto"/>
                <w:szCs w:val="21"/>
                <w:highlight w:val="none"/>
              </w:rPr>
              <w:t>、</w:t>
            </w:r>
            <w:r>
              <w:rPr>
                <w:rFonts w:cs="Arial"/>
                <w:color w:val="auto"/>
                <w:szCs w:val="21"/>
                <w:highlight w:val="none"/>
              </w:rPr>
              <w:t>0.97</w:t>
            </w:r>
            <w:r>
              <w:rPr>
                <w:rFonts w:hint="eastAsia" w:cs="Arial"/>
                <w:color w:val="auto"/>
                <w:szCs w:val="21"/>
                <w:highlight w:val="none"/>
              </w:rPr>
              <w:t>、</w:t>
            </w:r>
            <w:r>
              <w:rPr>
                <w:rFonts w:cs="Arial"/>
                <w:color w:val="auto"/>
                <w:szCs w:val="21"/>
                <w:highlight w:val="none"/>
              </w:rPr>
              <w:t>0.98</w:t>
            </w:r>
            <w:r>
              <w:rPr>
                <w:rFonts w:hint="eastAsia" w:cs="Arial"/>
                <w:color w:val="auto"/>
                <w:szCs w:val="21"/>
                <w:highlight w:val="none"/>
              </w:rPr>
              <w:t>、</w:t>
            </w:r>
            <w:r>
              <w:rPr>
                <w:rFonts w:cs="Arial"/>
                <w:color w:val="auto"/>
                <w:szCs w:val="21"/>
                <w:highlight w:val="none"/>
              </w:rPr>
              <w:t>0.99</w:t>
            </w:r>
            <w:r>
              <w:rPr>
                <w:rFonts w:hint="eastAsia" w:cs="Arial"/>
                <w:color w:val="auto"/>
                <w:szCs w:val="21"/>
                <w:highlight w:val="none"/>
              </w:rPr>
              <w:t>中选取，均由投标人代表或现场监督在开标现场随机抽取确定。</w:t>
            </w:r>
          </w:p>
          <w:p w14:paraId="5BA68D75">
            <w:pPr>
              <w:snapToGrid w:val="0"/>
              <w:spacing w:line="288" w:lineRule="auto"/>
              <w:rPr>
                <w:rFonts w:cs="Arial"/>
                <w:color w:val="auto"/>
                <w:szCs w:val="21"/>
                <w:highlight w:val="none"/>
              </w:rPr>
            </w:pPr>
            <w:r>
              <w:rPr>
                <w:rFonts w:hint="eastAsia" w:cs="Arial"/>
                <w:color w:val="auto"/>
                <w:szCs w:val="21"/>
                <w:highlight w:val="none"/>
              </w:rPr>
              <w:t>有效评标价指介于理论成本价（含）与最终投标控制价上限（含）范围内的评标价。当有效评标价数量大于</w:t>
            </w:r>
            <w:r>
              <w:rPr>
                <w:rFonts w:cs="Arial"/>
                <w:color w:val="auto"/>
                <w:szCs w:val="21"/>
                <w:highlight w:val="none"/>
              </w:rPr>
              <w:t>5</w:t>
            </w:r>
            <w:r>
              <w:rPr>
                <w:rFonts w:hint="eastAsia" w:cs="Arial"/>
                <w:color w:val="auto"/>
                <w:szCs w:val="21"/>
                <w:highlight w:val="none"/>
              </w:rPr>
              <w:t>时，应去掉其中的最高和最低值，再进行有效评标价算术平均值计算。</w:t>
            </w:r>
          </w:p>
          <w:p w14:paraId="111C46A1">
            <w:pPr>
              <w:snapToGrid w:val="0"/>
              <w:spacing w:line="288" w:lineRule="auto"/>
              <w:rPr>
                <w:rFonts w:cs="Arial"/>
                <w:color w:val="auto"/>
                <w:szCs w:val="21"/>
                <w:highlight w:val="none"/>
              </w:rPr>
            </w:pPr>
            <w:r>
              <w:rPr>
                <w:rFonts w:hint="eastAsia" w:cs="Arial"/>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58CA65DF">
            <w:pPr>
              <w:snapToGrid w:val="0"/>
              <w:spacing w:line="288" w:lineRule="auto"/>
              <w:rPr>
                <w:rFonts w:cs="Arial"/>
                <w:color w:val="auto"/>
                <w:szCs w:val="21"/>
                <w:highlight w:val="none"/>
              </w:rPr>
            </w:pPr>
            <w:r>
              <w:rPr>
                <w:rFonts w:hint="eastAsia" w:cs="Arial"/>
                <w:color w:val="auto"/>
                <w:szCs w:val="21"/>
                <w:highlight w:val="none"/>
              </w:rPr>
              <w:t>上述相关系数（</w:t>
            </w:r>
            <w:r>
              <w:rPr>
                <w:rFonts w:cs="Arial"/>
                <w:color w:val="auto"/>
                <w:szCs w:val="21"/>
                <w:highlight w:val="none"/>
              </w:rPr>
              <w:t>X1</w:t>
            </w:r>
            <w:r>
              <w:rPr>
                <w:rFonts w:hint="eastAsia" w:cs="Arial"/>
                <w:color w:val="auto"/>
                <w:szCs w:val="21"/>
                <w:highlight w:val="none"/>
              </w:rPr>
              <w:t>、</w:t>
            </w:r>
            <w:r>
              <w:rPr>
                <w:rFonts w:cs="Arial"/>
                <w:color w:val="auto"/>
                <w:szCs w:val="21"/>
                <w:highlight w:val="none"/>
              </w:rPr>
              <w:t>X2</w:t>
            </w:r>
            <w:r>
              <w:rPr>
                <w:rFonts w:hint="eastAsia" w:cs="Arial"/>
                <w:color w:val="auto"/>
                <w:szCs w:val="21"/>
                <w:highlight w:val="none"/>
              </w:rPr>
              <w:t>、</w:t>
            </w:r>
            <w:r>
              <w:rPr>
                <w:rFonts w:cs="Arial"/>
                <w:color w:val="auto"/>
                <w:szCs w:val="21"/>
                <w:highlight w:val="none"/>
              </w:rPr>
              <w:t>X3</w:t>
            </w:r>
            <w:r>
              <w:rPr>
                <w:rFonts w:hint="eastAsia" w:cs="Arial"/>
                <w:color w:val="auto"/>
                <w:szCs w:val="21"/>
                <w:highlight w:val="none"/>
              </w:rPr>
              <w:t>）在开标现场由投标人推举代表按标段随机抽取。</w:t>
            </w:r>
          </w:p>
        </w:tc>
      </w:tr>
      <w:tr w14:paraId="20B4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246B7D33">
            <w:pPr>
              <w:ind w:right="113"/>
              <w:jc w:val="center"/>
              <w:rPr>
                <w:rFonts w:cs="Arial"/>
                <w:color w:val="auto"/>
                <w:szCs w:val="21"/>
                <w:highlight w:val="none"/>
              </w:rPr>
            </w:pPr>
            <w:r>
              <w:rPr>
                <w:rFonts w:hint="eastAsia" w:cs="Arial"/>
                <w:color w:val="auto"/>
                <w:szCs w:val="21"/>
                <w:highlight w:val="none"/>
              </w:rPr>
              <w:t>2.2.3</w:t>
            </w:r>
          </w:p>
        </w:tc>
        <w:tc>
          <w:tcPr>
            <w:tcW w:w="1254" w:type="dxa"/>
            <w:noWrap w:val="0"/>
            <w:vAlign w:val="center"/>
          </w:tcPr>
          <w:p w14:paraId="55590A3B">
            <w:pPr>
              <w:ind w:right="113"/>
              <w:jc w:val="center"/>
              <w:rPr>
                <w:rFonts w:hAnsi="宋体" w:cs="Arial"/>
                <w:color w:val="auto"/>
                <w:szCs w:val="21"/>
                <w:highlight w:val="none"/>
              </w:rPr>
            </w:pPr>
            <w:r>
              <w:rPr>
                <w:rFonts w:hint="eastAsia" w:hAnsi="宋体" w:cs="Arial"/>
                <w:color w:val="auto"/>
                <w:szCs w:val="21"/>
                <w:highlight w:val="none"/>
              </w:rPr>
              <w:t>评标价的偏差率计算公式</w:t>
            </w:r>
          </w:p>
        </w:tc>
        <w:tc>
          <w:tcPr>
            <w:tcW w:w="6357" w:type="dxa"/>
            <w:noWrap w:val="0"/>
            <w:vAlign w:val="center"/>
          </w:tcPr>
          <w:p w14:paraId="36F70DDF">
            <w:pPr>
              <w:snapToGrid w:val="0"/>
              <w:rPr>
                <w:rFonts w:hAnsi="宋体"/>
                <w:color w:val="auto"/>
                <w:szCs w:val="21"/>
                <w:highlight w:val="none"/>
              </w:rPr>
            </w:pPr>
            <w:r>
              <w:rPr>
                <w:rFonts w:hint="eastAsia" w:hAnsi="宋体"/>
                <w:color w:val="auto"/>
                <w:szCs w:val="21"/>
                <w:highlight w:val="none"/>
              </w:rPr>
              <w:t>偏差率=100%×（投标人评标价-评标基准价）/评标基准价</w:t>
            </w:r>
          </w:p>
          <w:p w14:paraId="4ECF06CB">
            <w:pPr>
              <w:snapToGrid w:val="0"/>
              <w:rPr>
                <w:rFonts w:hAnsi="宋体"/>
                <w:color w:val="auto"/>
                <w:szCs w:val="21"/>
                <w:highlight w:val="none"/>
              </w:rPr>
            </w:pPr>
            <w:r>
              <w:rPr>
                <w:rFonts w:hint="eastAsia"/>
                <w:color w:val="auto"/>
                <w:szCs w:val="21"/>
                <w:highlight w:val="none"/>
              </w:rPr>
              <w:t>“</w:t>
            </w:r>
            <w:r>
              <w:rPr>
                <w:color w:val="auto"/>
                <w:szCs w:val="21"/>
                <w:highlight w:val="none"/>
              </w:rPr>
              <w:t>（投标人评标价－评标基准价）/评标基准价</w:t>
            </w:r>
            <w:r>
              <w:rPr>
                <w:rFonts w:hint="eastAsia"/>
                <w:color w:val="auto"/>
                <w:szCs w:val="21"/>
                <w:highlight w:val="none"/>
              </w:rPr>
              <w:t>”保留至</w:t>
            </w:r>
            <w:r>
              <w:rPr>
                <w:rFonts w:hint="eastAsia" w:cs="Arial"/>
                <w:color w:val="auto"/>
                <w:szCs w:val="21"/>
                <w:highlight w:val="none"/>
              </w:rPr>
              <w:t>小数点后三位，</w:t>
            </w:r>
            <w:r>
              <w:rPr>
                <w:rFonts w:hint="eastAsia" w:hAnsi="宋体"/>
                <w:color w:val="auto"/>
                <w:szCs w:val="21"/>
                <w:highlight w:val="none"/>
              </w:rPr>
              <w:t>小数点后第四位“四舍五入”。</w:t>
            </w:r>
          </w:p>
        </w:tc>
      </w:tr>
    </w:tbl>
    <w:p w14:paraId="43A33393">
      <w:pPr>
        <w:wordWrap w:val="0"/>
        <w:topLinePunct/>
        <w:rPr>
          <w:color w:val="auto"/>
          <w:highlight w:val="none"/>
        </w:rPr>
      </w:pPr>
      <w:r>
        <w:rPr>
          <w:color w:val="auto"/>
          <w:highlight w:val="none"/>
        </w:rPr>
        <w:br w:type="page"/>
      </w:r>
    </w:p>
    <w:tbl>
      <w:tblPr>
        <w:tblStyle w:val="11"/>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9" w:type="dxa"/>
          <w:left w:w="74" w:type="dxa"/>
          <w:bottom w:w="29" w:type="dxa"/>
          <w:right w:w="74" w:type="dxa"/>
        </w:tblCellMar>
      </w:tblPr>
      <w:tblGrid>
        <w:gridCol w:w="770"/>
        <w:gridCol w:w="698"/>
        <w:gridCol w:w="437"/>
        <w:gridCol w:w="985"/>
        <w:gridCol w:w="995"/>
        <w:gridCol w:w="1072"/>
        <w:gridCol w:w="708"/>
        <w:gridCol w:w="2831"/>
      </w:tblGrid>
      <w:tr w14:paraId="0F8F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277" w:hRule="atLeast"/>
          <w:jc w:val="center"/>
        </w:trPr>
        <w:tc>
          <w:tcPr>
            <w:tcW w:w="5665" w:type="dxa"/>
            <w:gridSpan w:val="7"/>
            <w:noWrap w:val="0"/>
            <w:vAlign w:val="center"/>
          </w:tcPr>
          <w:p w14:paraId="08EC5E5C">
            <w:pPr>
              <w:snapToGrid w:val="0"/>
              <w:jc w:val="center"/>
              <w:rPr>
                <w:rFonts w:ascii="宋体" w:hAnsi="宋体"/>
                <w:color w:val="auto"/>
                <w:szCs w:val="21"/>
                <w:highlight w:val="none"/>
              </w:rPr>
            </w:pPr>
            <w:r>
              <w:rPr>
                <w:color w:val="auto"/>
                <w:highlight w:val="none"/>
              </w:rPr>
              <w:br w:type="page"/>
            </w:r>
            <w:r>
              <w:rPr>
                <w:rFonts w:ascii="宋体" w:hAnsi="宋体"/>
                <w:color w:val="auto"/>
                <w:szCs w:val="21"/>
                <w:highlight w:val="none"/>
              </w:rPr>
              <w:t>评分因素与权重分值</w:t>
            </w:r>
          </w:p>
        </w:tc>
        <w:tc>
          <w:tcPr>
            <w:tcW w:w="2831" w:type="dxa"/>
            <w:vMerge w:val="restart"/>
            <w:noWrap w:val="0"/>
            <w:vAlign w:val="center"/>
          </w:tcPr>
          <w:p w14:paraId="46DD1F85">
            <w:pPr>
              <w:snapToGrid w:val="0"/>
              <w:jc w:val="center"/>
              <w:rPr>
                <w:rFonts w:ascii="宋体" w:hAnsi="宋体"/>
                <w:color w:val="auto"/>
                <w:szCs w:val="21"/>
                <w:highlight w:val="none"/>
              </w:rPr>
            </w:pPr>
            <w:r>
              <w:rPr>
                <w:rFonts w:ascii="宋体" w:hAnsi="宋体"/>
                <w:color w:val="auto"/>
                <w:szCs w:val="21"/>
                <w:highlight w:val="none"/>
              </w:rPr>
              <w:t>评分标准</w:t>
            </w:r>
          </w:p>
        </w:tc>
      </w:tr>
      <w:tr w14:paraId="3F94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660" w:hRule="atLeast"/>
          <w:jc w:val="center"/>
        </w:trPr>
        <w:tc>
          <w:tcPr>
            <w:tcW w:w="770" w:type="dxa"/>
            <w:noWrap w:val="0"/>
            <w:vAlign w:val="center"/>
          </w:tcPr>
          <w:p w14:paraId="662B5BBE">
            <w:pPr>
              <w:snapToGrid w:val="0"/>
              <w:jc w:val="center"/>
              <w:rPr>
                <w:rFonts w:ascii="宋体" w:hAnsi="宋体"/>
                <w:color w:val="auto"/>
                <w:szCs w:val="21"/>
                <w:highlight w:val="none"/>
              </w:rPr>
            </w:pPr>
            <w:r>
              <w:rPr>
                <w:rFonts w:ascii="宋体" w:hAnsi="宋体"/>
                <w:color w:val="auto"/>
                <w:szCs w:val="21"/>
                <w:highlight w:val="none"/>
              </w:rPr>
              <w:t>条款号</w:t>
            </w:r>
          </w:p>
        </w:tc>
        <w:tc>
          <w:tcPr>
            <w:tcW w:w="1135" w:type="dxa"/>
            <w:gridSpan w:val="2"/>
            <w:noWrap w:val="0"/>
            <w:vAlign w:val="center"/>
          </w:tcPr>
          <w:p w14:paraId="18BF8EAF">
            <w:pPr>
              <w:snapToGrid w:val="0"/>
              <w:jc w:val="center"/>
              <w:rPr>
                <w:rFonts w:ascii="宋体" w:hAnsi="宋体"/>
                <w:color w:val="auto"/>
                <w:szCs w:val="21"/>
                <w:highlight w:val="none"/>
              </w:rPr>
            </w:pPr>
            <w:r>
              <w:rPr>
                <w:rFonts w:ascii="宋体" w:hAnsi="宋体"/>
                <w:color w:val="auto"/>
                <w:szCs w:val="21"/>
                <w:highlight w:val="none"/>
              </w:rPr>
              <w:t>评分因素</w:t>
            </w:r>
          </w:p>
        </w:tc>
        <w:tc>
          <w:tcPr>
            <w:tcW w:w="985" w:type="dxa"/>
            <w:noWrap w:val="0"/>
            <w:vAlign w:val="center"/>
          </w:tcPr>
          <w:p w14:paraId="4E33EF84">
            <w:pPr>
              <w:snapToGrid w:val="0"/>
              <w:jc w:val="center"/>
              <w:rPr>
                <w:rFonts w:ascii="宋体" w:hAnsi="宋体"/>
                <w:color w:val="auto"/>
                <w:szCs w:val="21"/>
                <w:highlight w:val="none"/>
              </w:rPr>
            </w:pPr>
            <w:r>
              <w:rPr>
                <w:rFonts w:ascii="宋体" w:hAnsi="宋体"/>
                <w:color w:val="auto"/>
                <w:szCs w:val="21"/>
                <w:highlight w:val="none"/>
              </w:rPr>
              <w:t>评分因素权重分值</w:t>
            </w:r>
          </w:p>
        </w:tc>
        <w:tc>
          <w:tcPr>
            <w:tcW w:w="2067" w:type="dxa"/>
            <w:gridSpan w:val="2"/>
            <w:noWrap w:val="0"/>
            <w:vAlign w:val="center"/>
          </w:tcPr>
          <w:p w14:paraId="39F2FA7B">
            <w:pPr>
              <w:snapToGrid w:val="0"/>
              <w:jc w:val="center"/>
              <w:rPr>
                <w:rFonts w:ascii="宋体" w:hAnsi="宋体"/>
                <w:color w:val="auto"/>
                <w:szCs w:val="21"/>
                <w:highlight w:val="none"/>
              </w:rPr>
            </w:pPr>
            <w:r>
              <w:rPr>
                <w:rFonts w:ascii="宋体" w:hAnsi="宋体"/>
                <w:color w:val="auto"/>
                <w:szCs w:val="21"/>
                <w:highlight w:val="none"/>
              </w:rPr>
              <w:t>各评分因素细分项</w:t>
            </w:r>
          </w:p>
        </w:tc>
        <w:tc>
          <w:tcPr>
            <w:tcW w:w="708" w:type="dxa"/>
            <w:noWrap w:val="0"/>
            <w:vAlign w:val="center"/>
          </w:tcPr>
          <w:p w14:paraId="6835E68E">
            <w:pPr>
              <w:snapToGrid w:val="0"/>
              <w:jc w:val="center"/>
              <w:rPr>
                <w:rFonts w:ascii="宋体" w:hAnsi="宋体"/>
                <w:color w:val="auto"/>
                <w:szCs w:val="21"/>
                <w:highlight w:val="none"/>
              </w:rPr>
            </w:pPr>
            <w:r>
              <w:rPr>
                <w:rFonts w:ascii="宋体" w:hAnsi="宋体"/>
                <w:color w:val="auto"/>
                <w:szCs w:val="21"/>
                <w:highlight w:val="none"/>
              </w:rPr>
              <w:t>分值</w:t>
            </w:r>
          </w:p>
        </w:tc>
        <w:tc>
          <w:tcPr>
            <w:tcW w:w="2831" w:type="dxa"/>
            <w:vMerge w:val="continue"/>
            <w:noWrap w:val="0"/>
            <w:vAlign w:val="center"/>
          </w:tcPr>
          <w:p w14:paraId="012780C3">
            <w:pPr>
              <w:snapToGrid w:val="0"/>
              <w:jc w:val="center"/>
              <w:rPr>
                <w:rFonts w:ascii="宋体" w:hAnsi="宋体"/>
                <w:color w:val="auto"/>
                <w:szCs w:val="21"/>
                <w:highlight w:val="none"/>
              </w:rPr>
            </w:pPr>
          </w:p>
        </w:tc>
      </w:tr>
      <w:tr w14:paraId="6234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454" w:hRule="atLeast"/>
          <w:jc w:val="center"/>
        </w:trPr>
        <w:tc>
          <w:tcPr>
            <w:tcW w:w="770" w:type="dxa"/>
            <w:vMerge w:val="restart"/>
            <w:noWrap w:val="0"/>
            <w:vAlign w:val="center"/>
          </w:tcPr>
          <w:p w14:paraId="4D5AEA0A">
            <w:pPr>
              <w:snapToGrid w:val="0"/>
              <w:jc w:val="center"/>
              <w:rPr>
                <w:rFonts w:cs="Arial"/>
                <w:color w:val="auto"/>
                <w:szCs w:val="21"/>
                <w:highlight w:val="none"/>
              </w:rPr>
            </w:pPr>
            <w:r>
              <w:rPr>
                <w:rFonts w:cs="Arial"/>
                <w:color w:val="auto"/>
                <w:szCs w:val="21"/>
                <w:highlight w:val="none"/>
              </w:rPr>
              <w:t>2.2.4</w:t>
            </w:r>
            <w:r>
              <w:rPr>
                <w:rFonts w:hAnsi="宋体" w:cs="Arial"/>
                <w:color w:val="auto"/>
                <w:szCs w:val="21"/>
                <w:highlight w:val="none"/>
              </w:rPr>
              <w:t>（</w:t>
            </w:r>
            <w:r>
              <w:rPr>
                <w:rFonts w:cs="Arial"/>
                <w:color w:val="auto"/>
                <w:szCs w:val="21"/>
                <w:highlight w:val="none"/>
              </w:rPr>
              <w:t>1</w:t>
            </w:r>
            <w:r>
              <w:rPr>
                <w:rFonts w:hAnsi="宋体" w:cs="Arial"/>
                <w:color w:val="auto"/>
                <w:szCs w:val="21"/>
                <w:highlight w:val="none"/>
              </w:rPr>
              <w:t>）</w:t>
            </w:r>
          </w:p>
        </w:tc>
        <w:tc>
          <w:tcPr>
            <w:tcW w:w="1135" w:type="dxa"/>
            <w:gridSpan w:val="2"/>
            <w:vMerge w:val="restart"/>
            <w:noWrap w:val="0"/>
            <w:vAlign w:val="center"/>
          </w:tcPr>
          <w:p w14:paraId="60E650B2">
            <w:pPr>
              <w:snapToGrid w:val="0"/>
              <w:jc w:val="center"/>
              <w:rPr>
                <w:rFonts w:cs="Arial"/>
                <w:color w:val="auto"/>
                <w:szCs w:val="21"/>
                <w:highlight w:val="none"/>
              </w:rPr>
            </w:pPr>
            <w:r>
              <w:rPr>
                <w:rFonts w:hint="eastAsia" w:hAnsi="宋体" w:cs="Arial"/>
                <w:color w:val="auto"/>
                <w:szCs w:val="21"/>
                <w:highlight w:val="none"/>
              </w:rPr>
              <w:t>技术建议书</w:t>
            </w:r>
          </w:p>
        </w:tc>
        <w:tc>
          <w:tcPr>
            <w:tcW w:w="985" w:type="dxa"/>
            <w:vMerge w:val="restart"/>
            <w:noWrap w:val="0"/>
            <w:vAlign w:val="center"/>
          </w:tcPr>
          <w:p w14:paraId="44DC6A71">
            <w:pPr>
              <w:snapToGrid w:val="0"/>
              <w:jc w:val="center"/>
              <w:rPr>
                <w:rFonts w:cs="Arial"/>
                <w:color w:val="auto"/>
                <w:szCs w:val="21"/>
                <w:highlight w:val="none"/>
              </w:rPr>
            </w:pPr>
            <w:r>
              <w:rPr>
                <w:rFonts w:hint="eastAsia" w:hAnsi="宋体" w:cs="Arial"/>
                <w:color w:val="auto"/>
                <w:szCs w:val="21"/>
                <w:highlight w:val="none"/>
                <w:lang w:val="en-US" w:eastAsia="zh-CN"/>
              </w:rPr>
              <w:t>35</w:t>
            </w:r>
            <w:r>
              <w:rPr>
                <w:rFonts w:hAnsi="宋体" w:cs="Arial"/>
                <w:color w:val="auto"/>
                <w:szCs w:val="21"/>
                <w:highlight w:val="none"/>
              </w:rPr>
              <w:t>分</w:t>
            </w:r>
          </w:p>
        </w:tc>
        <w:tc>
          <w:tcPr>
            <w:tcW w:w="2067" w:type="dxa"/>
            <w:gridSpan w:val="2"/>
            <w:noWrap w:val="0"/>
            <w:vAlign w:val="center"/>
          </w:tcPr>
          <w:p w14:paraId="61673675">
            <w:pPr>
              <w:pStyle w:val="13"/>
              <w:jc w:val="center"/>
              <w:rPr>
                <w:color w:val="auto"/>
                <w:sz w:val="21"/>
                <w:szCs w:val="21"/>
                <w:highlight w:val="none"/>
              </w:rPr>
            </w:pPr>
            <w:r>
              <w:rPr>
                <w:rFonts w:hint="eastAsia"/>
                <w:color w:val="auto"/>
                <w:sz w:val="21"/>
                <w:szCs w:val="21"/>
                <w:highlight w:val="none"/>
              </w:rPr>
              <w:t>对招标项目的理解和总体设计思路</w:t>
            </w:r>
          </w:p>
        </w:tc>
        <w:tc>
          <w:tcPr>
            <w:tcW w:w="708" w:type="dxa"/>
            <w:noWrap w:val="0"/>
            <w:vAlign w:val="center"/>
          </w:tcPr>
          <w:p w14:paraId="0103D526">
            <w:pPr>
              <w:snapToGrid w:val="0"/>
              <w:jc w:val="center"/>
              <w:rPr>
                <w:rFonts w:hint="default" w:eastAsia="宋体" w:cs="Arial"/>
                <w:color w:val="auto"/>
                <w:szCs w:val="21"/>
                <w:highlight w:val="none"/>
                <w:lang w:val="en-US" w:eastAsia="zh-CN"/>
              </w:rPr>
            </w:pPr>
            <w:r>
              <w:rPr>
                <w:rFonts w:hint="eastAsia" w:cs="Arial"/>
                <w:color w:val="auto"/>
                <w:szCs w:val="21"/>
                <w:highlight w:val="none"/>
                <w:lang w:val="en-US" w:eastAsia="zh-CN"/>
              </w:rPr>
              <w:t>7</w:t>
            </w:r>
          </w:p>
        </w:tc>
        <w:tc>
          <w:tcPr>
            <w:tcW w:w="2831" w:type="dxa"/>
            <w:vMerge w:val="restart"/>
            <w:noWrap w:val="0"/>
            <w:vAlign w:val="center"/>
          </w:tcPr>
          <w:p w14:paraId="07562499">
            <w:pPr>
              <w:snapToGrid w:val="0"/>
              <w:rPr>
                <w:rFonts w:cs="Arial"/>
                <w:color w:val="auto"/>
                <w:szCs w:val="21"/>
                <w:highlight w:val="none"/>
              </w:rPr>
            </w:pPr>
            <w:r>
              <w:rPr>
                <w:rFonts w:hint="eastAsia"/>
                <w:color w:val="auto"/>
                <w:szCs w:val="21"/>
                <w:highlight w:val="none"/>
              </w:rPr>
              <w:t>每项基本分</w:t>
            </w:r>
            <w:r>
              <w:rPr>
                <w:rFonts w:hint="eastAsia"/>
                <w:color w:val="auto"/>
                <w:szCs w:val="21"/>
                <w:highlight w:val="none"/>
                <w:lang w:val="en-US" w:eastAsia="zh-CN"/>
              </w:rPr>
              <w:t>4.2</w:t>
            </w:r>
            <w:r>
              <w:rPr>
                <w:rFonts w:hint="eastAsia"/>
                <w:color w:val="auto"/>
                <w:szCs w:val="21"/>
                <w:highlight w:val="none"/>
              </w:rPr>
              <w:t>分。评标委员会根据技术建议书是否合理，酌情加分，每项最高加</w:t>
            </w:r>
            <w:r>
              <w:rPr>
                <w:rFonts w:hint="eastAsia"/>
                <w:color w:val="auto"/>
                <w:szCs w:val="21"/>
                <w:highlight w:val="none"/>
                <w:lang w:val="en-US" w:eastAsia="zh-CN"/>
              </w:rPr>
              <w:t>2.8</w:t>
            </w:r>
            <w:r>
              <w:rPr>
                <w:rFonts w:hint="eastAsia"/>
                <w:color w:val="auto"/>
                <w:szCs w:val="21"/>
                <w:highlight w:val="none"/>
              </w:rPr>
              <w:t>分</w:t>
            </w:r>
            <w:r>
              <w:rPr>
                <w:color w:val="auto"/>
                <w:szCs w:val="21"/>
                <w:highlight w:val="none"/>
              </w:rPr>
              <w:t>。</w:t>
            </w:r>
          </w:p>
        </w:tc>
      </w:tr>
      <w:tr w14:paraId="69B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454" w:hRule="atLeast"/>
          <w:jc w:val="center"/>
        </w:trPr>
        <w:tc>
          <w:tcPr>
            <w:tcW w:w="770" w:type="dxa"/>
            <w:vMerge w:val="continue"/>
            <w:noWrap w:val="0"/>
            <w:vAlign w:val="center"/>
          </w:tcPr>
          <w:p w14:paraId="07C2F6D9">
            <w:pPr>
              <w:snapToGrid w:val="0"/>
              <w:jc w:val="center"/>
              <w:rPr>
                <w:rFonts w:cs="Arial"/>
                <w:color w:val="auto"/>
                <w:szCs w:val="21"/>
                <w:highlight w:val="none"/>
              </w:rPr>
            </w:pPr>
          </w:p>
        </w:tc>
        <w:tc>
          <w:tcPr>
            <w:tcW w:w="1135" w:type="dxa"/>
            <w:gridSpan w:val="2"/>
            <w:vMerge w:val="continue"/>
            <w:noWrap w:val="0"/>
            <w:vAlign w:val="center"/>
          </w:tcPr>
          <w:p w14:paraId="0EA1252C">
            <w:pPr>
              <w:snapToGrid w:val="0"/>
              <w:jc w:val="center"/>
              <w:rPr>
                <w:rFonts w:hAnsi="宋体" w:cs="Arial"/>
                <w:color w:val="auto"/>
                <w:szCs w:val="21"/>
                <w:highlight w:val="none"/>
              </w:rPr>
            </w:pPr>
          </w:p>
        </w:tc>
        <w:tc>
          <w:tcPr>
            <w:tcW w:w="985" w:type="dxa"/>
            <w:vMerge w:val="continue"/>
            <w:noWrap w:val="0"/>
            <w:vAlign w:val="center"/>
          </w:tcPr>
          <w:p w14:paraId="0DC65D49">
            <w:pPr>
              <w:snapToGrid w:val="0"/>
              <w:jc w:val="center"/>
              <w:rPr>
                <w:rFonts w:cs="Arial"/>
                <w:color w:val="auto"/>
                <w:szCs w:val="21"/>
                <w:highlight w:val="none"/>
              </w:rPr>
            </w:pPr>
          </w:p>
        </w:tc>
        <w:tc>
          <w:tcPr>
            <w:tcW w:w="2067" w:type="dxa"/>
            <w:gridSpan w:val="2"/>
            <w:noWrap w:val="0"/>
            <w:vAlign w:val="center"/>
          </w:tcPr>
          <w:p w14:paraId="684EB449">
            <w:pPr>
              <w:pStyle w:val="13"/>
              <w:jc w:val="center"/>
              <w:rPr>
                <w:color w:val="auto"/>
                <w:sz w:val="21"/>
                <w:szCs w:val="21"/>
                <w:highlight w:val="none"/>
              </w:rPr>
            </w:pPr>
            <w:r>
              <w:rPr>
                <w:rFonts w:hint="eastAsia"/>
                <w:color w:val="auto"/>
                <w:sz w:val="21"/>
                <w:szCs w:val="21"/>
                <w:highlight w:val="none"/>
              </w:rPr>
              <w:t>招标项目</w:t>
            </w:r>
            <w:r>
              <w:rPr>
                <w:rFonts w:hint="eastAsia"/>
                <w:color w:val="auto"/>
                <w:sz w:val="21"/>
                <w:szCs w:val="21"/>
                <w:highlight w:val="none"/>
                <w:lang w:eastAsia="zh-CN"/>
              </w:rPr>
              <w:t>设计</w:t>
            </w:r>
            <w:r>
              <w:rPr>
                <w:rFonts w:hint="eastAsia"/>
                <w:color w:val="auto"/>
                <w:sz w:val="21"/>
                <w:szCs w:val="21"/>
                <w:highlight w:val="none"/>
              </w:rPr>
              <w:t>的特点、关键技术问题的认识及其对策措施</w:t>
            </w:r>
          </w:p>
        </w:tc>
        <w:tc>
          <w:tcPr>
            <w:tcW w:w="708" w:type="dxa"/>
            <w:noWrap w:val="0"/>
            <w:vAlign w:val="center"/>
          </w:tcPr>
          <w:p w14:paraId="52ECBFFF">
            <w:pPr>
              <w:snapToGrid w:val="0"/>
              <w:jc w:val="center"/>
              <w:rPr>
                <w:rFonts w:hint="default" w:eastAsia="宋体" w:cs="Arial"/>
                <w:color w:val="auto"/>
                <w:szCs w:val="21"/>
                <w:highlight w:val="none"/>
                <w:lang w:val="en-US" w:eastAsia="zh-CN"/>
              </w:rPr>
            </w:pPr>
            <w:r>
              <w:rPr>
                <w:rFonts w:hint="eastAsia" w:cs="Arial"/>
                <w:color w:val="auto"/>
                <w:szCs w:val="21"/>
                <w:highlight w:val="none"/>
                <w:lang w:val="en-US" w:eastAsia="zh-CN"/>
              </w:rPr>
              <w:t>7</w:t>
            </w:r>
          </w:p>
        </w:tc>
        <w:tc>
          <w:tcPr>
            <w:tcW w:w="2831" w:type="dxa"/>
            <w:vMerge w:val="continue"/>
            <w:noWrap w:val="0"/>
            <w:vAlign w:val="center"/>
          </w:tcPr>
          <w:p w14:paraId="1CE50FF1">
            <w:pPr>
              <w:snapToGrid w:val="0"/>
              <w:jc w:val="center"/>
              <w:rPr>
                <w:color w:val="auto"/>
                <w:szCs w:val="21"/>
                <w:highlight w:val="none"/>
              </w:rPr>
            </w:pPr>
          </w:p>
        </w:tc>
      </w:tr>
      <w:tr w14:paraId="59F5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454" w:hRule="atLeast"/>
          <w:jc w:val="center"/>
        </w:trPr>
        <w:tc>
          <w:tcPr>
            <w:tcW w:w="770" w:type="dxa"/>
            <w:vMerge w:val="continue"/>
            <w:noWrap w:val="0"/>
            <w:vAlign w:val="center"/>
          </w:tcPr>
          <w:p w14:paraId="2D0D0445">
            <w:pPr>
              <w:snapToGrid w:val="0"/>
              <w:jc w:val="center"/>
              <w:rPr>
                <w:rFonts w:cs="Arial"/>
                <w:color w:val="auto"/>
                <w:szCs w:val="21"/>
                <w:highlight w:val="none"/>
              </w:rPr>
            </w:pPr>
          </w:p>
        </w:tc>
        <w:tc>
          <w:tcPr>
            <w:tcW w:w="1135" w:type="dxa"/>
            <w:gridSpan w:val="2"/>
            <w:vMerge w:val="continue"/>
            <w:noWrap w:val="0"/>
            <w:vAlign w:val="center"/>
          </w:tcPr>
          <w:p w14:paraId="087FE26F">
            <w:pPr>
              <w:snapToGrid w:val="0"/>
              <w:jc w:val="center"/>
              <w:rPr>
                <w:rFonts w:hAnsi="宋体" w:cs="Arial"/>
                <w:color w:val="auto"/>
                <w:szCs w:val="21"/>
                <w:highlight w:val="none"/>
              </w:rPr>
            </w:pPr>
          </w:p>
        </w:tc>
        <w:tc>
          <w:tcPr>
            <w:tcW w:w="985" w:type="dxa"/>
            <w:vMerge w:val="continue"/>
            <w:noWrap w:val="0"/>
            <w:vAlign w:val="center"/>
          </w:tcPr>
          <w:p w14:paraId="314FA142">
            <w:pPr>
              <w:snapToGrid w:val="0"/>
              <w:jc w:val="center"/>
              <w:rPr>
                <w:rFonts w:cs="Arial"/>
                <w:color w:val="auto"/>
                <w:szCs w:val="21"/>
                <w:highlight w:val="none"/>
              </w:rPr>
            </w:pPr>
          </w:p>
        </w:tc>
        <w:tc>
          <w:tcPr>
            <w:tcW w:w="2067" w:type="dxa"/>
            <w:gridSpan w:val="2"/>
            <w:noWrap w:val="0"/>
            <w:vAlign w:val="center"/>
          </w:tcPr>
          <w:p w14:paraId="7A0DE384">
            <w:pPr>
              <w:pStyle w:val="13"/>
              <w:jc w:val="center"/>
              <w:rPr>
                <w:color w:val="auto"/>
                <w:sz w:val="21"/>
                <w:szCs w:val="21"/>
                <w:highlight w:val="none"/>
              </w:rPr>
            </w:pPr>
            <w:r>
              <w:rPr>
                <w:rFonts w:hint="eastAsia"/>
                <w:color w:val="auto"/>
                <w:sz w:val="21"/>
                <w:szCs w:val="21"/>
                <w:highlight w:val="none"/>
                <w:lang w:eastAsia="zh-CN"/>
              </w:rPr>
              <w:t>设计</w:t>
            </w:r>
            <w:r>
              <w:rPr>
                <w:rFonts w:hint="eastAsia"/>
                <w:color w:val="auto"/>
                <w:sz w:val="21"/>
                <w:szCs w:val="21"/>
                <w:highlight w:val="none"/>
              </w:rPr>
              <w:t>工作量及计划安排</w:t>
            </w:r>
          </w:p>
        </w:tc>
        <w:tc>
          <w:tcPr>
            <w:tcW w:w="708" w:type="dxa"/>
            <w:noWrap w:val="0"/>
            <w:vAlign w:val="center"/>
          </w:tcPr>
          <w:p w14:paraId="0C431BD1">
            <w:pPr>
              <w:snapToGrid w:val="0"/>
              <w:jc w:val="center"/>
              <w:rPr>
                <w:rFonts w:hint="default" w:eastAsia="宋体" w:cs="Arial"/>
                <w:color w:val="auto"/>
                <w:szCs w:val="21"/>
                <w:highlight w:val="none"/>
                <w:lang w:val="en-US" w:eastAsia="zh-CN"/>
              </w:rPr>
            </w:pPr>
            <w:r>
              <w:rPr>
                <w:rFonts w:hint="eastAsia" w:cs="Arial"/>
                <w:color w:val="auto"/>
                <w:szCs w:val="21"/>
                <w:highlight w:val="none"/>
                <w:lang w:val="en-US" w:eastAsia="zh-CN"/>
              </w:rPr>
              <w:t>7</w:t>
            </w:r>
          </w:p>
        </w:tc>
        <w:tc>
          <w:tcPr>
            <w:tcW w:w="2831" w:type="dxa"/>
            <w:vMerge w:val="continue"/>
            <w:noWrap w:val="0"/>
            <w:vAlign w:val="center"/>
          </w:tcPr>
          <w:p w14:paraId="5F837716">
            <w:pPr>
              <w:snapToGrid w:val="0"/>
              <w:jc w:val="center"/>
              <w:rPr>
                <w:color w:val="auto"/>
                <w:szCs w:val="21"/>
                <w:highlight w:val="none"/>
              </w:rPr>
            </w:pPr>
          </w:p>
        </w:tc>
      </w:tr>
      <w:tr w14:paraId="6870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454" w:hRule="atLeast"/>
          <w:jc w:val="center"/>
        </w:trPr>
        <w:tc>
          <w:tcPr>
            <w:tcW w:w="770" w:type="dxa"/>
            <w:vMerge w:val="continue"/>
            <w:noWrap w:val="0"/>
            <w:vAlign w:val="center"/>
          </w:tcPr>
          <w:p w14:paraId="6C96BB9D">
            <w:pPr>
              <w:snapToGrid w:val="0"/>
              <w:jc w:val="center"/>
              <w:rPr>
                <w:rFonts w:cs="Arial"/>
                <w:color w:val="auto"/>
                <w:szCs w:val="21"/>
                <w:highlight w:val="none"/>
              </w:rPr>
            </w:pPr>
          </w:p>
        </w:tc>
        <w:tc>
          <w:tcPr>
            <w:tcW w:w="1135" w:type="dxa"/>
            <w:gridSpan w:val="2"/>
            <w:vMerge w:val="continue"/>
            <w:noWrap w:val="0"/>
            <w:vAlign w:val="center"/>
          </w:tcPr>
          <w:p w14:paraId="5179BE6A">
            <w:pPr>
              <w:snapToGrid w:val="0"/>
              <w:jc w:val="center"/>
              <w:rPr>
                <w:rFonts w:cs="Arial"/>
                <w:color w:val="auto"/>
                <w:szCs w:val="21"/>
                <w:highlight w:val="none"/>
              </w:rPr>
            </w:pPr>
          </w:p>
        </w:tc>
        <w:tc>
          <w:tcPr>
            <w:tcW w:w="985" w:type="dxa"/>
            <w:vMerge w:val="continue"/>
            <w:noWrap w:val="0"/>
            <w:vAlign w:val="center"/>
          </w:tcPr>
          <w:p w14:paraId="7BE95B9D">
            <w:pPr>
              <w:snapToGrid w:val="0"/>
              <w:jc w:val="center"/>
              <w:rPr>
                <w:rFonts w:cs="Arial"/>
                <w:color w:val="auto"/>
                <w:szCs w:val="21"/>
                <w:highlight w:val="none"/>
              </w:rPr>
            </w:pPr>
          </w:p>
        </w:tc>
        <w:tc>
          <w:tcPr>
            <w:tcW w:w="2067" w:type="dxa"/>
            <w:gridSpan w:val="2"/>
            <w:noWrap w:val="0"/>
            <w:vAlign w:val="center"/>
          </w:tcPr>
          <w:p w14:paraId="3AC26D03">
            <w:pPr>
              <w:pStyle w:val="13"/>
              <w:jc w:val="center"/>
              <w:rPr>
                <w:color w:val="auto"/>
                <w:sz w:val="21"/>
                <w:szCs w:val="21"/>
                <w:highlight w:val="none"/>
              </w:rPr>
            </w:pPr>
            <w:r>
              <w:rPr>
                <w:rFonts w:hint="eastAsia"/>
                <w:color w:val="auto"/>
                <w:sz w:val="21"/>
                <w:szCs w:val="21"/>
                <w:highlight w:val="none"/>
                <w:lang w:eastAsia="zh-CN"/>
              </w:rPr>
              <w:t>设计</w:t>
            </w:r>
            <w:r>
              <w:rPr>
                <w:rFonts w:hint="eastAsia"/>
                <w:color w:val="auto"/>
                <w:sz w:val="21"/>
                <w:szCs w:val="21"/>
                <w:highlight w:val="none"/>
              </w:rPr>
              <w:t>的质量保证措施、进度保证措施、安全保证措施</w:t>
            </w:r>
          </w:p>
        </w:tc>
        <w:tc>
          <w:tcPr>
            <w:tcW w:w="708" w:type="dxa"/>
            <w:noWrap w:val="0"/>
            <w:vAlign w:val="center"/>
          </w:tcPr>
          <w:p w14:paraId="0100B908">
            <w:pPr>
              <w:snapToGrid w:val="0"/>
              <w:jc w:val="center"/>
              <w:rPr>
                <w:rFonts w:hint="default" w:eastAsia="宋体" w:cs="Arial"/>
                <w:color w:val="auto"/>
                <w:szCs w:val="21"/>
                <w:highlight w:val="none"/>
                <w:lang w:val="en-US" w:eastAsia="zh-CN"/>
              </w:rPr>
            </w:pPr>
            <w:r>
              <w:rPr>
                <w:rFonts w:hint="eastAsia" w:cs="Arial"/>
                <w:color w:val="auto"/>
                <w:szCs w:val="21"/>
                <w:highlight w:val="none"/>
                <w:lang w:val="en-US" w:eastAsia="zh-CN"/>
              </w:rPr>
              <w:t>7</w:t>
            </w:r>
          </w:p>
        </w:tc>
        <w:tc>
          <w:tcPr>
            <w:tcW w:w="2831" w:type="dxa"/>
            <w:vMerge w:val="continue"/>
            <w:noWrap w:val="0"/>
            <w:vAlign w:val="center"/>
          </w:tcPr>
          <w:p w14:paraId="67B94590">
            <w:pPr>
              <w:snapToGrid w:val="0"/>
              <w:jc w:val="center"/>
              <w:rPr>
                <w:rFonts w:cs="Arial"/>
                <w:color w:val="auto"/>
                <w:szCs w:val="21"/>
                <w:highlight w:val="none"/>
              </w:rPr>
            </w:pPr>
          </w:p>
        </w:tc>
      </w:tr>
      <w:tr w14:paraId="7A33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380" w:hRule="atLeast"/>
          <w:jc w:val="center"/>
        </w:trPr>
        <w:tc>
          <w:tcPr>
            <w:tcW w:w="770" w:type="dxa"/>
            <w:vMerge w:val="continue"/>
            <w:noWrap w:val="0"/>
            <w:vAlign w:val="center"/>
          </w:tcPr>
          <w:p w14:paraId="34B964B0">
            <w:pPr>
              <w:snapToGrid w:val="0"/>
              <w:jc w:val="center"/>
              <w:rPr>
                <w:rFonts w:cs="Arial"/>
                <w:color w:val="auto"/>
                <w:szCs w:val="21"/>
                <w:highlight w:val="none"/>
              </w:rPr>
            </w:pPr>
          </w:p>
        </w:tc>
        <w:tc>
          <w:tcPr>
            <w:tcW w:w="1135" w:type="dxa"/>
            <w:gridSpan w:val="2"/>
            <w:vMerge w:val="continue"/>
            <w:noWrap w:val="0"/>
            <w:vAlign w:val="center"/>
          </w:tcPr>
          <w:p w14:paraId="108B2AAB">
            <w:pPr>
              <w:snapToGrid w:val="0"/>
              <w:jc w:val="center"/>
              <w:rPr>
                <w:rFonts w:cs="Arial"/>
                <w:color w:val="auto"/>
                <w:szCs w:val="21"/>
                <w:highlight w:val="none"/>
              </w:rPr>
            </w:pPr>
          </w:p>
        </w:tc>
        <w:tc>
          <w:tcPr>
            <w:tcW w:w="985" w:type="dxa"/>
            <w:vMerge w:val="continue"/>
            <w:noWrap w:val="0"/>
            <w:vAlign w:val="center"/>
          </w:tcPr>
          <w:p w14:paraId="1D00D6DC">
            <w:pPr>
              <w:snapToGrid w:val="0"/>
              <w:jc w:val="center"/>
              <w:rPr>
                <w:rFonts w:cs="Arial"/>
                <w:color w:val="auto"/>
                <w:szCs w:val="21"/>
                <w:highlight w:val="none"/>
              </w:rPr>
            </w:pPr>
          </w:p>
        </w:tc>
        <w:tc>
          <w:tcPr>
            <w:tcW w:w="2067" w:type="dxa"/>
            <w:gridSpan w:val="2"/>
            <w:noWrap w:val="0"/>
            <w:vAlign w:val="center"/>
          </w:tcPr>
          <w:p w14:paraId="7D55E574">
            <w:pPr>
              <w:snapToGrid w:val="0"/>
              <w:jc w:val="center"/>
              <w:rPr>
                <w:rFonts w:cs="Arial"/>
                <w:color w:val="auto"/>
                <w:szCs w:val="21"/>
                <w:highlight w:val="none"/>
              </w:rPr>
            </w:pPr>
            <w:r>
              <w:rPr>
                <w:rFonts w:hint="eastAsia" w:cs="Arial"/>
                <w:color w:val="auto"/>
                <w:szCs w:val="21"/>
                <w:highlight w:val="none"/>
              </w:rPr>
              <w:t>后续服务的安排及保证措施</w:t>
            </w:r>
          </w:p>
        </w:tc>
        <w:tc>
          <w:tcPr>
            <w:tcW w:w="708" w:type="dxa"/>
            <w:noWrap w:val="0"/>
            <w:vAlign w:val="center"/>
          </w:tcPr>
          <w:p w14:paraId="2081FA89">
            <w:pPr>
              <w:snapToGrid w:val="0"/>
              <w:jc w:val="center"/>
              <w:rPr>
                <w:rFonts w:hint="default" w:eastAsia="宋体" w:cs="Arial"/>
                <w:color w:val="auto"/>
                <w:szCs w:val="21"/>
                <w:highlight w:val="none"/>
                <w:lang w:val="en-US" w:eastAsia="zh-CN"/>
              </w:rPr>
            </w:pPr>
            <w:r>
              <w:rPr>
                <w:rFonts w:hint="eastAsia" w:cs="Arial"/>
                <w:color w:val="auto"/>
                <w:szCs w:val="21"/>
                <w:highlight w:val="none"/>
                <w:lang w:val="en-US" w:eastAsia="zh-CN"/>
              </w:rPr>
              <w:t>7</w:t>
            </w:r>
          </w:p>
        </w:tc>
        <w:tc>
          <w:tcPr>
            <w:tcW w:w="2831" w:type="dxa"/>
            <w:vMerge w:val="continue"/>
            <w:noWrap w:val="0"/>
            <w:vAlign w:val="center"/>
          </w:tcPr>
          <w:p w14:paraId="1F07D0EA">
            <w:pPr>
              <w:snapToGrid w:val="0"/>
              <w:jc w:val="center"/>
              <w:rPr>
                <w:rFonts w:cs="Arial"/>
                <w:color w:val="auto"/>
                <w:szCs w:val="21"/>
                <w:highlight w:val="none"/>
              </w:rPr>
            </w:pPr>
          </w:p>
        </w:tc>
      </w:tr>
      <w:tr w14:paraId="0F3F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844" w:hRule="atLeast"/>
          <w:jc w:val="center"/>
        </w:trPr>
        <w:tc>
          <w:tcPr>
            <w:tcW w:w="770" w:type="dxa"/>
            <w:vMerge w:val="restart"/>
            <w:noWrap w:val="0"/>
            <w:vAlign w:val="center"/>
          </w:tcPr>
          <w:p w14:paraId="7F2E3045">
            <w:pPr>
              <w:snapToGrid w:val="0"/>
              <w:jc w:val="center"/>
              <w:rPr>
                <w:rFonts w:cs="Arial"/>
                <w:color w:val="auto"/>
                <w:szCs w:val="21"/>
                <w:highlight w:val="none"/>
              </w:rPr>
            </w:pPr>
            <w:r>
              <w:rPr>
                <w:rFonts w:cs="Arial"/>
                <w:color w:val="auto"/>
                <w:szCs w:val="21"/>
                <w:highlight w:val="none"/>
              </w:rPr>
              <w:t>2.2.4</w:t>
            </w:r>
            <w:r>
              <w:rPr>
                <w:rFonts w:hAnsi="宋体" w:cs="Arial"/>
                <w:color w:val="auto"/>
                <w:szCs w:val="21"/>
                <w:highlight w:val="none"/>
              </w:rPr>
              <w:t>（</w:t>
            </w:r>
            <w:r>
              <w:rPr>
                <w:rFonts w:cs="Arial"/>
                <w:color w:val="auto"/>
                <w:szCs w:val="21"/>
                <w:highlight w:val="none"/>
              </w:rPr>
              <w:t>2</w:t>
            </w:r>
            <w:r>
              <w:rPr>
                <w:rFonts w:hAnsi="宋体" w:cs="Arial"/>
                <w:color w:val="auto"/>
                <w:szCs w:val="21"/>
                <w:highlight w:val="none"/>
              </w:rPr>
              <w:t>）</w:t>
            </w:r>
          </w:p>
        </w:tc>
        <w:tc>
          <w:tcPr>
            <w:tcW w:w="1135" w:type="dxa"/>
            <w:gridSpan w:val="2"/>
            <w:vMerge w:val="restart"/>
            <w:noWrap w:val="0"/>
            <w:vAlign w:val="center"/>
          </w:tcPr>
          <w:p w14:paraId="4A523F2F">
            <w:pPr>
              <w:snapToGrid w:val="0"/>
              <w:jc w:val="center"/>
              <w:rPr>
                <w:rFonts w:cs="Arial"/>
                <w:color w:val="auto"/>
                <w:szCs w:val="21"/>
                <w:highlight w:val="none"/>
              </w:rPr>
            </w:pPr>
            <w:r>
              <w:rPr>
                <w:rFonts w:hAnsi="宋体" w:cs="Arial"/>
                <w:color w:val="auto"/>
                <w:szCs w:val="21"/>
                <w:highlight w:val="none"/>
              </w:rPr>
              <w:t>主要人员</w:t>
            </w:r>
          </w:p>
        </w:tc>
        <w:tc>
          <w:tcPr>
            <w:tcW w:w="985" w:type="dxa"/>
            <w:vMerge w:val="restart"/>
            <w:noWrap w:val="0"/>
            <w:vAlign w:val="center"/>
          </w:tcPr>
          <w:p w14:paraId="6C3CB9E9">
            <w:pPr>
              <w:snapToGrid w:val="0"/>
              <w:jc w:val="center"/>
              <w:rPr>
                <w:rFonts w:cs="Arial"/>
                <w:color w:val="auto"/>
                <w:szCs w:val="21"/>
                <w:highlight w:val="none"/>
              </w:rPr>
            </w:pPr>
            <w:r>
              <w:rPr>
                <w:rFonts w:hint="eastAsia" w:hAnsi="宋体" w:cs="Arial"/>
                <w:color w:val="auto"/>
                <w:szCs w:val="21"/>
                <w:highlight w:val="none"/>
                <w:lang w:val="en-US" w:eastAsia="zh-CN"/>
              </w:rPr>
              <w:t>40</w:t>
            </w:r>
            <w:r>
              <w:rPr>
                <w:rFonts w:hAnsi="宋体" w:cs="Arial"/>
                <w:color w:val="auto"/>
                <w:szCs w:val="21"/>
                <w:highlight w:val="none"/>
              </w:rPr>
              <w:t>分</w:t>
            </w:r>
          </w:p>
        </w:tc>
        <w:tc>
          <w:tcPr>
            <w:tcW w:w="2067" w:type="dxa"/>
            <w:gridSpan w:val="2"/>
            <w:vMerge w:val="restart"/>
            <w:noWrap w:val="0"/>
            <w:vAlign w:val="center"/>
          </w:tcPr>
          <w:p w14:paraId="746977AE">
            <w:pPr>
              <w:snapToGrid w:val="0"/>
              <w:jc w:val="center"/>
              <w:rPr>
                <w:rFonts w:cs="Arial"/>
                <w:color w:val="auto"/>
                <w:szCs w:val="21"/>
                <w:highlight w:val="none"/>
              </w:rPr>
            </w:pPr>
            <w:r>
              <w:rPr>
                <w:rFonts w:hint="eastAsia"/>
                <w:color w:val="auto"/>
                <w:szCs w:val="21"/>
                <w:highlight w:val="none"/>
              </w:rPr>
              <w:t>项目负责人任职资格与业绩</w:t>
            </w:r>
          </w:p>
        </w:tc>
        <w:tc>
          <w:tcPr>
            <w:tcW w:w="708" w:type="dxa"/>
            <w:vMerge w:val="restart"/>
            <w:noWrap w:val="0"/>
            <w:vAlign w:val="center"/>
          </w:tcPr>
          <w:p w14:paraId="2090F1AE">
            <w:pPr>
              <w:snapToGrid w:val="0"/>
              <w:jc w:val="center"/>
              <w:rPr>
                <w:rFonts w:hint="default" w:eastAsia="宋体" w:cs="Arial"/>
                <w:color w:val="auto"/>
                <w:szCs w:val="21"/>
                <w:highlight w:val="none"/>
                <w:lang w:val="en-US" w:eastAsia="zh-CN"/>
              </w:rPr>
            </w:pPr>
            <w:r>
              <w:rPr>
                <w:rFonts w:hint="eastAsia" w:cs="Arial"/>
                <w:color w:val="auto"/>
                <w:szCs w:val="21"/>
                <w:highlight w:val="none"/>
                <w:lang w:val="en-US" w:eastAsia="zh-CN"/>
              </w:rPr>
              <w:t>40</w:t>
            </w:r>
          </w:p>
        </w:tc>
        <w:tc>
          <w:tcPr>
            <w:tcW w:w="2831" w:type="dxa"/>
            <w:noWrap w:val="0"/>
            <w:vAlign w:val="center"/>
          </w:tcPr>
          <w:p w14:paraId="00D9E6C1">
            <w:pPr>
              <w:snapToGrid w:val="0"/>
              <w:rPr>
                <w:rFonts w:cs="Arial"/>
                <w:color w:val="auto"/>
                <w:szCs w:val="21"/>
                <w:highlight w:val="none"/>
              </w:rPr>
            </w:pPr>
            <w:r>
              <w:rPr>
                <w:rFonts w:hint="eastAsia"/>
                <w:color w:val="auto"/>
                <w:highlight w:val="none"/>
              </w:rPr>
              <w:t>满足资格审查条件（项目负责人最低要求）得</w:t>
            </w:r>
            <w:r>
              <w:rPr>
                <w:rFonts w:hint="eastAsia"/>
                <w:color w:val="auto"/>
                <w:highlight w:val="none"/>
                <w:lang w:val="en-US" w:eastAsia="zh-CN"/>
              </w:rPr>
              <w:t>24</w:t>
            </w:r>
            <w:r>
              <w:rPr>
                <w:rFonts w:hint="eastAsia"/>
                <w:color w:val="auto"/>
                <w:highlight w:val="none"/>
              </w:rPr>
              <w:t>分：</w:t>
            </w:r>
          </w:p>
        </w:tc>
      </w:tr>
      <w:tr w14:paraId="4EC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2330" w:hRule="atLeast"/>
          <w:jc w:val="center"/>
        </w:trPr>
        <w:tc>
          <w:tcPr>
            <w:tcW w:w="770" w:type="dxa"/>
            <w:vMerge w:val="continue"/>
            <w:noWrap w:val="0"/>
            <w:vAlign w:val="center"/>
          </w:tcPr>
          <w:p w14:paraId="369CE356">
            <w:pPr>
              <w:pStyle w:val="5"/>
              <w:rPr>
                <w:color w:val="auto"/>
                <w:highlight w:val="none"/>
              </w:rPr>
            </w:pPr>
          </w:p>
        </w:tc>
        <w:tc>
          <w:tcPr>
            <w:tcW w:w="1135" w:type="dxa"/>
            <w:gridSpan w:val="2"/>
            <w:vMerge w:val="continue"/>
            <w:noWrap w:val="0"/>
            <w:vAlign w:val="center"/>
          </w:tcPr>
          <w:p w14:paraId="35FABB74">
            <w:pPr>
              <w:pStyle w:val="5"/>
              <w:rPr>
                <w:color w:val="auto"/>
                <w:highlight w:val="none"/>
              </w:rPr>
            </w:pPr>
          </w:p>
        </w:tc>
        <w:tc>
          <w:tcPr>
            <w:tcW w:w="985" w:type="dxa"/>
            <w:vMerge w:val="continue"/>
            <w:noWrap w:val="0"/>
            <w:vAlign w:val="center"/>
          </w:tcPr>
          <w:p w14:paraId="73F6F4A4">
            <w:pPr>
              <w:pStyle w:val="5"/>
              <w:rPr>
                <w:color w:val="auto"/>
                <w:highlight w:val="none"/>
              </w:rPr>
            </w:pPr>
          </w:p>
        </w:tc>
        <w:tc>
          <w:tcPr>
            <w:tcW w:w="2067" w:type="dxa"/>
            <w:gridSpan w:val="2"/>
            <w:vMerge w:val="continue"/>
            <w:noWrap w:val="0"/>
            <w:vAlign w:val="center"/>
          </w:tcPr>
          <w:p w14:paraId="41477D20">
            <w:pPr>
              <w:pStyle w:val="5"/>
              <w:rPr>
                <w:color w:val="auto"/>
                <w:highlight w:val="none"/>
              </w:rPr>
            </w:pPr>
          </w:p>
        </w:tc>
        <w:tc>
          <w:tcPr>
            <w:tcW w:w="708" w:type="dxa"/>
            <w:vMerge w:val="continue"/>
            <w:noWrap w:val="0"/>
            <w:vAlign w:val="center"/>
          </w:tcPr>
          <w:p w14:paraId="63A336C1">
            <w:pPr>
              <w:pStyle w:val="5"/>
              <w:rPr>
                <w:color w:val="auto"/>
                <w:highlight w:val="none"/>
              </w:rPr>
            </w:pPr>
          </w:p>
        </w:tc>
        <w:tc>
          <w:tcPr>
            <w:tcW w:w="2831" w:type="dxa"/>
            <w:noWrap w:val="0"/>
            <w:vAlign w:val="center"/>
          </w:tcPr>
          <w:p w14:paraId="5D23FB97">
            <w:pPr>
              <w:snapToGrid w:val="0"/>
              <w:rPr>
                <w:rFonts w:hint="eastAsia"/>
                <w:color w:val="auto"/>
                <w:highlight w:val="none"/>
              </w:rPr>
            </w:pPr>
            <w:r>
              <w:rPr>
                <w:rFonts w:hint="eastAsia"/>
                <w:color w:val="auto"/>
                <w:highlight w:val="none"/>
              </w:rPr>
              <w:t>满足资格审查条件（项目负责人最低要求）得</w:t>
            </w:r>
            <w:r>
              <w:rPr>
                <w:rFonts w:hint="eastAsia"/>
                <w:color w:val="auto"/>
                <w:highlight w:val="none"/>
                <w:lang w:val="en-US" w:eastAsia="zh-CN"/>
              </w:rPr>
              <w:t>24</w:t>
            </w:r>
            <w:r>
              <w:rPr>
                <w:rFonts w:hint="eastAsia"/>
                <w:color w:val="auto"/>
                <w:highlight w:val="none"/>
              </w:rPr>
              <w:t>分：</w:t>
            </w:r>
          </w:p>
          <w:p w14:paraId="3B3606BD">
            <w:pPr>
              <w:pStyle w:val="5"/>
              <w:numPr>
                <w:ilvl w:val="0"/>
                <w:numId w:val="0"/>
              </w:numPr>
              <w:rPr>
                <w:rFonts w:hint="eastAsia" w:cs="Arial"/>
                <w:color w:val="auto"/>
                <w:szCs w:val="21"/>
                <w:highlight w:val="none"/>
              </w:rPr>
            </w:pPr>
            <w:r>
              <w:rPr>
                <w:rFonts w:hint="eastAsia" w:cs="Arial"/>
                <w:color w:val="auto"/>
                <w:szCs w:val="21"/>
                <w:highlight w:val="none"/>
              </w:rPr>
              <w:t xml:space="preserve"> ①具有公路工程相关专业正高级技术职称的，加 </w:t>
            </w:r>
            <w:r>
              <w:rPr>
                <w:rFonts w:hint="eastAsia" w:cs="Arial"/>
                <w:color w:val="auto"/>
                <w:szCs w:val="21"/>
                <w:highlight w:val="none"/>
                <w:lang w:val="en-US" w:eastAsia="zh-CN"/>
              </w:rPr>
              <w:t>2</w:t>
            </w:r>
            <w:r>
              <w:rPr>
                <w:rFonts w:hint="eastAsia" w:cs="Arial"/>
                <w:color w:val="auto"/>
                <w:szCs w:val="21"/>
                <w:highlight w:val="none"/>
              </w:rPr>
              <w:t xml:space="preserve"> 分</w:t>
            </w:r>
            <w:r>
              <w:rPr>
                <w:rFonts w:hint="eastAsia" w:cs="Arial"/>
                <w:color w:val="auto"/>
                <w:szCs w:val="21"/>
                <w:highlight w:val="none"/>
                <w:lang w:eastAsia="zh-CN"/>
              </w:rPr>
              <w:t>。②</w:t>
            </w:r>
            <w:r>
              <w:rPr>
                <w:rFonts w:hint="eastAsia" w:cs="Arial"/>
                <w:color w:val="auto"/>
                <w:szCs w:val="21"/>
                <w:highlight w:val="none"/>
              </w:rPr>
              <w:t>具有注册土木工程师（岩土）执业证书 或注册土木工程师（</w:t>
            </w:r>
            <w:bookmarkStart w:id="29" w:name="_GoBack"/>
            <w:bookmarkEnd w:id="29"/>
            <w:r>
              <w:rPr>
                <w:rFonts w:hint="eastAsia" w:cs="Arial"/>
                <w:color w:val="auto"/>
                <w:szCs w:val="21"/>
                <w:highlight w:val="none"/>
              </w:rPr>
              <w:t>道路）执业证书或 二级注册结构工程师执业证书或公路专 业咨询工程师（投资）登记证书的，加 1 分</w:t>
            </w:r>
            <w:r>
              <w:rPr>
                <w:rFonts w:hint="eastAsia" w:cs="Arial"/>
                <w:color w:val="auto"/>
                <w:szCs w:val="21"/>
                <w:highlight w:val="none"/>
                <w:lang w:eastAsia="zh-CN"/>
              </w:rPr>
              <w:t>，</w:t>
            </w:r>
            <w:r>
              <w:rPr>
                <w:rFonts w:hint="eastAsia" w:cs="Arial"/>
                <w:color w:val="auto"/>
                <w:szCs w:val="21"/>
                <w:highlight w:val="none"/>
              </w:rPr>
              <w:t>最高</w:t>
            </w:r>
            <w:r>
              <w:rPr>
                <w:rFonts w:hint="eastAsia" w:cs="Arial"/>
                <w:color w:val="auto"/>
                <w:szCs w:val="21"/>
                <w:highlight w:val="none"/>
                <w:lang w:eastAsia="zh-CN"/>
              </w:rPr>
              <w:t>加</w:t>
            </w:r>
            <w:r>
              <w:rPr>
                <w:rFonts w:hint="eastAsia" w:cs="Arial"/>
                <w:color w:val="auto"/>
                <w:szCs w:val="21"/>
                <w:highlight w:val="none"/>
              </w:rPr>
              <w:t xml:space="preserve"> 2 分；</w:t>
            </w:r>
          </w:p>
          <w:p w14:paraId="0C5ED5C5">
            <w:pPr>
              <w:pStyle w:val="5"/>
              <w:rPr>
                <w:rFonts w:hint="eastAsia" w:cs="Arial"/>
                <w:color w:val="auto"/>
                <w:szCs w:val="21"/>
                <w:highlight w:val="none"/>
              </w:rPr>
            </w:pPr>
            <w:r>
              <w:rPr>
                <w:rFonts w:hint="eastAsia" w:cs="Arial"/>
                <w:color w:val="auto"/>
                <w:szCs w:val="21"/>
                <w:highlight w:val="none"/>
                <w:lang w:eastAsia="zh-CN"/>
              </w:rPr>
              <w:t>③</w:t>
            </w:r>
            <w:r>
              <w:rPr>
                <w:rFonts w:hint="eastAsia" w:cs="Arial"/>
                <w:color w:val="auto"/>
                <w:szCs w:val="21"/>
                <w:highlight w:val="none"/>
              </w:rPr>
              <w:t>作为项目负责人每增加 1 项满足资格审查条件（项目负责人最低要求）的勘察设计业绩，加 2 分，本项最高得 6 分。</w:t>
            </w:r>
          </w:p>
          <w:p w14:paraId="782D102F">
            <w:pPr>
              <w:pStyle w:val="5"/>
              <w:rPr>
                <w:rFonts w:hint="eastAsia" w:cs="Arial"/>
                <w:color w:val="auto"/>
                <w:szCs w:val="21"/>
                <w:highlight w:val="none"/>
              </w:rPr>
            </w:pPr>
            <w:r>
              <w:rPr>
                <w:rFonts w:hint="eastAsia" w:cs="Arial"/>
                <w:color w:val="auto"/>
                <w:szCs w:val="21"/>
                <w:highlight w:val="none"/>
              </w:rPr>
              <w:t>注：上述业绩不重复加分。</w:t>
            </w:r>
          </w:p>
          <w:p w14:paraId="7D3CCA92">
            <w:pPr>
              <w:pStyle w:val="5"/>
              <w:rPr>
                <w:rFonts w:hint="eastAsia" w:cs="Arial"/>
                <w:color w:val="auto"/>
                <w:szCs w:val="21"/>
                <w:highlight w:val="none"/>
              </w:rPr>
            </w:pPr>
            <w:r>
              <w:rPr>
                <w:rFonts w:hint="eastAsia" w:cs="Arial"/>
                <w:color w:val="auto"/>
                <w:szCs w:val="21"/>
                <w:highlight w:val="none"/>
              </w:rPr>
              <w:t xml:space="preserve">3、勘察设计分项负责人 </w:t>
            </w:r>
          </w:p>
          <w:p w14:paraId="45DBBCEE">
            <w:pPr>
              <w:pStyle w:val="5"/>
              <w:rPr>
                <w:rFonts w:hint="eastAsia" w:cs="Arial"/>
                <w:color w:val="auto"/>
                <w:szCs w:val="21"/>
                <w:highlight w:val="none"/>
              </w:rPr>
            </w:pPr>
            <w:r>
              <w:rPr>
                <w:rFonts w:hint="eastAsia" w:cs="Arial"/>
                <w:color w:val="auto"/>
                <w:szCs w:val="21"/>
                <w:highlight w:val="none"/>
              </w:rPr>
              <w:t xml:space="preserve">①每提供一名具有公路工程相关专业正高级技术职称的项目服务人员加 1 分， 本项最高得 2 分； </w:t>
            </w:r>
          </w:p>
          <w:p w14:paraId="0AC7409E">
            <w:pPr>
              <w:pStyle w:val="5"/>
              <w:rPr>
                <w:rFonts w:cs="Arial"/>
                <w:color w:val="auto"/>
                <w:szCs w:val="21"/>
                <w:highlight w:val="none"/>
              </w:rPr>
            </w:pPr>
            <w:r>
              <w:rPr>
                <w:rFonts w:hint="eastAsia" w:cs="Arial"/>
                <w:color w:val="auto"/>
                <w:szCs w:val="21"/>
                <w:highlight w:val="none"/>
              </w:rPr>
              <w:t>②每提供一名具有注册土木工程师（岩 土）执业证书或注册土木工程师（道路） 执业证书或二级注册结构工程师执业证书的项目服务人员加 1 分，本项最高得 4 分。 注：上述人员不重复加分。</w:t>
            </w:r>
          </w:p>
        </w:tc>
      </w:tr>
      <w:tr w14:paraId="736F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454" w:hRule="atLeast"/>
          <w:jc w:val="center"/>
        </w:trPr>
        <w:tc>
          <w:tcPr>
            <w:tcW w:w="770" w:type="dxa"/>
            <w:noWrap w:val="0"/>
            <w:vAlign w:val="center"/>
          </w:tcPr>
          <w:p w14:paraId="4620DA7A">
            <w:pPr>
              <w:snapToGrid w:val="0"/>
              <w:jc w:val="center"/>
              <w:rPr>
                <w:rFonts w:cs="Arial"/>
                <w:color w:val="auto"/>
                <w:szCs w:val="21"/>
                <w:highlight w:val="none"/>
              </w:rPr>
            </w:pPr>
            <w:r>
              <w:rPr>
                <w:rFonts w:cs="Arial"/>
                <w:color w:val="auto"/>
                <w:szCs w:val="21"/>
                <w:highlight w:val="none"/>
              </w:rPr>
              <w:t>2.2.4</w:t>
            </w:r>
            <w:r>
              <w:rPr>
                <w:rFonts w:hAnsi="宋体" w:cs="Arial"/>
                <w:color w:val="auto"/>
                <w:szCs w:val="21"/>
                <w:highlight w:val="none"/>
              </w:rPr>
              <w:t>（</w:t>
            </w:r>
            <w:r>
              <w:rPr>
                <w:rFonts w:cs="Arial"/>
                <w:color w:val="auto"/>
                <w:szCs w:val="21"/>
                <w:highlight w:val="none"/>
              </w:rPr>
              <w:t>3</w:t>
            </w:r>
            <w:r>
              <w:rPr>
                <w:rFonts w:hAnsi="宋体" w:cs="Arial"/>
                <w:color w:val="auto"/>
                <w:szCs w:val="21"/>
                <w:highlight w:val="none"/>
              </w:rPr>
              <w:t>）</w:t>
            </w:r>
          </w:p>
        </w:tc>
        <w:tc>
          <w:tcPr>
            <w:tcW w:w="1135" w:type="dxa"/>
            <w:gridSpan w:val="2"/>
            <w:noWrap w:val="0"/>
            <w:vAlign w:val="center"/>
          </w:tcPr>
          <w:p w14:paraId="59C1C4C6">
            <w:pPr>
              <w:snapToGrid w:val="0"/>
              <w:jc w:val="center"/>
              <w:rPr>
                <w:rFonts w:cs="Arial"/>
                <w:color w:val="auto"/>
                <w:szCs w:val="21"/>
                <w:highlight w:val="none"/>
              </w:rPr>
            </w:pPr>
            <w:r>
              <w:rPr>
                <w:rFonts w:hAnsi="宋体" w:cs="Arial"/>
                <w:color w:val="auto"/>
                <w:szCs w:val="21"/>
                <w:highlight w:val="none"/>
              </w:rPr>
              <w:t>评标价</w:t>
            </w:r>
          </w:p>
        </w:tc>
        <w:tc>
          <w:tcPr>
            <w:tcW w:w="985" w:type="dxa"/>
            <w:noWrap w:val="0"/>
            <w:vAlign w:val="center"/>
          </w:tcPr>
          <w:p w14:paraId="3E96CEC5">
            <w:pPr>
              <w:snapToGrid w:val="0"/>
              <w:jc w:val="center"/>
              <w:rPr>
                <w:rFonts w:cs="Arial"/>
                <w:color w:val="auto"/>
                <w:szCs w:val="21"/>
                <w:highlight w:val="none"/>
              </w:rPr>
            </w:pPr>
            <w:r>
              <w:rPr>
                <w:rFonts w:cs="Arial"/>
                <w:color w:val="auto"/>
                <w:szCs w:val="21"/>
                <w:highlight w:val="none"/>
              </w:rPr>
              <w:t>10</w:t>
            </w:r>
            <w:r>
              <w:rPr>
                <w:rFonts w:hAnsi="宋体" w:cs="Arial"/>
                <w:color w:val="auto"/>
                <w:szCs w:val="21"/>
                <w:highlight w:val="none"/>
              </w:rPr>
              <w:t>分</w:t>
            </w:r>
          </w:p>
        </w:tc>
        <w:tc>
          <w:tcPr>
            <w:tcW w:w="5606" w:type="dxa"/>
            <w:gridSpan w:val="4"/>
            <w:noWrap w:val="0"/>
            <w:vAlign w:val="center"/>
          </w:tcPr>
          <w:p w14:paraId="1D0326CB">
            <w:pPr>
              <w:snapToGrid w:val="0"/>
              <w:spacing w:line="300" w:lineRule="auto"/>
              <w:rPr>
                <w:rFonts w:cs="Arial"/>
                <w:color w:val="auto"/>
                <w:szCs w:val="21"/>
                <w:highlight w:val="none"/>
              </w:rPr>
            </w:pPr>
            <w:r>
              <w:rPr>
                <w:rFonts w:hint="eastAsia" w:cs="Arial"/>
                <w:color w:val="auto"/>
                <w:szCs w:val="21"/>
                <w:highlight w:val="none"/>
              </w:rPr>
              <w:t xml:space="preserve">投标价得分计算公式: </w:t>
            </w:r>
          </w:p>
          <w:p w14:paraId="677B338D">
            <w:pPr>
              <w:snapToGrid w:val="0"/>
              <w:spacing w:line="300" w:lineRule="auto"/>
              <w:rPr>
                <w:rFonts w:cs="Arial"/>
                <w:color w:val="auto"/>
                <w:szCs w:val="21"/>
                <w:highlight w:val="none"/>
              </w:rPr>
            </w:pPr>
            <w:r>
              <w:rPr>
                <w:rFonts w:hint="eastAsia" w:cs="Arial"/>
                <w:color w:val="auto"/>
                <w:szCs w:val="21"/>
                <w:highlight w:val="none"/>
              </w:rPr>
              <w:t xml:space="preserve">（1）如果投标人的评标价＞评标基准价，则投标价得分=10-偏差率×100×E1； </w:t>
            </w:r>
          </w:p>
          <w:p w14:paraId="41A6B87D">
            <w:pPr>
              <w:snapToGrid w:val="0"/>
              <w:spacing w:line="300" w:lineRule="auto"/>
              <w:rPr>
                <w:rFonts w:cs="Arial"/>
                <w:color w:val="auto"/>
                <w:szCs w:val="21"/>
                <w:highlight w:val="none"/>
              </w:rPr>
            </w:pPr>
            <w:r>
              <w:rPr>
                <w:rFonts w:hint="eastAsia" w:cs="Arial"/>
                <w:color w:val="auto"/>
                <w:szCs w:val="21"/>
                <w:highlight w:val="none"/>
              </w:rPr>
              <w:t xml:space="preserve">（2）如果投标人的评标价≤评标基准价，则投标价得分=10+偏差率×100×E2。 </w:t>
            </w:r>
          </w:p>
          <w:p w14:paraId="17ACF1FF">
            <w:pPr>
              <w:snapToGrid w:val="0"/>
              <w:spacing w:line="300" w:lineRule="auto"/>
              <w:rPr>
                <w:rFonts w:cs="Arial"/>
                <w:color w:val="auto"/>
                <w:szCs w:val="21"/>
                <w:highlight w:val="none"/>
              </w:rPr>
            </w:pPr>
            <w:r>
              <w:rPr>
                <w:rFonts w:hint="eastAsia" w:cs="Arial"/>
                <w:color w:val="auto"/>
                <w:szCs w:val="21"/>
                <w:highlight w:val="none"/>
              </w:rPr>
              <w:t>其中： E1=</w:t>
            </w:r>
            <w:r>
              <w:rPr>
                <w:rFonts w:hint="eastAsia" w:cs="Arial"/>
                <w:color w:val="auto"/>
                <w:szCs w:val="21"/>
                <w:highlight w:val="none"/>
                <w:lang w:val="en-US" w:eastAsia="zh-CN"/>
              </w:rPr>
              <w:t>0.</w:t>
            </w:r>
            <w:r>
              <w:rPr>
                <w:rFonts w:cs="Arial"/>
                <w:color w:val="auto"/>
                <w:szCs w:val="21"/>
                <w:highlight w:val="none"/>
              </w:rPr>
              <w:t>1</w:t>
            </w:r>
            <w:r>
              <w:rPr>
                <w:rFonts w:hint="eastAsia" w:cs="Arial"/>
                <w:color w:val="auto"/>
                <w:szCs w:val="21"/>
                <w:highlight w:val="none"/>
              </w:rPr>
              <w:t>，E2=0.</w:t>
            </w:r>
            <w:r>
              <w:rPr>
                <w:rFonts w:hint="eastAsia" w:cs="Arial"/>
                <w:color w:val="auto"/>
                <w:szCs w:val="21"/>
                <w:highlight w:val="none"/>
                <w:lang w:val="en-US" w:eastAsia="zh-CN"/>
              </w:rPr>
              <w:t>0</w:t>
            </w:r>
            <w:r>
              <w:rPr>
                <w:rFonts w:cs="Arial"/>
                <w:color w:val="auto"/>
                <w:szCs w:val="21"/>
                <w:highlight w:val="none"/>
              </w:rPr>
              <w:t>5</w:t>
            </w:r>
            <w:r>
              <w:rPr>
                <w:rFonts w:hint="eastAsia" w:cs="Arial"/>
                <w:color w:val="auto"/>
                <w:szCs w:val="21"/>
                <w:highlight w:val="none"/>
              </w:rPr>
              <w:t xml:space="preserve"> 。</w:t>
            </w:r>
          </w:p>
          <w:p w14:paraId="294D07E4">
            <w:pPr>
              <w:snapToGrid w:val="0"/>
              <w:spacing w:line="300" w:lineRule="auto"/>
              <w:rPr>
                <w:rFonts w:cs="Arial"/>
                <w:color w:val="auto"/>
                <w:szCs w:val="21"/>
                <w:highlight w:val="none"/>
              </w:rPr>
            </w:pPr>
            <w:r>
              <w:rPr>
                <w:rFonts w:hint="eastAsia" w:cs="Arial"/>
                <w:color w:val="auto"/>
                <w:szCs w:val="21"/>
                <w:highlight w:val="none"/>
              </w:rPr>
              <w:t>评标价最高得分为 10 分，最低得分为 0 分。</w:t>
            </w:r>
          </w:p>
        </w:tc>
      </w:tr>
      <w:tr w14:paraId="24B5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442" w:hRule="atLeast"/>
          <w:jc w:val="center"/>
        </w:trPr>
        <w:tc>
          <w:tcPr>
            <w:tcW w:w="770" w:type="dxa"/>
            <w:vMerge w:val="restart"/>
            <w:noWrap w:val="0"/>
            <w:vAlign w:val="center"/>
          </w:tcPr>
          <w:p w14:paraId="58CCCDAA">
            <w:pPr>
              <w:snapToGrid w:val="0"/>
              <w:jc w:val="center"/>
              <w:rPr>
                <w:rFonts w:eastAsia="等线" w:cs="Arial"/>
                <w:color w:val="auto"/>
                <w:szCs w:val="21"/>
                <w:highlight w:val="none"/>
              </w:rPr>
            </w:pPr>
            <w:r>
              <w:rPr>
                <w:rFonts w:cs="Arial"/>
                <w:color w:val="auto"/>
                <w:szCs w:val="21"/>
                <w:highlight w:val="none"/>
              </w:rPr>
              <w:t>2.2.4</w:t>
            </w:r>
            <w:r>
              <w:rPr>
                <w:rFonts w:hAnsi="宋体" w:cs="Arial"/>
                <w:color w:val="auto"/>
                <w:szCs w:val="21"/>
                <w:highlight w:val="none"/>
              </w:rPr>
              <w:t>（</w:t>
            </w:r>
            <w:r>
              <w:rPr>
                <w:rFonts w:cs="Arial"/>
                <w:color w:val="auto"/>
                <w:szCs w:val="21"/>
                <w:highlight w:val="none"/>
              </w:rPr>
              <w:t>4</w:t>
            </w:r>
            <w:r>
              <w:rPr>
                <w:rFonts w:hAnsi="宋体" w:cs="Arial"/>
                <w:color w:val="auto"/>
                <w:szCs w:val="21"/>
                <w:highlight w:val="none"/>
              </w:rPr>
              <w:t>）</w:t>
            </w:r>
          </w:p>
        </w:tc>
        <w:tc>
          <w:tcPr>
            <w:tcW w:w="698" w:type="dxa"/>
            <w:vMerge w:val="restart"/>
            <w:noWrap w:val="0"/>
            <w:vAlign w:val="center"/>
          </w:tcPr>
          <w:p w14:paraId="5879576B">
            <w:pPr>
              <w:snapToGrid w:val="0"/>
              <w:jc w:val="center"/>
              <w:rPr>
                <w:rFonts w:cs="Arial"/>
                <w:color w:val="auto"/>
                <w:szCs w:val="21"/>
                <w:highlight w:val="none"/>
              </w:rPr>
            </w:pPr>
            <w:r>
              <w:rPr>
                <w:rFonts w:hAnsi="宋体" w:cs="Arial"/>
                <w:color w:val="auto"/>
                <w:szCs w:val="21"/>
                <w:highlight w:val="none"/>
              </w:rPr>
              <w:t>其他因素</w:t>
            </w:r>
          </w:p>
        </w:tc>
        <w:tc>
          <w:tcPr>
            <w:tcW w:w="437" w:type="dxa"/>
            <w:vMerge w:val="restart"/>
            <w:noWrap w:val="0"/>
            <w:vAlign w:val="center"/>
          </w:tcPr>
          <w:p w14:paraId="72EEE19D">
            <w:pPr>
              <w:snapToGrid w:val="0"/>
              <w:jc w:val="center"/>
              <w:rPr>
                <w:rFonts w:cs="Arial"/>
                <w:color w:val="auto"/>
                <w:szCs w:val="21"/>
                <w:highlight w:val="none"/>
              </w:rPr>
            </w:pPr>
            <w:r>
              <w:rPr>
                <w:rFonts w:hAnsi="宋体" w:cs="Arial"/>
                <w:color w:val="auto"/>
                <w:szCs w:val="21"/>
                <w:highlight w:val="none"/>
              </w:rPr>
              <w:t>业绩</w:t>
            </w:r>
          </w:p>
        </w:tc>
        <w:tc>
          <w:tcPr>
            <w:tcW w:w="985" w:type="dxa"/>
            <w:vMerge w:val="restart"/>
            <w:noWrap w:val="0"/>
            <w:vAlign w:val="center"/>
          </w:tcPr>
          <w:p w14:paraId="4431FDAA">
            <w:pPr>
              <w:snapToGrid w:val="0"/>
              <w:jc w:val="center"/>
              <w:rPr>
                <w:rFonts w:cs="Arial"/>
                <w:color w:val="auto"/>
                <w:szCs w:val="21"/>
                <w:highlight w:val="none"/>
              </w:rPr>
            </w:pPr>
            <w:r>
              <w:rPr>
                <w:rFonts w:hint="eastAsia" w:hAnsi="宋体" w:cs="Arial"/>
                <w:color w:val="auto"/>
                <w:szCs w:val="21"/>
                <w:highlight w:val="none"/>
                <w:lang w:val="en-US" w:eastAsia="zh-CN"/>
              </w:rPr>
              <w:t>10</w:t>
            </w:r>
            <w:r>
              <w:rPr>
                <w:rFonts w:hAnsi="宋体" w:cs="Arial"/>
                <w:color w:val="auto"/>
                <w:szCs w:val="21"/>
                <w:highlight w:val="none"/>
              </w:rPr>
              <w:t>分</w:t>
            </w:r>
          </w:p>
        </w:tc>
        <w:tc>
          <w:tcPr>
            <w:tcW w:w="5606" w:type="dxa"/>
            <w:gridSpan w:val="4"/>
            <w:noWrap w:val="0"/>
            <w:vAlign w:val="center"/>
          </w:tcPr>
          <w:p w14:paraId="40081773">
            <w:pPr>
              <w:snapToGrid w:val="0"/>
              <w:spacing w:line="300" w:lineRule="auto"/>
              <w:rPr>
                <w:rFonts w:cs="Arial"/>
                <w:color w:val="auto"/>
                <w:szCs w:val="21"/>
                <w:highlight w:val="none"/>
              </w:rPr>
            </w:pPr>
            <w:r>
              <w:rPr>
                <w:rFonts w:hint="eastAsia" w:cs="Arial"/>
                <w:color w:val="auto"/>
                <w:szCs w:val="21"/>
                <w:highlight w:val="none"/>
              </w:rPr>
              <w:t>满足资格审查条件</w:t>
            </w:r>
            <w:r>
              <w:rPr>
                <w:rFonts w:ascii="宋体" w:hAnsi="宋体" w:cs="Arial"/>
                <w:color w:val="auto"/>
                <w:highlight w:val="none"/>
              </w:rPr>
              <w:t>（</w:t>
            </w:r>
            <w:r>
              <w:rPr>
                <w:rFonts w:hint="eastAsia" w:ascii="宋体" w:hAnsi="宋体" w:cs="Arial"/>
                <w:color w:val="auto"/>
                <w:highlight w:val="none"/>
              </w:rPr>
              <w:t>业绩</w:t>
            </w:r>
            <w:r>
              <w:rPr>
                <w:rFonts w:ascii="宋体" w:hAnsi="宋体" w:cs="Arial"/>
                <w:color w:val="auto"/>
                <w:highlight w:val="none"/>
              </w:rPr>
              <w:t>最低</w:t>
            </w:r>
            <w:r>
              <w:rPr>
                <w:rFonts w:hint="eastAsia" w:ascii="宋体" w:hAnsi="宋体" w:cs="Arial"/>
                <w:color w:val="auto"/>
                <w:highlight w:val="none"/>
              </w:rPr>
              <w:t>要求</w:t>
            </w:r>
            <w:r>
              <w:rPr>
                <w:rFonts w:ascii="宋体" w:hAnsi="宋体" w:cs="Arial"/>
                <w:color w:val="auto"/>
                <w:highlight w:val="none"/>
              </w:rPr>
              <w:t>）</w:t>
            </w:r>
            <w:r>
              <w:rPr>
                <w:rFonts w:hint="eastAsia" w:cs="Arial"/>
                <w:color w:val="auto"/>
                <w:szCs w:val="21"/>
                <w:highlight w:val="none"/>
              </w:rPr>
              <w:t>得</w:t>
            </w:r>
            <w:r>
              <w:rPr>
                <w:rFonts w:hint="eastAsia" w:cs="Arial"/>
                <w:color w:val="auto"/>
                <w:szCs w:val="21"/>
                <w:highlight w:val="none"/>
                <w:lang w:val="en-US" w:eastAsia="zh-CN"/>
              </w:rPr>
              <w:t>6</w:t>
            </w:r>
            <w:r>
              <w:rPr>
                <w:rFonts w:hint="eastAsia" w:cs="Arial"/>
                <w:color w:val="auto"/>
                <w:szCs w:val="21"/>
                <w:highlight w:val="none"/>
              </w:rPr>
              <w:t>分；</w:t>
            </w:r>
          </w:p>
        </w:tc>
      </w:tr>
      <w:tr w14:paraId="6073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930" w:hRule="atLeast"/>
          <w:jc w:val="center"/>
        </w:trPr>
        <w:tc>
          <w:tcPr>
            <w:tcW w:w="770" w:type="dxa"/>
            <w:vMerge w:val="continue"/>
            <w:noWrap w:val="0"/>
            <w:vAlign w:val="center"/>
          </w:tcPr>
          <w:p w14:paraId="58904D28">
            <w:pPr>
              <w:snapToGrid w:val="0"/>
              <w:spacing w:line="300" w:lineRule="auto"/>
              <w:rPr>
                <w:color w:val="auto"/>
                <w:highlight w:val="none"/>
              </w:rPr>
            </w:pPr>
          </w:p>
        </w:tc>
        <w:tc>
          <w:tcPr>
            <w:tcW w:w="698" w:type="dxa"/>
            <w:vMerge w:val="continue"/>
            <w:noWrap w:val="0"/>
            <w:vAlign w:val="center"/>
          </w:tcPr>
          <w:p w14:paraId="7F262EBC">
            <w:pPr>
              <w:snapToGrid w:val="0"/>
              <w:spacing w:line="300" w:lineRule="auto"/>
              <w:rPr>
                <w:color w:val="auto"/>
                <w:highlight w:val="none"/>
              </w:rPr>
            </w:pPr>
          </w:p>
        </w:tc>
        <w:tc>
          <w:tcPr>
            <w:tcW w:w="437" w:type="dxa"/>
            <w:vMerge w:val="continue"/>
            <w:noWrap w:val="0"/>
            <w:vAlign w:val="center"/>
          </w:tcPr>
          <w:p w14:paraId="390BA60C">
            <w:pPr>
              <w:snapToGrid w:val="0"/>
              <w:spacing w:line="300" w:lineRule="auto"/>
              <w:rPr>
                <w:color w:val="auto"/>
                <w:highlight w:val="none"/>
              </w:rPr>
            </w:pPr>
          </w:p>
        </w:tc>
        <w:tc>
          <w:tcPr>
            <w:tcW w:w="985" w:type="dxa"/>
            <w:vMerge w:val="continue"/>
            <w:noWrap w:val="0"/>
            <w:vAlign w:val="center"/>
          </w:tcPr>
          <w:p w14:paraId="21F65691">
            <w:pPr>
              <w:snapToGrid w:val="0"/>
              <w:spacing w:line="300" w:lineRule="auto"/>
              <w:rPr>
                <w:color w:val="auto"/>
                <w:highlight w:val="none"/>
              </w:rPr>
            </w:pPr>
          </w:p>
        </w:tc>
        <w:tc>
          <w:tcPr>
            <w:tcW w:w="5606" w:type="dxa"/>
            <w:gridSpan w:val="4"/>
            <w:noWrap w:val="0"/>
            <w:vAlign w:val="center"/>
          </w:tcPr>
          <w:p w14:paraId="653FCC12">
            <w:pPr>
              <w:snapToGrid w:val="0"/>
              <w:spacing w:line="300" w:lineRule="auto"/>
              <w:rPr>
                <w:rFonts w:hint="eastAsia" w:cs="Arial"/>
                <w:color w:val="auto"/>
                <w:szCs w:val="21"/>
                <w:highlight w:val="none"/>
              </w:rPr>
            </w:pPr>
            <w:r>
              <w:rPr>
                <w:rFonts w:hint="eastAsia" w:cs="Arial"/>
                <w:color w:val="auto"/>
                <w:szCs w:val="21"/>
                <w:highlight w:val="none"/>
              </w:rPr>
              <w:t>投标人在满足“资格审查条件（业绩最低要求）”的基础上，</w:t>
            </w:r>
          </w:p>
          <w:p w14:paraId="40A15052">
            <w:pPr>
              <w:snapToGrid w:val="0"/>
              <w:spacing w:line="300" w:lineRule="auto"/>
              <w:rPr>
                <w:rFonts w:hint="eastAsia" w:cs="Arial"/>
                <w:color w:val="auto"/>
                <w:szCs w:val="21"/>
                <w:highlight w:val="none"/>
              </w:rPr>
            </w:pPr>
            <w:r>
              <w:rPr>
                <w:rFonts w:hint="eastAsia" w:cs="Arial"/>
                <w:color w:val="auto"/>
                <w:szCs w:val="21"/>
                <w:highlight w:val="none"/>
              </w:rPr>
              <w:t>近五年内：</w:t>
            </w:r>
          </w:p>
          <w:p w14:paraId="285B5282">
            <w:pPr>
              <w:snapToGrid w:val="0"/>
              <w:spacing w:line="300" w:lineRule="auto"/>
              <w:rPr>
                <w:rFonts w:hint="eastAsia" w:eastAsia="宋体" w:cs="Arial"/>
                <w:color w:val="auto"/>
                <w:szCs w:val="21"/>
                <w:highlight w:val="none"/>
                <w:lang w:eastAsia="zh-CN"/>
              </w:rPr>
            </w:pPr>
            <w:r>
              <w:rPr>
                <w:rFonts w:hint="eastAsia" w:cs="Arial"/>
                <w:color w:val="auto"/>
                <w:szCs w:val="21"/>
                <w:highlight w:val="none"/>
              </w:rPr>
              <w:t>①每完成过 1 项</w:t>
            </w:r>
            <w:r>
              <w:rPr>
                <w:rFonts w:hint="eastAsia" w:cs="Arial"/>
                <w:color w:val="auto"/>
                <w:szCs w:val="21"/>
                <w:highlight w:val="none"/>
                <w:lang w:eastAsia="zh-CN"/>
              </w:rPr>
              <w:t>二级及以上新（改、扩）建公路</w:t>
            </w:r>
            <w:r>
              <w:rPr>
                <w:rFonts w:hint="eastAsia" w:cs="Arial"/>
                <w:color w:val="auto"/>
                <w:szCs w:val="21"/>
                <w:highlight w:val="none"/>
              </w:rPr>
              <w:t>（含隧道）的勘察设计业绩加</w:t>
            </w:r>
            <w:r>
              <w:rPr>
                <w:rFonts w:hint="eastAsia" w:cs="Arial"/>
                <w:color w:val="auto"/>
                <w:szCs w:val="21"/>
                <w:highlight w:val="none"/>
                <w:lang w:val="en-US" w:eastAsia="zh-CN"/>
              </w:rPr>
              <w:t>1</w:t>
            </w:r>
            <w:r>
              <w:rPr>
                <w:rFonts w:hint="eastAsia" w:cs="Arial"/>
                <w:color w:val="auto"/>
                <w:szCs w:val="21"/>
                <w:highlight w:val="none"/>
              </w:rPr>
              <w:t xml:space="preserve"> 分，本项最高得</w:t>
            </w:r>
            <w:r>
              <w:rPr>
                <w:rFonts w:hint="eastAsia" w:cs="Arial"/>
                <w:color w:val="auto"/>
                <w:szCs w:val="21"/>
                <w:highlight w:val="none"/>
                <w:lang w:val="en-US" w:eastAsia="zh-CN"/>
              </w:rPr>
              <w:t>4</w:t>
            </w:r>
            <w:r>
              <w:rPr>
                <w:rFonts w:hint="eastAsia" w:cs="Arial"/>
                <w:color w:val="auto"/>
                <w:szCs w:val="21"/>
                <w:highlight w:val="none"/>
              </w:rPr>
              <w:t>分；</w:t>
            </w:r>
          </w:p>
        </w:tc>
      </w:tr>
      <w:tr w14:paraId="2E92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1202" w:hRule="atLeast"/>
          <w:jc w:val="center"/>
        </w:trPr>
        <w:tc>
          <w:tcPr>
            <w:tcW w:w="770" w:type="dxa"/>
            <w:vMerge w:val="continue"/>
            <w:noWrap w:val="0"/>
            <w:vAlign w:val="center"/>
          </w:tcPr>
          <w:p w14:paraId="1465F7F8">
            <w:pPr>
              <w:snapToGrid w:val="0"/>
              <w:jc w:val="center"/>
              <w:rPr>
                <w:rFonts w:cs="Arial"/>
                <w:color w:val="auto"/>
                <w:szCs w:val="21"/>
                <w:highlight w:val="none"/>
              </w:rPr>
            </w:pPr>
          </w:p>
        </w:tc>
        <w:tc>
          <w:tcPr>
            <w:tcW w:w="698" w:type="dxa"/>
            <w:vMerge w:val="continue"/>
            <w:noWrap w:val="0"/>
            <w:vAlign w:val="center"/>
          </w:tcPr>
          <w:p w14:paraId="359ED57E">
            <w:pPr>
              <w:snapToGrid w:val="0"/>
              <w:jc w:val="center"/>
              <w:rPr>
                <w:rFonts w:cs="Arial"/>
                <w:color w:val="auto"/>
                <w:szCs w:val="21"/>
                <w:highlight w:val="none"/>
              </w:rPr>
            </w:pPr>
          </w:p>
        </w:tc>
        <w:tc>
          <w:tcPr>
            <w:tcW w:w="437" w:type="dxa"/>
            <w:noWrap w:val="0"/>
            <w:vAlign w:val="center"/>
          </w:tcPr>
          <w:p w14:paraId="50F60339">
            <w:pPr>
              <w:snapToGrid w:val="0"/>
              <w:jc w:val="center"/>
              <w:rPr>
                <w:rFonts w:cs="Arial"/>
                <w:color w:val="auto"/>
                <w:szCs w:val="21"/>
                <w:highlight w:val="none"/>
              </w:rPr>
            </w:pPr>
            <w:r>
              <w:rPr>
                <w:rFonts w:hAnsi="宋体" w:cs="Arial"/>
                <w:color w:val="auto"/>
                <w:szCs w:val="21"/>
                <w:highlight w:val="none"/>
              </w:rPr>
              <w:t>履约信誉</w:t>
            </w:r>
          </w:p>
        </w:tc>
        <w:tc>
          <w:tcPr>
            <w:tcW w:w="985" w:type="dxa"/>
            <w:noWrap w:val="0"/>
            <w:vAlign w:val="center"/>
          </w:tcPr>
          <w:p w14:paraId="4543AD84">
            <w:pPr>
              <w:snapToGrid w:val="0"/>
              <w:jc w:val="center"/>
              <w:rPr>
                <w:rFonts w:cs="Arial"/>
                <w:color w:val="auto"/>
                <w:szCs w:val="21"/>
                <w:highlight w:val="none"/>
              </w:rPr>
            </w:pPr>
            <w:r>
              <w:rPr>
                <w:rFonts w:hint="eastAsia" w:cs="Arial"/>
                <w:color w:val="auto"/>
                <w:szCs w:val="21"/>
                <w:highlight w:val="none"/>
              </w:rPr>
              <w:t>5</w:t>
            </w:r>
            <w:r>
              <w:rPr>
                <w:rFonts w:hAnsi="宋体" w:cs="Arial"/>
                <w:color w:val="auto"/>
                <w:szCs w:val="21"/>
                <w:highlight w:val="none"/>
              </w:rPr>
              <w:t>分</w:t>
            </w:r>
          </w:p>
        </w:tc>
        <w:tc>
          <w:tcPr>
            <w:tcW w:w="995" w:type="dxa"/>
            <w:noWrap w:val="0"/>
            <w:vAlign w:val="center"/>
          </w:tcPr>
          <w:p w14:paraId="66651FEE">
            <w:pPr>
              <w:snapToGrid w:val="0"/>
              <w:spacing w:line="300" w:lineRule="auto"/>
              <w:rPr>
                <w:color w:val="auto"/>
                <w:highlight w:val="none"/>
              </w:rPr>
            </w:pPr>
            <w:r>
              <w:rPr>
                <w:rFonts w:hint="eastAsia"/>
                <w:color w:val="auto"/>
                <w:highlight w:val="none"/>
              </w:rPr>
              <w:t>信用等级</w:t>
            </w:r>
          </w:p>
        </w:tc>
        <w:tc>
          <w:tcPr>
            <w:tcW w:w="4611" w:type="dxa"/>
            <w:gridSpan w:val="3"/>
            <w:noWrap w:val="0"/>
            <w:vAlign w:val="center"/>
          </w:tcPr>
          <w:p w14:paraId="6F4BCE63">
            <w:pPr>
              <w:snapToGrid w:val="0"/>
              <w:spacing w:line="300" w:lineRule="auto"/>
              <w:rPr>
                <w:color w:val="auto"/>
                <w:highlight w:val="none"/>
              </w:rPr>
            </w:pPr>
            <w:r>
              <w:rPr>
                <w:rFonts w:hint="eastAsia"/>
                <w:color w:val="auto"/>
                <w:highlight w:val="none"/>
              </w:rPr>
              <w:t>满足资格审查条件（信誉最低要求）得</w:t>
            </w:r>
            <w:r>
              <w:rPr>
                <w:rFonts w:hint="eastAsia"/>
                <w:color w:val="auto"/>
                <w:highlight w:val="none"/>
                <w:lang w:val="en-US" w:eastAsia="zh-CN"/>
              </w:rPr>
              <w:t>3</w:t>
            </w:r>
            <w:r>
              <w:rPr>
                <w:rFonts w:hint="eastAsia"/>
                <w:color w:val="auto"/>
                <w:highlight w:val="none"/>
              </w:rPr>
              <w:t>分；</w:t>
            </w:r>
          </w:p>
          <w:p w14:paraId="6EBC3CBA">
            <w:pPr>
              <w:snapToGrid w:val="0"/>
              <w:spacing w:line="300" w:lineRule="auto"/>
              <w:rPr>
                <w:color w:val="auto"/>
                <w:highlight w:val="none"/>
              </w:rPr>
            </w:pPr>
            <w:r>
              <w:rPr>
                <w:rFonts w:hint="eastAsia"/>
                <w:color w:val="auto"/>
                <w:highlight w:val="none"/>
              </w:rPr>
              <w:t>加分具体规定如下：</w:t>
            </w:r>
          </w:p>
          <w:p w14:paraId="7BC23C2C">
            <w:pPr>
              <w:snapToGrid w:val="0"/>
              <w:spacing w:line="300" w:lineRule="auto"/>
              <w:rPr>
                <w:rFonts w:hint="eastAsia"/>
                <w:color w:val="auto"/>
                <w:highlight w:val="none"/>
              </w:rPr>
            </w:pPr>
            <w:r>
              <w:rPr>
                <w:rFonts w:hint="eastAsia"/>
                <w:color w:val="auto"/>
                <w:highlight w:val="none"/>
              </w:rPr>
              <w:t>根据交通运输部最新年度发布的公路建设市场全国综合信用评价结果公告中的设计企业信用评价等级及山西省交通运输厅发布的山西省公路设计企业信用评价等级进行评分，对投标人</w:t>
            </w:r>
            <w:r>
              <w:rPr>
                <w:rFonts w:hint="eastAsia"/>
                <w:color w:val="auto"/>
                <w:highlight w:val="none"/>
                <w:lang w:val="en-US" w:eastAsia="zh-CN"/>
              </w:rPr>
              <w:t>最新一年</w:t>
            </w:r>
            <w:r>
              <w:rPr>
                <w:rFonts w:hint="eastAsia"/>
                <w:color w:val="auto"/>
                <w:highlight w:val="none"/>
              </w:rPr>
              <w:t xml:space="preserve">的信用评价等级进行评分，标准如下： </w:t>
            </w:r>
          </w:p>
          <w:p w14:paraId="1D5948F7">
            <w:pPr>
              <w:snapToGrid w:val="0"/>
              <w:spacing w:line="300" w:lineRule="auto"/>
              <w:rPr>
                <w:rFonts w:hint="eastAsia"/>
                <w:color w:val="auto"/>
                <w:highlight w:val="none"/>
              </w:rPr>
            </w:pPr>
            <w:r>
              <w:rPr>
                <w:rFonts w:hint="eastAsia"/>
                <w:color w:val="auto"/>
                <w:highlight w:val="none"/>
              </w:rPr>
              <w:t xml:space="preserve">（1）最新 </w:t>
            </w:r>
            <w:r>
              <w:rPr>
                <w:rFonts w:hint="eastAsia"/>
                <w:color w:val="auto"/>
                <w:highlight w:val="none"/>
                <w:lang w:val="en-US" w:eastAsia="zh-CN"/>
              </w:rPr>
              <w:t>1</w:t>
            </w:r>
            <w:r>
              <w:rPr>
                <w:rFonts w:hint="eastAsia"/>
                <w:color w:val="auto"/>
                <w:highlight w:val="none"/>
              </w:rPr>
              <w:t xml:space="preserve"> 年被评为 AA 级加 2 分； </w:t>
            </w:r>
          </w:p>
          <w:p w14:paraId="6026B526">
            <w:pPr>
              <w:snapToGrid w:val="0"/>
              <w:spacing w:line="300" w:lineRule="auto"/>
              <w:rPr>
                <w:rFonts w:hint="eastAsia"/>
                <w:color w:val="auto"/>
                <w:highlight w:val="none"/>
              </w:rPr>
            </w:pPr>
            <w:r>
              <w:rPr>
                <w:rFonts w:hint="eastAsia"/>
                <w:color w:val="auto"/>
                <w:highlight w:val="none"/>
              </w:rPr>
              <w:t xml:space="preserve">（2）最新 1 年被评为 A 级加 1 分； </w:t>
            </w:r>
          </w:p>
          <w:p w14:paraId="57278A94">
            <w:pPr>
              <w:snapToGrid w:val="0"/>
              <w:spacing w:line="300" w:lineRule="auto"/>
              <w:rPr>
                <w:rFonts w:hint="eastAsia"/>
                <w:color w:val="auto"/>
                <w:highlight w:val="none"/>
              </w:rPr>
            </w:pPr>
            <w:r>
              <w:rPr>
                <w:rFonts w:hint="eastAsia"/>
                <w:color w:val="auto"/>
                <w:highlight w:val="none"/>
              </w:rPr>
              <w:t xml:space="preserve">（3）其他情况不得分。 </w:t>
            </w:r>
          </w:p>
          <w:p w14:paraId="177C30E0">
            <w:pPr>
              <w:snapToGrid w:val="0"/>
              <w:spacing w:line="300" w:lineRule="auto"/>
              <w:rPr>
                <w:color w:val="auto"/>
                <w:highlight w:val="none"/>
              </w:rPr>
            </w:pPr>
            <w:r>
              <w:rPr>
                <w:rFonts w:hint="eastAsia"/>
                <w:color w:val="auto"/>
                <w:highlight w:val="none"/>
              </w:rPr>
              <w:t>注：有山西省评价结果的以山西省评价结果为准，无山西省评价结果的以全国综合信用评价结果为准。</w:t>
            </w:r>
          </w:p>
        </w:tc>
      </w:tr>
      <w:tr w14:paraId="571B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39" w:type="dxa"/>
            <w:left w:w="74" w:type="dxa"/>
            <w:bottom w:w="29" w:type="dxa"/>
            <w:right w:w="74" w:type="dxa"/>
          </w:tblCellMar>
        </w:tblPrEx>
        <w:trPr>
          <w:trHeight w:val="454" w:hRule="atLeast"/>
          <w:jc w:val="center"/>
        </w:trPr>
        <w:tc>
          <w:tcPr>
            <w:tcW w:w="8496" w:type="dxa"/>
            <w:gridSpan w:val="8"/>
            <w:noWrap w:val="0"/>
            <w:vAlign w:val="center"/>
          </w:tcPr>
          <w:p w14:paraId="6F7210FD">
            <w:pPr>
              <w:snapToGrid w:val="0"/>
              <w:spacing w:line="300" w:lineRule="auto"/>
              <w:rPr>
                <w:rFonts w:cs="Arial"/>
                <w:color w:val="auto"/>
                <w:szCs w:val="21"/>
                <w:highlight w:val="none"/>
              </w:rPr>
            </w:pPr>
            <w:r>
              <w:rPr>
                <w:rFonts w:cs="Arial"/>
                <w:color w:val="auto"/>
                <w:szCs w:val="21"/>
                <w:highlight w:val="none"/>
              </w:rPr>
              <w:t>需要补充的其他内容：</w:t>
            </w:r>
          </w:p>
          <w:p w14:paraId="1A14F0DA">
            <w:pPr>
              <w:spacing w:line="420" w:lineRule="atLeast"/>
              <w:rPr>
                <w:rFonts w:cs="Arial"/>
                <w:color w:val="auto"/>
                <w:szCs w:val="21"/>
                <w:highlight w:val="none"/>
              </w:rPr>
            </w:pPr>
            <w:r>
              <w:rPr>
                <w:rFonts w:hint="eastAsia" w:cs="Arial"/>
                <w:color w:val="auto"/>
                <w:szCs w:val="21"/>
                <w:highlight w:val="none"/>
              </w:rPr>
              <w:t>本项目采用双信封综合评分法进行评标，评标办法正文第3条部分条款内容细化如下：</w:t>
            </w:r>
          </w:p>
          <w:p w14:paraId="44C985FA">
            <w:pPr>
              <w:spacing w:line="420" w:lineRule="atLeast"/>
              <w:rPr>
                <w:rFonts w:cs="Arial"/>
                <w:color w:val="auto"/>
                <w:szCs w:val="21"/>
                <w:highlight w:val="none"/>
              </w:rPr>
            </w:pPr>
            <w:r>
              <w:rPr>
                <w:rFonts w:hint="eastAsia" w:cs="Arial"/>
                <w:color w:val="auto"/>
                <w:szCs w:val="21"/>
                <w:highlight w:val="none"/>
              </w:rPr>
              <w:t>第3.1.1项内容细化为：</w:t>
            </w:r>
          </w:p>
          <w:p w14:paraId="7ADF9800">
            <w:pPr>
              <w:keepNext w:val="0"/>
              <w:keepLines w:val="0"/>
              <w:pageBreakBefore w:val="0"/>
              <w:widowControl w:val="0"/>
              <w:kinsoku/>
              <w:wordWrap/>
              <w:overflowPunct/>
              <w:topLinePunct w:val="0"/>
              <w:autoSpaceDE/>
              <w:autoSpaceDN/>
              <w:bidi w:val="0"/>
              <w:adjustRightInd/>
              <w:snapToGrid/>
              <w:spacing w:line="420" w:lineRule="atLeast"/>
              <w:ind w:left="0" w:firstLine="0" w:firstLineChars="0"/>
              <w:textAlignment w:val="auto"/>
              <w:rPr>
                <w:color w:val="auto"/>
                <w:szCs w:val="21"/>
                <w:highlight w:val="none"/>
              </w:rPr>
            </w:pPr>
            <w:r>
              <w:rPr>
                <w:rFonts w:hAnsi="宋体" w:cs="Arial"/>
                <w:color w:val="auto"/>
                <w:szCs w:val="21"/>
                <w:highlight w:val="none"/>
              </w:rPr>
              <w:t>3.1.1</w:t>
            </w:r>
            <w:r>
              <w:rPr>
                <w:rFonts w:hint="eastAsia"/>
                <w:color w:val="auto"/>
                <w:szCs w:val="21"/>
                <w:highlight w:val="none"/>
              </w:rPr>
              <w:t>评标委员会依据本章第2.1款规定的标准对投标文件第一个信封（商务及技术文件）进行初步评审。有一项不符合评审标准的，评标委员会应否决其投标。</w:t>
            </w:r>
          </w:p>
          <w:p w14:paraId="790CF439">
            <w:pPr>
              <w:keepNext w:val="0"/>
              <w:keepLines w:val="0"/>
              <w:pageBreakBefore w:val="0"/>
              <w:widowControl w:val="0"/>
              <w:kinsoku/>
              <w:wordWrap/>
              <w:overflowPunct/>
              <w:topLinePunct w:val="0"/>
              <w:autoSpaceDE/>
              <w:autoSpaceDN/>
              <w:bidi w:val="0"/>
              <w:adjustRightInd/>
              <w:snapToGrid/>
              <w:spacing w:line="420" w:lineRule="atLeast"/>
              <w:ind w:left="0" w:leftChars="0" w:firstLine="420" w:firstLineChars="200"/>
              <w:textAlignment w:val="auto"/>
              <w:rPr>
                <w:color w:val="auto"/>
                <w:szCs w:val="21"/>
                <w:highlight w:val="none"/>
              </w:rPr>
            </w:pPr>
            <w:r>
              <w:rPr>
                <w:rFonts w:hint="eastAsia"/>
                <w:color w:val="auto"/>
                <w:szCs w:val="21"/>
                <w:highlight w:val="none"/>
              </w:rPr>
              <w:t>若通过第一个信封（商务及技术文件）评审的投标人少于3个，评标委员会可以否决全部投标；未否决全部投标的，评标委员会应当在评标报告中阐明理由。</w:t>
            </w:r>
          </w:p>
          <w:p w14:paraId="071B2877">
            <w:pPr>
              <w:spacing w:line="420" w:lineRule="atLeast"/>
              <w:rPr>
                <w:rFonts w:cs="Arial"/>
                <w:color w:val="auto"/>
                <w:szCs w:val="21"/>
                <w:highlight w:val="none"/>
              </w:rPr>
            </w:pPr>
            <w:r>
              <w:rPr>
                <w:rFonts w:hint="eastAsia" w:cs="Arial"/>
                <w:color w:val="auto"/>
                <w:szCs w:val="21"/>
                <w:highlight w:val="none"/>
              </w:rPr>
              <w:t>第3.2款内容细化如下：</w:t>
            </w:r>
          </w:p>
          <w:p w14:paraId="1449BB4E">
            <w:pPr>
              <w:spacing w:line="420" w:lineRule="atLeast"/>
              <w:rPr>
                <w:rFonts w:cs="Arial"/>
                <w:color w:val="auto"/>
                <w:szCs w:val="21"/>
                <w:highlight w:val="none"/>
              </w:rPr>
            </w:pPr>
            <w:r>
              <w:rPr>
                <w:rFonts w:hint="eastAsia" w:cs="Arial"/>
                <w:color w:val="auto"/>
                <w:szCs w:val="21"/>
                <w:highlight w:val="none"/>
              </w:rPr>
              <w:t>3.2 第一个信封详细评审</w:t>
            </w:r>
          </w:p>
          <w:p w14:paraId="4F51D25C">
            <w:pPr>
              <w:spacing w:line="420" w:lineRule="atLeast"/>
              <w:ind w:left="540" w:hanging="539" w:hangingChars="257"/>
              <w:rPr>
                <w:rFonts w:hAnsi="宋体" w:cs="Arial"/>
                <w:color w:val="auto"/>
                <w:szCs w:val="21"/>
                <w:highlight w:val="none"/>
              </w:rPr>
            </w:pPr>
            <w:r>
              <w:rPr>
                <w:rFonts w:hint="eastAsia" w:hAnsi="宋体" w:cs="Arial"/>
                <w:color w:val="auto"/>
                <w:szCs w:val="21"/>
                <w:highlight w:val="none"/>
              </w:rPr>
              <w:t>3.2.1 评标委员会按本章第2.2款规定的量化因素和分值进行打分，并计算出各投标人的商务和技术得分。</w:t>
            </w:r>
          </w:p>
          <w:p w14:paraId="6FAB907C">
            <w:pPr>
              <w:spacing w:line="420" w:lineRule="atLeast"/>
              <w:ind w:firstLine="420" w:firstLineChars="200"/>
              <w:rPr>
                <w:rFonts w:cs="Arial"/>
                <w:color w:val="auto"/>
                <w:szCs w:val="21"/>
                <w:highlight w:val="none"/>
              </w:rPr>
            </w:pPr>
            <w:r>
              <w:rPr>
                <w:rFonts w:hint="eastAsia" w:cs="Arial"/>
                <w:color w:val="auto"/>
                <w:szCs w:val="21"/>
                <w:highlight w:val="none"/>
              </w:rPr>
              <w:t>（1）按本章第2.2.4项（1）目规定的评审因素和分值对技术建议书部分计算出得分A；</w:t>
            </w:r>
          </w:p>
          <w:p w14:paraId="603C9F52">
            <w:pPr>
              <w:spacing w:line="420" w:lineRule="atLeast"/>
              <w:ind w:firstLine="420" w:firstLineChars="200"/>
              <w:rPr>
                <w:rFonts w:cs="Arial"/>
                <w:color w:val="auto"/>
                <w:szCs w:val="21"/>
                <w:highlight w:val="none"/>
              </w:rPr>
            </w:pPr>
            <w:r>
              <w:rPr>
                <w:rFonts w:hint="eastAsia" w:cs="Arial"/>
                <w:color w:val="auto"/>
                <w:szCs w:val="21"/>
                <w:highlight w:val="none"/>
              </w:rPr>
              <w:t>（2）按本章第2.2.4项（2）目规定的评审因素和分值对主要人员部分计算出得分B；</w:t>
            </w:r>
          </w:p>
          <w:p w14:paraId="21119F81">
            <w:pPr>
              <w:spacing w:line="420" w:lineRule="atLeast"/>
              <w:ind w:firstLine="420" w:firstLineChars="200"/>
              <w:rPr>
                <w:rFonts w:cs="Arial"/>
                <w:color w:val="auto"/>
                <w:szCs w:val="21"/>
                <w:highlight w:val="none"/>
              </w:rPr>
            </w:pPr>
            <w:r>
              <w:rPr>
                <w:rFonts w:hint="eastAsia" w:cs="Arial"/>
                <w:color w:val="auto"/>
                <w:szCs w:val="21"/>
                <w:highlight w:val="none"/>
              </w:rPr>
              <w:t>（3）按本章第2.2.4项（4）目规定的评审因素和分值对其他部分计算出得分D。</w:t>
            </w:r>
          </w:p>
          <w:p w14:paraId="607E0EDA">
            <w:pPr>
              <w:spacing w:line="420" w:lineRule="atLeast"/>
              <w:rPr>
                <w:rFonts w:cs="Arial"/>
                <w:color w:val="auto"/>
                <w:szCs w:val="21"/>
                <w:highlight w:val="none"/>
              </w:rPr>
            </w:pPr>
            <w:r>
              <w:rPr>
                <w:rFonts w:hint="eastAsia" w:cs="Arial"/>
                <w:color w:val="auto"/>
                <w:szCs w:val="21"/>
                <w:highlight w:val="none"/>
              </w:rPr>
              <w:t>3.2.2 投标人的商务和技术得分分值计算保留小数点后两位，小数点后第三位“四舍五入”。</w:t>
            </w:r>
          </w:p>
          <w:p w14:paraId="5AC1F5F3">
            <w:pPr>
              <w:spacing w:line="420" w:lineRule="atLeast"/>
              <w:rPr>
                <w:rFonts w:cs="Arial"/>
                <w:color w:val="auto"/>
                <w:szCs w:val="21"/>
                <w:highlight w:val="none"/>
              </w:rPr>
            </w:pPr>
            <w:r>
              <w:rPr>
                <w:rFonts w:hint="eastAsia" w:cs="Arial"/>
                <w:color w:val="auto"/>
                <w:szCs w:val="21"/>
                <w:highlight w:val="none"/>
              </w:rPr>
              <w:t>3.2.3 投标人的商务和技术得分=A+B+D。</w:t>
            </w:r>
          </w:p>
          <w:p w14:paraId="1AC888CA">
            <w:pPr>
              <w:spacing w:line="420" w:lineRule="atLeast"/>
              <w:ind w:firstLine="420" w:firstLineChars="200"/>
              <w:rPr>
                <w:rFonts w:hint="eastAsia" w:eastAsia="宋体" w:cs="Arial"/>
                <w:color w:val="auto"/>
                <w:szCs w:val="21"/>
                <w:highlight w:val="none"/>
                <w:lang w:val="en-US" w:eastAsia="zh-CN"/>
              </w:rPr>
            </w:pPr>
            <w:r>
              <w:rPr>
                <w:rFonts w:hint="eastAsia" w:cs="Arial"/>
                <w:color w:val="auto"/>
                <w:szCs w:val="21"/>
                <w:highlight w:val="none"/>
              </w:rPr>
              <w:t>评标委员会对通过初步评审商务文件和技术建议书进行评分。每个投标人商务文件和技术建议书各分项的得分为评标委员会全体成员的对应分项打分的算术平均值，得分四舍五入，保留两位小数。</w:t>
            </w:r>
          </w:p>
          <w:p w14:paraId="655DD9C6">
            <w:pPr>
              <w:spacing w:line="420" w:lineRule="atLeast"/>
              <w:ind w:firstLine="420" w:firstLineChars="200"/>
              <w:rPr>
                <w:rFonts w:cs="Arial"/>
                <w:color w:val="auto"/>
                <w:szCs w:val="21"/>
                <w:highlight w:val="none"/>
              </w:rPr>
            </w:pPr>
            <w:r>
              <w:rPr>
                <w:rFonts w:hint="eastAsia" w:cs="Arial"/>
                <w:color w:val="auto"/>
                <w:szCs w:val="21"/>
                <w:highlight w:val="none"/>
              </w:rPr>
              <w:t>各评分因素（评标价和履约信誉评分项除外）得分一般不得低于其权重分值的60%，评标委员会成员对某一项评分因素的评分低于权重分值60%的，应在评标报告中作出说明。</w:t>
            </w:r>
          </w:p>
          <w:p w14:paraId="3CF1EDD2">
            <w:pPr>
              <w:spacing w:line="420" w:lineRule="atLeast"/>
              <w:rPr>
                <w:rFonts w:cs="Arial"/>
                <w:color w:val="auto"/>
                <w:szCs w:val="21"/>
                <w:highlight w:val="none"/>
              </w:rPr>
            </w:pPr>
            <w:r>
              <w:rPr>
                <w:rFonts w:hint="eastAsia" w:cs="Arial"/>
                <w:color w:val="auto"/>
                <w:szCs w:val="21"/>
                <w:highlight w:val="none"/>
              </w:rPr>
              <w:t>第3.</w:t>
            </w:r>
            <w:r>
              <w:rPr>
                <w:rFonts w:cs="Arial"/>
                <w:color w:val="auto"/>
                <w:szCs w:val="21"/>
                <w:highlight w:val="none"/>
              </w:rPr>
              <w:t>9</w:t>
            </w:r>
            <w:r>
              <w:rPr>
                <w:rFonts w:hint="eastAsia" w:cs="Arial"/>
                <w:color w:val="auto"/>
                <w:szCs w:val="21"/>
                <w:highlight w:val="none"/>
              </w:rPr>
              <w:t>款内容细化如下：</w:t>
            </w:r>
          </w:p>
          <w:p w14:paraId="04004EDA">
            <w:pPr>
              <w:spacing w:line="420" w:lineRule="atLeast"/>
              <w:rPr>
                <w:rFonts w:cs="Arial"/>
                <w:color w:val="auto"/>
                <w:szCs w:val="21"/>
                <w:highlight w:val="none"/>
              </w:rPr>
            </w:pPr>
            <w:r>
              <w:rPr>
                <w:rFonts w:cs="Arial"/>
                <w:color w:val="auto"/>
                <w:szCs w:val="21"/>
                <w:highlight w:val="none"/>
              </w:rPr>
              <w:t xml:space="preserve">3.9   </w:t>
            </w:r>
            <w:r>
              <w:rPr>
                <w:rFonts w:hint="eastAsia" w:cs="Arial"/>
                <w:color w:val="auto"/>
                <w:szCs w:val="21"/>
                <w:highlight w:val="none"/>
              </w:rPr>
              <w:t>评标结果</w:t>
            </w:r>
          </w:p>
          <w:p w14:paraId="20120D8D">
            <w:pPr>
              <w:snapToGrid w:val="0"/>
              <w:spacing w:line="300" w:lineRule="auto"/>
              <w:rPr>
                <w:rFonts w:hAnsi="宋体"/>
                <w:color w:val="auto"/>
                <w:szCs w:val="21"/>
                <w:highlight w:val="yellow"/>
              </w:rPr>
            </w:pPr>
            <w:r>
              <w:rPr>
                <w:rFonts w:cs="Arial"/>
                <w:color w:val="auto"/>
                <w:szCs w:val="21"/>
                <w:highlight w:val="none"/>
              </w:rPr>
              <w:t>3.9.1 评标委员会根据投标人得分由高到低的顺序，</w:t>
            </w:r>
            <w:r>
              <w:rPr>
                <w:rFonts w:hint="eastAsia" w:cs="Arial"/>
                <w:color w:val="auto"/>
                <w:szCs w:val="21"/>
                <w:highlight w:val="none"/>
              </w:rPr>
              <w:t>每个标段</w:t>
            </w:r>
            <w:r>
              <w:rPr>
                <w:rFonts w:cs="Arial"/>
                <w:color w:val="auto"/>
                <w:szCs w:val="21"/>
                <w:highlight w:val="none"/>
              </w:rPr>
              <w:t>推荐1名中标候选</w:t>
            </w:r>
            <w:r>
              <w:rPr>
                <w:rFonts w:hint="eastAsia" w:cs="Arial"/>
                <w:color w:val="auto"/>
                <w:szCs w:val="21"/>
                <w:highlight w:val="none"/>
                <w:lang w:val="en-US" w:eastAsia="zh-CN"/>
              </w:rPr>
              <w:t>人</w:t>
            </w:r>
            <w:r>
              <w:rPr>
                <w:rFonts w:hint="eastAsia" w:cs="Arial"/>
                <w:color w:val="auto"/>
                <w:szCs w:val="21"/>
                <w:highlight w:val="none"/>
              </w:rPr>
              <w:t>。</w:t>
            </w:r>
          </w:p>
          <w:p w14:paraId="7889A12D">
            <w:pPr>
              <w:snapToGrid w:val="0"/>
              <w:spacing w:line="300" w:lineRule="auto"/>
              <w:rPr>
                <w:rFonts w:cs="Arial"/>
                <w:color w:val="auto"/>
                <w:szCs w:val="21"/>
                <w:highlight w:val="none"/>
              </w:rPr>
            </w:pPr>
            <w:r>
              <w:rPr>
                <w:rFonts w:hint="eastAsia" w:cs="Arial"/>
                <w:color w:val="auto"/>
                <w:szCs w:val="21"/>
                <w:highlight w:val="none"/>
              </w:rPr>
              <w:t>3.</w:t>
            </w:r>
            <w:r>
              <w:rPr>
                <w:rFonts w:cs="Arial"/>
                <w:color w:val="auto"/>
                <w:szCs w:val="21"/>
                <w:highlight w:val="none"/>
              </w:rPr>
              <w:t>9</w:t>
            </w:r>
            <w:r>
              <w:rPr>
                <w:rFonts w:hint="eastAsia" w:cs="Arial"/>
                <w:color w:val="auto"/>
                <w:szCs w:val="21"/>
                <w:highlight w:val="none"/>
              </w:rPr>
              <w:t>.2</w:t>
            </w:r>
            <w:r>
              <w:rPr>
                <w:rFonts w:cs="Arial"/>
                <w:color w:val="auto"/>
                <w:szCs w:val="21"/>
                <w:highlight w:val="none"/>
              </w:rPr>
              <w:t xml:space="preserve"> 评标委员会完成评标后，应当向招标人提交评标报告并推荐中标候选人。</w:t>
            </w:r>
          </w:p>
        </w:tc>
      </w:tr>
    </w:tbl>
    <w:p w14:paraId="6ABD2A5B">
      <w:pPr>
        <w:wordWrap w:val="0"/>
        <w:topLinePunct/>
        <w:rPr>
          <w:color w:val="auto"/>
          <w:highlight w:val="none"/>
        </w:rPr>
        <w:sectPr>
          <w:headerReference r:id="rId3" w:type="default"/>
          <w:footerReference r:id="rId5" w:type="default"/>
          <w:headerReference r:id="rId4" w:type="even"/>
          <w:footnotePr>
            <w:numFmt w:val="decimalEnclosedCircleChinese"/>
            <w:numRestart w:val="eachPage"/>
          </w:footnotePr>
          <w:pgSz w:w="11906" w:h="16838"/>
          <w:pgMar w:top="1418" w:right="1701" w:bottom="1418" w:left="1701" w:header="851" w:footer="851" w:gutter="0"/>
          <w:pgNumType w:fmt="numberInDash"/>
          <w:cols w:space="720" w:num="1"/>
          <w:docGrid w:linePitch="312" w:charSpace="0"/>
        </w:sectPr>
      </w:pPr>
    </w:p>
    <w:p w14:paraId="21A795C3">
      <w:pPr>
        <w:widowControl/>
        <w:jc w:val="left"/>
        <w:rPr>
          <w:color w:val="auto"/>
          <w:sz w:val="27"/>
          <w:szCs w:val="27"/>
          <w:highlight w:val="none"/>
        </w:rPr>
      </w:pPr>
    </w:p>
    <w:p w14:paraId="3CB003AB">
      <w:pPr>
        <w:spacing w:line="360" w:lineRule="auto"/>
        <w:rPr>
          <w:rFonts w:cs="Arial"/>
          <w:b/>
          <w:color w:val="auto"/>
          <w:sz w:val="24"/>
          <w:highlight w:val="none"/>
        </w:rPr>
      </w:pPr>
      <w:bookmarkStart w:id="13" w:name="_Toc509660990"/>
      <w:r>
        <w:rPr>
          <w:rFonts w:hint="eastAsia" w:cs="Arial"/>
          <w:b/>
          <w:color w:val="auto"/>
          <w:sz w:val="24"/>
          <w:highlight w:val="none"/>
        </w:rPr>
        <w:t>1.评标方法</w:t>
      </w:r>
      <w:bookmarkEnd w:id="13"/>
    </w:p>
    <w:p w14:paraId="0EC40D3D">
      <w:pPr>
        <w:spacing w:line="360" w:lineRule="auto"/>
        <w:ind w:firstLine="420" w:firstLineChars="200"/>
        <w:rPr>
          <w:rFonts w:cs="Arial"/>
          <w:color w:val="auto"/>
          <w:szCs w:val="21"/>
          <w:highlight w:val="none"/>
        </w:rPr>
      </w:pPr>
      <w:r>
        <w:rPr>
          <w:rFonts w:hint="eastAsia" w:cs="Arial"/>
          <w:color w:val="auto"/>
          <w:szCs w:val="21"/>
          <w:highlight w:val="none"/>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83F7A9D">
      <w:pPr>
        <w:spacing w:line="360" w:lineRule="auto"/>
        <w:rPr>
          <w:rFonts w:cs="Arial"/>
          <w:b/>
          <w:color w:val="auto"/>
          <w:sz w:val="24"/>
          <w:highlight w:val="none"/>
        </w:rPr>
      </w:pPr>
      <w:bookmarkStart w:id="14" w:name="_Toc509660991"/>
      <w:r>
        <w:rPr>
          <w:rFonts w:hint="eastAsia" w:cs="Arial"/>
          <w:b/>
          <w:color w:val="auto"/>
          <w:sz w:val="24"/>
          <w:highlight w:val="none"/>
        </w:rPr>
        <w:t>2.评审标准</w:t>
      </w:r>
      <w:bookmarkEnd w:id="14"/>
    </w:p>
    <w:p w14:paraId="6FED39FF">
      <w:pPr>
        <w:spacing w:line="360" w:lineRule="auto"/>
        <w:rPr>
          <w:rFonts w:cs="Arial"/>
          <w:b/>
          <w:color w:val="auto"/>
          <w:highlight w:val="none"/>
        </w:rPr>
      </w:pPr>
      <w:r>
        <w:rPr>
          <w:rFonts w:hint="eastAsia" w:cs="Arial"/>
          <w:b/>
          <w:color w:val="auto"/>
          <w:highlight w:val="none"/>
        </w:rPr>
        <w:t>2.1初步评审标准</w:t>
      </w:r>
    </w:p>
    <w:p w14:paraId="63FF439E">
      <w:pPr>
        <w:spacing w:line="360" w:lineRule="auto"/>
        <w:ind w:firstLine="420" w:firstLineChars="200"/>
        <w:rPr>
          <w:rFonts w:cs="Arial"/>
          <w:color w:val="auto"/>
          <w:szCs w:val="21"/>
          <w:highlight w:val="none"/>
        </w:rPr>
      </w:pPr>
      <w:r>
        <w:rPr>
          <w:rFonts w:hint="eastAsia" w:cs="Arial"/>
          <w:color w:val="auto"/>
          <w:szCs w:val="21"/>
          <w:highlight w:val="none"/>
        </w:rPr>
        <w:t>2.1.1形式评审标准：见评标办法前附表。</w:t>
      </w:r>
    </w:p>
    <w:p w14:paraId="00A2714A">
      <w:pPr>
        <w:spacing w:line="360" w:lineRule="auto"/>
        <w:ind w:firstLine="420" w:firstLineChars="200"/>
        <w:rPr>
          <w:rFonts w:cs="Arial"/>
          <w:color w:val="auto"/>
          <w:szCs w:val="21"/>
          <w:highlight w:val="none"/>
        </w:rPr>
      </w:pPr>
      <w:r>
        <w:rPr>
          <w:rFonts w:hint="eastAsia" w:cs="Arial"/>
          <w:color w:val="auto"/>
          <w:szCs w:val="21"/>
          <w:highlight w:val="none"/>
        </w:rPr>
        <w:t>2.1.2资格评审标准：见评标办法前附表。</w:t>
      </w:r>
    </w:p>
    <w:p w14:paraId="51AD43D6">
      <w:pPr>
        <w:spacing w:line="360" w:lineRule="auto"/>
        <w:ind w:firstLine="420" w:firstLineChars="200"/>
        <w:rPr>
          <w:color w:val="auto"/>
          <w:sz w:val="28"/>
          <w:szCs w:val="28"/>
          <w:highlight w:val="none"/>
        </w:rPr>
      </w:pPr>
      <w:r>
        <w:rPr>
          <w:rFonts w:hint="eastAsia" w:cs="Arial"/>
          <w:color w:val="auto"/>
          <w:szCs w:val="21"/>
          <w:highlight w:val="none"/>
        </w:rPr>
        <w:t>2.1.3响应性评审标准：见评标办法前附表。</w:t>
      </w:r>
    </w:p>
    <w:p w14:paraId="53787511">
      <w:pPr>
        <w:spacing w:line="360" w:lineRule="auto"/>
        <w:rPr>
          <w:rFonts w:cs="Arial"/>
          <w:b/>
          <w:color w:val="auto"/>
          <w:highlight w:val="none"/>
        </w:rPr>
      </w:pPr>
      <w:r>
        <w:rPr>
          <w:rFonts w:hint="eastAsia" w:cs="Arial"/>
          <w:b/>
          <w:color w:val="auto"/>
          <w:highlight w:val="none"/>
        </w:rPr>
        <w:t>2.2分值构成与评分标准</w:t>
      </w:r>
    </w:p>
    <w:p w14:paraId="7164B47C">
      <w:pPr>
        <w:spacing w:line="360" w:lineRule="auto"/>
        <w:ind w:firstLine="420" w:firstLineChars="200"/>
        <w:rPr>
          <w:rFonts w:cs="Arial"/>
          <w:color w:val="auto"/>
          <w:szCs w:val="21"/>
          <w:highlight w:val="none"/>
        </w:rPr>
      </w:pPr>
      <w:r>
        <w:rPr>
          <w:rFonts w:hint="eastAsia" w:cs="Arial"/>
          <w:color w:val="auto"/>
          <w:szCs w:val="21"/>
          <w:highlight w:val="none"/>
        </w:rPr>
        <w:t>2.2.1分值构成</w:t>
      </w:r>
    </w:p>
    <w:p w14:paraId="6D3E6065">
      <w:pPr>
        <w:numPr>
          <w:ilvl w:val="0"/>
          <w:numId w:val="1"/>
        </w:numPr>
        <w:spacing w:line="360" w:lineRule="auto"/>
        <w:ind w:firstLine="420" w:firstLineChars="200"/>
        <w:rPr>
          <w:rFonts w:cs="Arial"/>
          <w:color w:val="auto"/>
          <w:szCs w:val="21"/>
          <w:highlight w:val="none"/>
        </w:rPr>
      </w:pPr>
      <w:r>
        <w:rPr>
          <w:rFonts w:cs="Arial"/>
          <w:color w:val="auto"/>
          <w:szCs w:val="21"/>
          <w:highlight w:val="none"/>
        </w:rPr>
        <w:t>技术建议书：见评标办法</w:t>
      </w:r>
      <w:r>
        <w:rPr>
          <w:rFonts w:hint="eastAsia" w:cs="Arial"/>
          <w:color w:val="auto"/>
          <w:szCs w:val="21"/>
          <w:highlight w:val="none"/>
        </w:rPr>
        <w:t>前</w:t>
      </w:r>
      <w:r>
        <w:rPr>
          <w:rFonts w:cs="Arial"/>
          <w:color w:val="auto"/>
          <w:szCs w:val="21"/>
          <w:highlight w:val="none"/>
        </w:rPr>
        <w:t>附表；</w:t>
      </w:r>
    </w:p>
    <w:p w14:paraId="104208F4">
      <w:pPr>
        <w:spacing w:line="360" w:lineRule="auto"/>
        <w:ind w:firstLine="420" w:firstLineChars="200"/>
        <w:rPr>
          <w:rFonts w:cs="Arial"/>
          <w:color w:val="auto"/>
          <w:szCs w:val="21"/>
          <w:highlight w:val="none"/>
        </w:rPr>
      </w:pPr>
      <w:r>
        <w:rPr>
          <w:rFonts w:cs="Arial"/>
          <w:color w:val="auto"/>
          <w:szCs w:val="21"/>
          <w:highlight w:val="none"/>
        </w:rPr>
        <w:t>(2</w:t>
      </w:r>
      <w:r>
        <w:rPr>
          <w:rFonts w:hint="eastAsia" w:cs="Arial"/>
          <w:color w:val="auto"/>
          <w:szCs w:val="21"/>
          <w:highlight w:val="none"/>
          <w:lang w:val="en-US" w:eastAsia="zh-CN"/>
        </w:rPr>
        <w:t xml:space="preserve">  </w:t>
      </w:r>
      <w:r>
        <w:rPr>
          <w:rFonts w:cs="Arial"/>
          <w:color w:val="auto"/>
          <w:szCs w:val="21"/>
          <w:highlight w:val="none"/>
        </w:rPr>
        <w:t>)主要人员：见评标办法前附表；</w:t>
      </w:r>
    </w:p>
    <w:p w14:paraId="2A127DFA">
      <w:pPr>
        <w:numPr>
          <w:ilvl w:val="0"/>
          <w:numId w:val="1"/>
        </w:numPr>
        <w:spacing w:line="360" w:lineRule="auto"/>
        <w:ind w:left="0" w:leftChars="0" w:firstLine="420" w:firstLineChars="200"/>
        <w:rPr>
          <w:rFonts w:cs="Arial"/>
          <w:color w:val="auto"/>
          <w:szCs w:val="21"/>
          <w:highlight w:val="none"/>
        </w:rPr>
      </w:pPr>
      <w:r>
        <w:rPr>
          <w:rFonts w:cs="Arial"/>
          <w:color w:val="auto"/>
          <w:szCs w:val="21"/>
          <w:highlight w:val="none"/>
        </w:rPr>
        <w:t>评标价：见评标办法則附表；</w:t>
      </w:r>
    </w:p>
    <w:p w14:paraId="0189FF68">
      <w:pPr>
        <w:numPr>
          <w:ilvl w:val="0"/>
          <w:numId w:val="1"/>
        </w:numPr>
        <w:spacing w:line="360" w:lineRule="auto"/>
        <w:ind w:left="0" w:leftChars="0" w:firstLine="420" w:firstLineChars="200"/>
        <w:rPr>
          <w:rFonts w:cs="Arial"/>
          <w:color w:val="auto"/>
          <w:szCs w:val="21"/>
          <w:highlight w:val="none"/>
        </w:rPr>
      </w:pPr>
      <w:r>
        <w:rPr>
          <w:rFonts w:cs="Arial"/>
          <w:color w:val="auto"/>
          <w:szCs w:val="21"/>
          <w:highlight w:val="none"/>
        </w:rPr>
        <w:t>其他评分因素：见评标办法前附表。</w:t>
      </w:r>
    </w:p>
    <w:p w14:paraId="17F59745">
      <w:pPr>
        <w:spacing w:line="360" w:lineRule="auto"/>
        <w:ind w:firstLine="420" w:firstLineChars="200"/>
        <w:rPr>
          <w:rFonts w:cs="Arial"/>
          <w:color w:val="auto"/>
          <w:szCs w:val="21"/>
          <w:highlight w:val="none"/>
        </w:rPr>
      </w:pPr>
      <w:r>
        <w:rPr>
          <w:rFonts w:cs="Arial"/>
          <w:color w:val="auto"/>
          <w:szCs w:val="21"/>
          <w:highlight w:val="none"/>
        </w:rPr>
        <w:t>2.2.2评标基准价计算</w:t>
      </w:r>
    </w:p>
    <w:p w14:paraId="28E003F1">
      <w:pPr>
        <w:spacing w:line="360" w:lineRule="auto"/>
        <w:ind w:firstLine="420" w:firstLineChars="200"/>
        <w:rPr>
          <w:rFonts w:cs="Arial"/>
          <w:color w:val="auto"/>
          <w:szCs w:val="21"/>
          <w:highlight w:val="none"/>
        </w:rPr>
      </w:pPr>
      <w:r>
        <w:rPr>
          <w:rFonts w:cs="Arial"/>
          <w:color w:val="auto"/>
          <w:szCs w:val="21"/>
          <w:highlight w:val="none"/>
        </w:rPr>
        <w:t>评标基准价计算方法：见评标办法前附表。</w:t>
      </w:r>
    </w:p>
    <w:p w14:paraId="1C18C14C">
      <w:pPr>
        <w:spacing w:line="360" w:lineRule="auto"/>
        <w:ind w:firstLine="420" w:firstLineChars="200"/>
        <w:rPr>
          <w:rFonts w:cs="Arial"/>
          <w:color w:val="auto"/>
          <w:szCs w:val="21"/>
          <w:highlight w:val="none"/>
        </w:rPr>
      </w:pPr>
      <w:r>
        <w:rPr>
          <w:rFonts w:cs="Arial"/>
          <w:color w:val="auto"/>
          <w:szCs w:val="21"/>
          <w:highlight w:val="none"/>
        </w:rPr>
        <w:t>2.2.3评标价的偏差率计算</w:t>
      </w:r>
    </w:p>
    <w:p w14:paraId="2DA68A0B">
      <w:pPr>
        <w:spacing w:line="360" w:lineRule="auto"/>
        <w:ind w:firstLine="420" w:firstLineChars="200"/>
        <w:rPr>
          <w:rFonts w:cs="Arial"/>
          <w:color w:val="auto"/>
          <w:szCs w:val="21"/>
          <w:highlight w:val="none"/>
        </w:rPr>
      </w:pPr>
      <w:r>
        <w:rPr>
          <w:rFonts w:cs="Arial"/>
          <w:color w:val="auto"/>
          <w:szCs w:val="21"/>
          <w:highlight w:val="none"/>
        </w:rPr>
        <w:t>评标价的偏差率计算公式：见评标办法前附表。</w:t>
      </w:r>
    </w:p>
    <w:p w14:paraId="6CD6A508">
      <w:pPr>
        <w:spacing w:line="360" w:lineRule="auto"/>
        <w:ind w:firstLine="420" w:firstLineChars="200"/>
        <w:rPr>
          <w:rFonts w:cs="Arial"/>
          <w:color w:val="auto"/>
          <w:szCs w:val="21"/>
          <w:highlight w:val="none"/>
        </w:rPr>
      </w:pPr>
      <w:r>
        <w:rPr>
          <w:rFonts w:cs="Arial"/>
          <w:color w:val="auto"/>
          <w:szCs w:val="21"/>
          <w:highlight w:val="none"/>
        </w:rPr>
        <w:t>2.2.4评分标准</w:t>
      </w:r>
    </w:p>
    <w:p w14:paraId="5CC5883A">
      <w:pPr>
        <w:numPr>
          <w:ilvl w:val="0"/>
          <w:numId w:val="2"/>
        </w:numPr>
        <w:spacing w:line="360" w:lineRule="auto"/>
        <w:ind w:firstLine="420" w:firstLineChars="200"/>
        <w:rPr>
          <w:rFonts w:cs="Arial"/>
          <w:color w:val="auto"/>
          <w:szCs w:val="21"/>
          <w:highlight w:val="none"/>
        </w:rPr>
      </w:pPr>
      <w:r>
        <w:rPr>
          <w:rFonts w:cs="Arial"/>
          <w:color w:val="auto"/>
          <w:szCs w:val="21"/>
          <w:highlight w:val="none"/>
        </w:rPr>
        <w:t>技术建议书评分标准：见评标办法</w:t>
      </w:r>
      <w:r>
        <w:rPr>
          <w:rFonts w:hint="eastAsia" w:cs="Arial"/>
          <w:color w:val="auto"/>
          <w:szCs w:val="21"/>
          <w:highlight w:val="none"/>
        </w:rPr>
        <w:t>前</w:t>
      </w:r>
      <w:r>
        <w:rPr>
          <w:rFonts w:cs="Arial"/>
          <w:color w:val="auto"/>
          <w:szCs w:val="21"/>
          <w:highlight w:val="none"/>
        </w:rPr>
        <w:t>附表</w:t>
      </w:r>
      <w:r>
        <w:rPr>
          <w:rFonts w:hint="eastAsia" w:cs="Arial"/>
          <w:color w:val="auto"/>
          <w:szCs w:val="21"/>
          <w:highlight w:val="none"/>
        </w:rPr>
        <w:t>；</w:t>
      </w:r>
    </w:p>
    <w:p w14:paraId="01750F59">
      <w:pPr>
        <w:numPr>
          <w:ilvl w:val="0"/>
          <w:numId w:val="2"/>
        </w:numPr>
        <w:spacing w:line="360" w:lineRule="auto"/>
        <w:ind w:left="0" w:leftChars="0" w:firstLine="420" w:firstLineChars="200"/>
        <w:rPr>
          <w:rFonts w:cs="Arial"/>
          <w:color w:val="auto"/>
          <w:szCs w:val="21"/>
          <w:highlight w:val="none"/>
        </w:rPr>
      </w:pPr>
      <w:r>
        <w:rPr>
          <w:rFonts w:cs="Arial"/>
          <w:color w:val="auto"/>
          <w:szCs w:val="21"/>
          <w:highlight w:val="none"/>
        </w:rPr>
        <w:t>主要人员评分标准：见评标办法前附表；</w:t>
      </w:r>
    </w:p>
    <w:p w14:paraId="15734114">
      <w:pPr>
        <w:numPr>
          <w:ilvl w:val="0"/>
          <w:numId w:val="2"/>
        </w:numPr>
        <w:spacing w:line="360" w:lineRule="auto"/>
        <w:ind w:left="0" w:leftChars="0" w:firstLine="420" w:firstLineChars="200"/>
        <w:rPr>
          <w:rFonts w:cs="Arial"/>
          <w:color w:val="auto"/>
          <w:szCs w:val="21"/>
          <w:highlight w:val="none"/>
        </w:rPr>
      </w:pPr>
      <w:r>
        <w:rPr>
          <w:rFonts w:cs="Arial"/>
          <w:color w:val="auto"/>
          <w:szCs w:val="21"/>
          <w:highlight w:val="none"/>
        </w:rPr>
        <w:t>评标价评分标准：见评标办法前附表；</w:t>
      </w:r>
    </w:p>
    <w:p w14:paraId="4380004F">
      <w:pPr>
        <w:numPr>
          <w:ilvl w:val="0"/>
          <w:numId w:val="2"/>
        </w:numPr>
        <w:spacing w:line="360" w:lineRule="auto"/>
        <w:ind w:left="0" w:leftChars="0" w:firstLine="420" w:firstLineChars="200"/>
        <w:rPr>
          <w:rFonts w:cs="Arial"/>
          <w:color w:val="auto"/>
          <w:szCs w:val="21"/>
          <w:highlight w:val="none"/>
        </w:rPr>
      </w:pPr>
      <w:r>
        <w:rPr>
          <w:rFonts w:cs="Arial"/>
          <w:color w:val="auto"/>
          <w:szCs w:val="21"/>
          <w:highlight w:val="none"/>
        </w:rPr>
        <w:t>其他因素评分标准：见评标办法前附表。</w:t>
      </w:r>
    </w:p>
    <w:p w14:paraId="3E54A2D6">
      <w:pPr>
        <w:snapToGrid w:val="0"/>
        <w:spacing w:line="360" w:lineRule="auto"/>
        <w:rPr>
          <w:rFonts w:hAnsi="宋体"/>
          <w:b/>
          <w:color w:val="auto"/>
          <w:sz w:val="24"/>
          <w:highlight w:val="none"/>
        </w:rPr>
      </w:pPr>
      <w:bookmarkStart w:id="15" w:name="_Toc509660992"/>
      <w:r>
        <w:rPr>
          <w:rFonts w:hint="eastAsia" w:hAnsi="宋体"/>
          <w:b/>
          <w:color w:val="auto"/>
          <w:sz w:val="24"/>
          <w:highlight w:val="none"/>
        </w:rPr>
        <w:t>3.评标程序</w:t>
      </w:r>
      <w:bookmarkEnd w:id="15"/>
    </w:p>
    <w:p w14:paraId="41682C0D">
      <w:pPr>
        <w:spacing w:line="360" w:lineRule="auto"/>
        <w:rPr>
          <w:rFonts w:cs="Arial"/>
          <w:b/>
          <w:color w:val="auto"/>
          <w:highlight w:val="none"/>
        </w:rPr>
      </w:pPr>
      <w:r>
        <w:rPr>
          <w:rFonts w:hint="eastAsia" w:cs="Arial"/>
          <w:b/>
          <w:color w:val="auto"/>
          <w:highlight w:val="none"/>
        </w:rPr>
        <w:t>3.1第一个信封初步评审</w:t>
      </w:r>
    </w:p>
    <w:p w14:paraId="3392DCF8">
      <w:pPr>
        <w:spacing w:line="360" w:lineRule="auto"/>
        <w:ind w:firstLine="420" w:firstLineChars="200"/>
        <w:rPr>
          <w:rFonts w:cs="Arial"/>
          <w:color w:val="auto"/>
          <w:szCs w:val="21"/>
          <w:highlight w:val="none"/>
        </w:rPr>
      </w:pPr>
      <w:r>
        <w:rPr>
          <w:rFonts w:hint="eastAsia" w:cs="Arial"/>
          <w:color w:val="auto"/>
          <w:szCs w:val="21"/>
          <w:highlight w:val="none"/>
        </w:rPr>
        <w:t>3.1.1评标委员会可以要求投标人提交第二章“投标人须知”第3.5.1项至第3.5.</w:t>
      </w:r>
      <w:r>
        <w:rPr>
          <w:rFonts w:hint="eastAsia" w:cs="Arial"/>
          <w:color w:val="auto"/>
          <w:szCs w:val="21"/>
          <w:highlight w:val="none"/>
          <w:lang w:val="en-US" w:eastAsia="zh-CN"/>
        </w:rPr>
        <w:t>4</w:t>
      </w:r>
      <w:r>
        <w:rPr>
          <w:rFonts w:hint="eastAsia" w:cs="Arial"/>
          <w:color w:val="auto"/>
          <w:szCs w:val="21"/>
          <w:highlight w:val="none"/>
        </w:rPr>
        <w:t xml:space="preserve"> 项规定的有关证明和证件的原件，以便核验。评标委员会依据本章第2.1款规定的标准对投标文件第一个信封（商务及技术文件）进行初步评审。有一项不符合评审标准的，评标委员会应否决其投标。</w:t>
      </w:r>
    </w:p>
    <w:p w14:paraId="1343423D">
      <w:pPr>
        <w:spacing w:line="360" w:lineRule="auto"/>
        <w:rPr>
          <w:rFonts w:cs="Arial"/>
          <w:b/>
          <w:color w:val="auto"/>
          <w:highlight w:val="none"/>
        </w:rPr>
      </w:pPr>
      <w:r>
        <w:rPr>
          <w:rFonts w:hint="eastAsia" w:cs="Arial"/>
          <w:b/>
          <w:color w:val="auto"/>
          <w:highlight w:val="none"/>
        </w:rPr>
        <w:t>3.2第一个信封详细评审</w:t>
      </w:r>
    </w:p>
    <w:p w14:paraId="32367984">
      <w:pPr>
        <w:spacing w:line="360" w:lineRule="auto"/>
        <w:ind w:firstLine="420" w:firstLineChars="200"/>
        <w:rPr>
          <w:rFonts w:cs="Arial"/>
          <w:color w:val="auto"/>
          <w:szCs w:val="21"/>
          <w:highlight w:val="none"/>
        </w:rPr>
      </w:pPr>
      <w:r>
        <w:rPr>
          <w:rFonts w:hint="eastAsia" w:cs="Arial"/>
          <w:color w:val="auto"/>
          <w:szCs w:val="21"/>
          <w:highlight w:val="none"/>
        </w:rPr>
        <w:t>3.2.1评标委员会按本章第2.2款规定的量化因素和分值进行打分，并计算出各投标人的商务和技术得分。</w:t>
      </w:r>
    </w:p>
    <w:p w14:paraId="152A3EDC">
      <w:pPr>
        <w:spacing w:line="360" w:lineRule="auto"/>
        <w:ind w:firstLine="420" w:firstLineChars="200"/>
        <w:rPr>
          <w:rFonts w:cs="Arial"/>
          <w:color w:val="auto"/>
          <w:szCs w:val="21"/>
          <w:highlight w:val="none"/>
        </w:rPr>
      </w:pPr>
      <w:r>
        <w:rPr>
          <w:rFonts w:hint="eastAsia" w:cs="Arial"/>
          <w:color w:val="auto"/>
          <w:szCs w:val="21"/>
          <w:highlight w:val="none"/>
        </w:rPr>
        <w:t>(1)按本章第2.2.4项（1）目规定的评审因素和分值对技术建议书部分计算出得分A；</w:t>
      </w:r>
    </w:p>
    <w:p w14:paraId="4C5DBF0F">
      <w:pPr>
        <w:spacing w:line="360" w:lineRule="auto"/>
        <w:ind w:firstLine="420" w:firstLineChars="200"/>
        <w:rPr>
          <w:rFonts w:cs="Arial"/>
          <w:color w:val="auto"/>
          <w:szCs w:val="21"/>
          <w:highlight w:val="none"/>
        </w:rPr>
      </w:pPr>
      <w:r>
        <w:rPr>
          <w:rFonts w:hint="eastAsia" w:cs="Arial"/>
          <w:color w:val="auto"/>
          <w:szCs w:val="21"/>
          <w:highlight w:val="none"/>
        </w:rPr>
        <w:t>(2)按本章第2.2.4项（2）目规定的评审因素和分值对主要人员部分计算出得分B；</w:t>
      </w:r>
    </w:p>
    <w:p w14:paraId="76886BC0">
      <w:pPr>
        <w:spacing w:line="360" w:lineRule="auto"/>
        <w:ind w:firstLine="420" w:firstLineChars="200"/>
        <w:rPr>
          <w:rFonts w:cs="Arial"/>
          <w:color w:val="auto"/>
          <w:szCs w:val="21"/>
          <w:highlight w:val="none"/>
        </w:rPr>
      </w:pPr>
      <w:r>
        <w:rPr>
          <w:rFonts w:hint="eastAsia" w:cs="Arial"/>
          <w:color w:val="auto"/>
          <w:szCs w:val="21"/>
          <w:highlight w:val="none"/>
        </w:rPr>
        <w:t xml:space="preserve">(3)按本章第2.2.4项（4）目规定的评审因素和分值对其他部分计算出得D。 </w:t>
      </w:r>
    </w:p>
    <w:p w14:paraId="4133500D">
      <w:pPr>
        <w:spacing w:line="360" w:lineRule="auto"/>
        <w:ind w:firstLine="420" w:firstLineChars="200"/>
        <w:rPr>
          <w:rFonts w:cs="Arial"/>
          <w:color w:val="auto"/>
          <w:szCs w:val="21"/>
          <w:highlight w:val="none"/>
        </w:rPr>
      </w:pPr>
      <w:r>
        <w:rPr>
          <w:rFonts w:hint="eastAsia" w:cs="Arial"/>
          <w:color w:val="auto"/>
          <w:szCs w:val="21"/>
          <w:highlight w:val="none"/>
        </w:rPr>
        <w:t>3.2.2投标人的商务和技术得分分值计算保留小数点后两位，小数点后第三位“四舍五入”。</w:t>
      </w:r>
    </w:p>
    <w:p w14:paraId="6CEB48EC">
      <w:pPr>
        <w:spacing w:line="360" w:lineRule="auto"/>
        <w:ind w:firstLine="420" w:firstLineChars="200"/>
        <w:rPr>
          <w:rFonts w:cs="Arial"/>
          <w:color w:val="auto"/>
          <w:szCs w:val="21"/>
          <w:highlight w:val="none"/>
        </w:rPr>
      </w:pPr>
      <w:r>
        <w:rPr>
          <w:rFonts w:hint="eastAsia" w:cs="Arial"/>
          <w:color w:val="auto"/>
          <w:szCs w:val="21"/>
          <w:highlight w:val="none"/>
        </w:rPr>
        <w:t>3.2.3投标人的商务和技术得分=A+B+D。</w:t>
      </w:r>
    </w:p>
    <w:p w14:paraId="423669E1">
      <w:pPr>
        <w:spacing w:line="360" w:lineRule="auto"/>
        <w:rPr>
          <w:rFonts w:cs="Arial"/>
          <w:b/>
          <w:color w:val="auto"/>
          <w:highlight w:val="none"/>
        </w:rPr>
      </w:pPr>
      <w:r>
        <w:rPr>
          <w:rFonts w:hint="eastAsia" w:cs="Arial"/>
          <w:b/>
          <w:color w:val="auto"/>
          <w:highlight w:val="none"/>
        </w:rPr>
        <w:t>3.3第二个信封开标</w:t>
      </w:r>
    </w:p>
    <w:p w14:paraId="234EEF44">
      <w:pPr>
        <w:spacing w:line="360" w:lineRule="auto"/>
        <w:ind w:firstLine="420" w:firstLineChars="200"/>
        <w:rPr>
          <w:rFonts w:cs="Arial"/>
          <w:color w:val="auto"/>
          <w:szCs w:val="21"/>
          <w:highlight w:val="none"/>
        </w:rPr>
      </w:pPr>
      <w:r>
        <w:rPr>
          <w:rFonts w:hint="eastAsia" w:cs="Arial"/>
          <w:color w:val="auto"/>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0B1A68D4">
      <w:pPr>
        <w:spacing w:line="360" w:lineRule="auto"/>
        <w:rPr>
          <w:rFonts w:cs="Arial"/>
          <w:b/>
          <w:color w:val="auto"/>
          <w:highlight w:val="none"/>
        </w:rPr>
      </w:pPr>
      <w:r>
        <w:rPr>
          <w:rFonts w:hint="eastAsia" w:cs="Arial"/>
          <w:b/>
          <w:color w:val="auto"/>
          <w:highlight w:val="none"/>
        </w:rPr>
        <w:t>3.4第二个信封初步评审</w:t>
      </w:r>
    </w:p>
    <w:p w14:paraId="1D1A3E6F">
      <w:pPr>
        <w:spacing w:line="360" w:lineRule="auto"/>
        <w:ind w:firstLine="420" w:firstLineChars="200"/>
        <w:rPr>
          <w:rFonts w:cs="Arial"/>
          <w:color w:val="auto"/>
          <w:szCs w:val="21"/>
          <w:highlight w:val="none"/>
        </w:rPr>
      </w:pPr>
      <w:r>
        <w:rPr>
          <w:rFonts w:hint="eastAsia" w:cs="Arial"/>
          <w:color w:val="auto"/>
          <w:szCs w:val="21"/>
          <w:highlight w:val="none"/>
        </w:rPr>
        <w:t>3.4.1评标委员会依据本章第2.1.1项、第2.1.3项规定的评审标准对投标文件第二个信封（报价文件）进行初步评审。有一项不符合评审标准的，评标委员会应否决其投标。</w:t>
      </w:r>
    </w:p>
    <w:p w14:paraId="01F6745B">
      <w:pPr>
        <w:spacing w:line="360" w:lineRule="auto"/>
        <w:ind w:firstLine="420" w:firstLineChars="200"/>
        <w:rPr>
          <w:rFonts w:cs="Arial"/>
          <w:color w:val="auto"/>
          <w:szCs w:val="21"/>
          <w:highlight w:val="none"/>
        </w:rPr>
      </w:pPr>
      <w:r>
        <w:rPr>
          <w:rFonts w:hint="eastAsia" w:cs="Arial"/>
          <w:color w:val="auto"/>
          <w:szCs w:val="21"/>
          <w:highlight w:val="none"/>
        </w:rPr>
        <w:t>3.4.2投标报价有算术错误的，评标委员会按以下原则对投标报价进行修正，修正的价格经投标人书面确认后具有约束力。投标人不接受修正价格的，评标委员会应否决其投标。</w:t>
      </w:r>
    </w:p>
    <w:p w14:paraId="2FE3030F">
      <w:pPr>
        <w:spacing w:line="360" w:lineRule="auto"/>
        <w:ind w:firstLine="420" w:firstLineChars="200"/>
        <w:rPr>
          <w:rFonts w:cs="Arial"/>
          <w:color w:val="auto"/>
          <w:szCs w:val="21"/>
          <w:highlight w:val="none"/>
        </w:rPr>
      </w:pPr>
      <w:r>
        <w:rPr>
          <w:rFonts w:hint="eastAsia" w:cs="Arial"/>
          <w:color w:val="auto"/>
          <w:szCs w:val="21"/>
          <w:highlight w:val="none"/>
        </w:rPr>
        <w:t>(1)投标文件中的大写金额与小写金额不一致的，以大写金额为准；</w:t>
      </w:r>
    </w:p>
    <w:p w14:paraId="28066066">
      <w:pPr>
        <w:spacing w:line="360" w:lineRule="auto"/>
        <w:ind w:firstLine="420" w:firstLineChars="200"/>
        <w:rPr>
          <w:rFonts w:cs="Arial"/>
          <w:color w:val="auto"/>
          <w:szCs w:val="21"/>
          <w:highlight w:val="none"/>
        </w:rPr>
      </w:pPr>
      <w:r>
        <w:rPr>
          <w:rFonts w:hint="eastAsia" w:cs="Arial"/>
          <w:color w:val="auto"/>
          <w:szCs w:val="21"/>
          <w:highlight w:val="none"/>
        </w:rPr>
        <w:t>(2)总价金额与依据单价计算出的结果不一致的，以单价金额为准修正总价，但单价金额小数点有明显错误的除外；</w:t>
      </w:r>
    </w:p>
    <w:p w14:paraId="7F5F99E9">
      <w:pPr>
        <w:spacing w:line="360" w:lineRule="auto"/>
        <w:ind w:firstLine="420" w:firstLineChars="200"/>
        <w:rPr>
          <w:rFonts w:cs="Arial"/>
          <w:color w:val="auto"/>
          <w:szCs w:val="21"/>
          <w:highlight w:val="none"/>
        </w:rPr>
      </w:pPr>
      <w:r>
        <w:rPr>
          <w:rFonts w:hint="eastAsia" w:cs="Arial"/>
          <w:color w:val="auto"/>
          <w:szCs w:val="21"/>
          <w:highlight w:val="none"/>
        </w:rPr>
        <w:t>(3)当单价与数量相乘不等于合价时，以单价计算为准，如果单价有明显的小数点位置差错，应以标出的合价为准，同时对单价予以修正；</w:t>
      </w:r>
    </w:p>
    <w:p w14:paraId="3877663B">
      <w:pPr>
        <w:spacing w:line="360" w:lineRule="auto"/>
        <w:ind w:firstLine="420" w:firstLineChars="200"/>
        <w:rPr>
          <w:rFonts w:cs="Arial"/>
          <w:color w:val="auto"/>
          <w:szCs w:val="21"/>
          <w:highlight w:val="none"/>
        </w:rPr>
      </w:pPr>
      <w:r>
        <w:rPr>
          <w:rFonts w:hint="eastAsia" w:cs="Arial"/>
          <w:color w:val="auto"/>
          <w:szCs w:val="21"/>
          <w:highlight w:val="none"/>
        </w:rPr>
        <w:t>(4)当各子目的合价累计不等于总价时，应以各子目合价累计数为准，修正总价。</w:t>
      </w:r>
    </w:p>
    <w:p w14:paraId="5130BE87">
      <w:pPr>
        <w:spacing w:line="360" w:lineRule="auto"/>
        <w:ind w:firstLine="420" w:firstLineChars="200"/>
        <w:rPr>
          <w:rFonts w:cs="Arial"/>
          <w:color w:val="auto"/>
          <w:szCs w:val="21"/>
          <w:highlight w:val="none"/>
        </w:rPr>
      </w:pPr>
      <w:r>
        <w:rPr>
          <w:rFonts w:hint="eastAsia" w:cs="Arial"/>
          <w:color w:val="auto"/>
          <w:szCs w:val="21"/>
          <w:highlight w:val="none"/>
        </w:rPr>
        <w:t>3.4.3修正后的最终投标报价若超过最高投标限价（如有），评标委员会应否决其投标。</w:t>
      </w:r>
    </w:p>
    <w:p w14:paraId="7BDA746E">
      <w:pPr>
        <w:spacing w:line="360" w:lineRule="auto"/>
        <w:ind w:firstLine="420" w:firstLineChars="200"/>
        <w:rPr>
          <w:rFonts w:cs="Arial"/>
          <w:color w:val="auto"/>
          <w:szCs w:val="21"/>
          <w:highlight w:val="none"/>
        </w:rPr>
      </w:pPr>
      <w:r>
        <w:rPr>
          <w:rFonts w:hint="eastAsia" w:cs="Arial"/>
          <w:color w:val="auto"/>
          <w:szCs w:val="21"/>
          <w:highlight w:val="none"/>
        </w:rPr>
        <w:t>3.4.4修正后的最终投标报价仅作为签订合同的一个依据，不参与评标价得分的计算。</w:t>
      </w:r>
    </w:p>
    <w:p w14:paraId="77E1A7BA">
      <w:pPr>
        <w:spacing w:line="360" w:lineRule="auto"/>
        <w:rPr>
          <w:rFonts w:cs="Arial"/>
          <w:b/>
          <w:color w:val="auto"/>
          <w:highlight w:val="none"/>
        </w:rPr>
      </w:pPr>
      <w:r>
        <w:rPr>
          <w:rFonts w:hint="eastAsia" w:cs="Arial"/>
          <w:b/>
          <w:color w:val="auto"/>
          <w:highlight w:val="none"/>
        </w:rPr>
        <w:t>3.5第二个信封详细评审</w:t>
      </w:r>
    </w:p>
    <w:p w14:paraId="2A240F05">
      <w:pPr>
        <w:spacing w:line="360" w:lineRule="auto"/>
        <w:ind w:firstLine="420" w:firstLineChars="200"/>
        <w:rPr>
          <w:rFonts w:cs="Arial"/>
          <w:color w:val="auto"/>
          <w:szCs w:val="21"/>
          <w:highlight w:val="none"/>
        </w:rPr>
      </w:pPr>
      <w:r>
        <w:rPr>
          <w:rFonts w:hint="eastAsia" w:cs="Arial"/>
          <w:color w:val="auto"/>
          <w:szCs w:val="21"/>
          <w:highlight w:val="none"/>
        </w:rPr>
        <w:t xml:space="preserve">3.5.1评标委员会按本章第2.2.4项（3）目规定的评审因素和分值对评标价计算出得分C。评标价得分分值计算保留小数点后两位，小数点后第三位“四舍五入”。 </w:t>
      </w:r>
    </w:p>
    <w:p w14:paraId="12BF4F51">
      <w:pPr>
        <w:spacing w:line="360" w:lineRule="auto"/>
        <w:ind w:firstLine="420" w:firstLineChars="200"/>
        <w:rPr>
          <w:rFonts w:cs="Arial"/>
          <w:color w:val="auto"/>
          <w:szCs w:val="21"/>
          <w:highlight w:val="none"/>
        </w:rPr>
      </w:pPr>
      <w:r>
        <w:rPr>
          <w:rFonts w:hint="eastAsia" w:cs="Arial"/>
          <w:color w:val="auto"/>
          <w:szCs w:val="21"/>
          <w:highlight w:val="none"/>
        </w:rPr>
        <w:t>3.5.2投标人综合得分=投标人的商务和技术得分+C。</w:t>
      </w:r>
    </w:p>
    <w:p w14:paraId="541FD16B">
      <w:pPr>
        <w:spacing w:line="360" w:lineRule="auto"/>
        <w:ind w:firstLine="420" w:firstLineChars="200"/>
        <w:rPr>
          <w:rFonts w:cs="Arial"/>
          <w:color w:val="auto"/>
          <w:szCs w:val="21"/>
          <w:highlight w:val="none"/>
        </w:rPr>
      </w:pPr>
      <w:r>
        <w:rPr>
          <w:rFonts w:hint="eastAsia" w:cs="Arial"/>
          <w:color w:val="auto"/>
          <w:szCs w:val="21"/>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5D6410AA">
      <w:pPr>
        <w:spacing w:line="360" w:lineRule="auto"/>
        <w:rPr>
          <w:rFonts w:cs="Arial"/>
          <w:b/>
          <w:color w:val="auto"/>
          <w:highlight w:val="none"/>
        </w:rPr>
      </w:pPr>
      <w:r>
        <w:rPr>
          <w:rFonts w:hint="eastAsia" w:cs="Arial"/>
          <w:b/>
          <w:color w:val="auto"/>
          <w:highlight w:val="none"/>
        </w:rPr>
        <w:t>3.6投标文件相关信息的核查</w:t>
      </w:r>
    </w:p>
    <w:p w14:paraId="5CC77A46">
      <w:pPr>
        <w:spacing w:line="360" w:lineRule="auto"/>
        <w:ind w:firstLine="420" w:firstLineChars="200"/>
        <w:rPr>
          <w:rFonts w:cs="Arial"/>
          <w:color w:val="auto"/>
          <w:szCs w:val="21"/>
          <w:highlight w:val="none"/>
        </w:rPr>
      </w:pPr>
      <w:r>
        <w:rPr>
          <w:rFonts w:hint="eastAsia" w:cs="Arial"/>
          <w:color w:val="auto"/>
          <w:szCs w:val="21"/>
          <w:highlight w:val="none"/>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9B687E0">
      <w:pPr>
        <w:spacing w:line="360" w:lineRule="auto"/>
        <w:ind w:firstLine="420" w:firstLineChars="200"/>
        <w:rPr>
          <w:rFonts w:cs="Arial"/>
          <w:color w:val="auto"/>
          <w:szCs w:val="21"/>
          <w:highlight w:val="none"/>
        </w:rPr>
      </w:pPr>
      <w:r>
        <w:rPr>
          <w:rFonts w:hint="eastAsia" w:cs="Arial"/>
          <w:color w:val="auto"/>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7A92F763">
      <w:pPr>
        <w:spacing w:line="360" w:lineRule="auto"/>
        <w:ind w:firstLine="420" w:firstLineChars="200"/>
        <w:rPr>
          <w:rFonts w:cs="Arial"/>
          <w:color w:val="auto"/>
          <w:szCs w:val="21"/>
          <w:highlight w:val="none"/>
        </w:rPr>
      </w:pPr>
      <w:r>
        <w:rPr>
          <w:rFonts w:hint="eastAsia" w:cs="Arial"/>
          <w:color w:val="auto"/>
          <w:szCs w:val="21"/>
          <w:highlight w:val="none"/>
        </w:rPr>
        <w:t>(1)有下列情形之一的，属于投标人相互串通投标：</w:t>
      </w:r>
    </w:p>
    <w:p w14:paraId="65E318B0">
      <w:pPr>
        <w:spacing w:line="360" w:lineRule="auto"/>
        <w:ind w:firstLine="420" w:firstLineChars="200"/>
        <w:rPr>
          <w:rFonts w:cs="Arial"/>
          <w:color w:val="auto"/>
          <w:szCs w:val="21"/>
          <w:highlight w:val="none"/>
        </w:rPr>
      </w:pPr>
      <w:r>
        <w:rPr>
          <w:rFonts w:hint="eastAsia" w:cs="Arial"/>
          <w:color w:val="auto"/>
          <w:szCs w:val="21"/>
          <w:highlight w:val="none"/>
        </w:rPr>
        <w:t>a. 投标人之间协商投标报价等投标文件的实质性内容；</w:t>
      </w:r>
    </w:p>
    <w:p w14:paraId="0CEAF735">
      <w:pPr>
        <w:spacing w:line="360" w:lineRule="auto"/>
        <w:ind w:firstLine="420" w:firstLineChars="200"/>
        <w:rPr>
          <w:rFonts w:cs="Arial"/>
          <w:color w:val="auto"/>
          <w:szCs w:val="21"/>
          <w:highlight w:val="none"/>
        </w:rPr>
      </w:pPr>
      <w:r>
        <w:rPr>
          <w:rFonts w:hint="eastAsia" w:cs="Arial"/>
          <w:color w:val="auto"/>
          <w:szCs w:val="21"/>
          <w:highlight w:val="none"/>
        </w:rPr>
        <w:t>b.</w:t>
      </w:r>
      <w:r>
        <w:rPr>
          <w:rFonts w:hint="eastAsia" w:cs="Arial"/>
          <w:color w:val="auto"/>
          <w:szCs w:val="21"/>
          <w:highlight w:val="none"/>
        </w:rPr>
        <w:tab/>
      </w:r>
      <w:r>
        <w:rPr>
          <w:rFonts w:hint="eastAsia" w:cs="Arial"/>
          <w:color w:val="auto"/>
          <w:szCs w:val="21"/>
          <w:highlight w:val="none"/>
        </w:rPr>
        <w:t>投标人之间约定中标人；</w:t>
      </w:r>
    </w:p>
    <w:p w14:paraId="1F9A91C0">
      <w:pPr>
        <w:spacing w:line="360" w:lineRule="auto"/>
        <w:ind w:firstLine="420" w:firstLineChars="200"/>
        <w:rPr>
          <w:rFonts w:cs="Arial"/>
          <w:color w:val="auto"/>
          <w:szCs w:val="21"/>
          <w:highlight w:val="none"/>
        </w:rPr>
      </w:pPr>
      <w:r>
        <w:rPr>
          <w:rFonts w:hint="eastAsia" w:cs="Arial"/>
          <w:color w:val="auto"/>
          <w:szCs w:val="21"/>
          <w:highlight w:val="none"/>
        </w:rPr>
        <w:t>c.</w:t>
      </w:r>
      <w:r>
        <w:rPr>
          <w:rFonts w:hint="eastAsia" w:cs="Arial"/>
          <w:color w:val="auto"/>
          <w:szCs w:val="21"/>
          <w:highlight w:val="none"/>
        </w:rPr>
        <w:tab/>
      </w:r>
      <w:r>
        <w:rPr>
          <w:rFonts w:hint="eastAsia" w:cs="Arial"/>
          <w:color w:val="auto"/>
          <w:szCs w:val="21"/>
          <w:highlight w:val="none"/>
        </w:rPr>
        <w:t>投标人之间约定部分投标人放弃投标或中标；</w:t>
      </w:r>
    </w:p>
    <w:p w14:paraId="73FA9EDE">
      <w:pPr>
        <w:spacing w:line="360" w:lineRule="auto"/>
        <w:ind w:firstLine="420" w:firstLineChars="200"/>
        <w:rPr>
          <w:rFonts w:cs="Arial"/>
          <w:color w:val="auto"/>
          <w:szCs w:val="21"/>
          <w:highlight w:val="none"/>
        </w:rPr>
      </w:pPr>
      <w:r>
        <w:rPr>
          <w:rFonts w:hint="eastAsia" w:cs="Arial"/>
          <w:color w:val="auto"/>
          <w:szCs w:val="21"/>
          <w:highlight w:val="none"/>
        </w:rPr>
        <w:t>d.</w:t>
      </w:r>
      <w:r>
        <w:rPr>
          <w:rFonts w:hint="eastAsia" w:cs="Arial"/>
          <w:color w:val="auto"/>
          <w:szCs w:val="21"/>
          <w:highlight w:val="none"/>
        </w:rPr>
        <w:tab/>
      </w:r>
      <w:r>
        <w:rPr>
          <w:rFonts w:hint="eastAsia" w:cs="Arial"/>
          <w:color w:val="auto"/>
          <w:szCs w:val="21"/>
          <w:highlight w:val="none"/>
        </w:rPr>
        <w:t>属于同一集团、协会、商会等组织成员的投标人按照该组织要求协同投标；</w:t>
      </w:r>
    </w:p>
    <w:p w14:paraId="3A91C53B">
      <w:pPr>
        <w:spacing w:line="360" w:lineRule="auto"/>
        <w:ind w:firstLine="420" w:firstLineChars="200"/>
        <w:rPr>
          <w:rFonts w:cs="Arial"/>
          <w:color w:val="auto"/>
          <w:szCs w:val="21"/>
          <w:highlight w:val="none"/>
        </w:rPr>
      </w:pPr>
      <w:r>
        <w:rPr>
          <w:rFonts w:hint="eastAsia" w:cs="Arial"/>
          <w:color w:val="auto"/>
          <w:szCs w:val="21"/>
          <w:highlight w:val="none"/>
        </w:rPr>
        <w:t>e.</w:t>
      </w:r>
      <w:r>
        <w:rPr>
          <w:rFonts w:hint="eastAsia" w:cs="Arial"/>
          <w:color w:val="auto"/>
          <w:szCs w:val="21"/>
          <w:highlight w:val="none"/>
        </w:rPr>
        <w:tab/>
      </w:r>
      <w:r>
        <w:rPr>
          <w:rFonts w:hint="eastAsia" w:cs="Arial"/>
          <w:color w:val="auto"/>
          <w:szCs w:val="21"/>
          <w:highlight w:val="none"/>
        </w:rPr>
        <w:t>投标人之间为谋取中标或排斥特定投标人而采取的其他联合行动。</w:t>
      </w:r>
    </w:p>
    <w:p w14:paraId="1B70545B">
      <w:pPr>
        <w:spacing w:line="360" w:lineRule="auto"/>
        <w:ind w:firstLine="420" w:firstLineChars="200"/>
        <w:rPr>
          <w:rFonts w:cs="Arial"/>
          <w:color w:val="auto"/>
          <w:szCs w:val="21"/>
          <w:highlight w:val="none"/>
        </w:rPr>
      </w:pPr>
      <w:r>
        <w:rPr>
          <w:rFonts w:hint="eastAsia" w:cs="Arial"/>
          <w:color w:val="auto"/>
          <w:szCs w:val="21"/>
          <w:highlight w:val="none"/>
        </w:rPr>
        <w:t>(2)有下列情形之一的，视为投标人相互串通投标：</w:t>
      </w:r>
    </w:p>
    <w:p w14:paraId="2B0922C8">
      <w:pPr>
        <w:spacing w:line="360" w:lineRule="auto"/>
        <w:ind w:firstLine="420" w:firstLineChars="200"/>
        <w:rPr>
          <w:rFonts w:cs="Arial"/>
          <w:color w:val="auto"/>
          <w:szCs w:val="21"/>
          <w:highlight w:val="none"/>
        </w:rPr>
      </w:pPr>
      <w:r>
        <w:rPr>
          <w:rFonts w:hint="eastAsia" w:cs="Arial"/>
          <w:color w:val="auto"/>
          <w:szCs w:val="21"/>
          <w:highlight w:val="none"/>
        </w:rPr>
        <w:t>a.</w:t>
      </w:r>
      <w:r>
        <w:rPr>
          <w:rFonts w:hint="eastAsia" w:cs="Arial"/>
          <w:color w:val="auto"/>
          <w:szCs w:val="21"/>
          <w:highlight w:val="none"/>
        </w:rPr>
        <w:tab/>
      </w:r>
      <w:r>
        <w:rPr>
          <w:rFonts w:hint="eastAsia" w:cs="Arial"/>
          <w:color w:val="auto"/>
          <w:szCs w:val="21"/>
          <w:highlight w:val="none"/>
        </w:rPr>
        <w:t>不同投标人的投标文件由同一单位或个人编制；</w:t>
      </w:r>
    </w:p>
    <w:p w14:paraId="3FF59ECE">
      <w:pPr>
        <w:spacing w:line="360" w:lineRule="auto"/>
        <w:ind w:firstLine="420" w:firstLineChars="200"/>
        <w:rPr>
          <w:rFonts w:cs="Arial"/>
          <w:color w:val="auto"/>
          <w:szCs w:val="21"/>
          <w:highlight w:val="none"/>
        </w:rPr>
      </w:pPr>
      <w:r>
        <w:rPr>
          <w:rFonts w:hint="eastAsia" w:cs="Arial"/>
          <w:color w:val="auto"/>
          <w:szCs w:val="21"/>
          <w:highlight w:val="none"/>
        </w:rPr>
        <w:t>b.</w:t>
      </w:r>
      <w:r>
        <w:rPr>
          <w:rFonts w:hint="eastAsia" w:cs="Arial"/>
          <w:color w:val="auto"/>
          <w:szCs w:val="21"/>
          <w:highlight w:val="none"/>
        </w:rPr>
        <w:tab/>
      </w:r>
      <w:r>
        <w:rPr>
          <w:rFonts w:hint="eastAsia" w:cs="Arial"/>
          <w:color w:val="auto"/>
          <w:szCs w:val="21"/>
          <w:highlight w:val="none"/>
        </w:rPr>
        <w:t>不同投标人委托同一单位或个人办理投标事宜；</w:t>
      </w:r>
    </w:p>
    <w:p w14:paraId="3A4A2B8E">
      <w:pPr>
        <w:spacing w:line="360" w:lineRule="auto"/>
        <w:ind w:firstLine="420" w:firstLineChars="200"/>
        <w:rPr>
          <w:rFonts w:cs="Arial"/>
          <w:color w:val="auto"/>
          <w:szCs w:val="21"/>
          <w:highlight w:val="none"/>
        </w:rPr>
      </w:pPr>
      <w:r>
        <w:rPr>
          <w:rFonts w:hint="eastAsia" w:cs="Arial"/>
          <w:color w:val="auto"/>
          <w:szCs w:val="21"/>
          <w:highlight w:val="none"/>
        </w:rPr>
        <w:t>c.</w:t>
      </w:r>
      <w:r>
        <w:rPr>
          <w:rFonts w:hint="eastAsia" w:cs="Arial"/>
          <w:color w:val="auto"/>
          <w:szCs w:val="21"/>
          <w:highlight w:val="none"/>
        </w:rPr>
        <w:tab/>
      </w:r>
      <w:r>
        <w:rPr>
          <w:rFonts w:hint="eastAsia" w:cs="Arial"/>
          <w:color w:val="auto"/>
          <w:szCs w:val="21"/>
          <w:highlight w:val="none"/>
        </w:rPr>
        <w:t>不同投标人的投标文件载明的项目管理成员为同一人；</w:t>
      </w:r>
    </w:p>
    <w:p w14:paraId="7A22D689">
      <w:pPr>
        <w:spacing w:line="360" w:lineRule="auto"/>
        <w:ind w:firstLine="420" w:firstLineChars="200"/>
        <w:rPr>
          <w:rFonts w:cs="Arial"/>
          <w:color w:val="auto"/>
          <w:szCs w:val="21"/>
          <w:highlight w:val="none"/>
        </w:rPr>
      </w:pPr>
      <w:r>
        <w:rPr>
          <w:rFonts w:hint="eastAsia" w:cs="Arial"/>
          <w:color w:val="auto"/>
          <w:szCs w:val="21"/>
          <w:highlight w:val="none"/>
        </w:rPr>
        <w:t>d.</w:t>
      </w:r>
      <w:r>
        <w:rPr>
          <w:rFonts w:hint="eastAsia" w:cs="Arial"/>
          <w:color w:val="auto"/>
          <w:szCs w:val="21"/>
          <w:highlight w:val="none"/>
        </w:rPr>
        <w:tab/>
      </w:r>
      <w:r>
        <w:rPr>
          <w:rFonts w:hint="eastAsia" w:cs="Arial"/>
          <w:color w:val="auto"/>
          <w:szCs w:val="21"/>
          <w:highlight w:val="none"/>
        </w:rPr>
        <w:t>不同投标人的投标文件异常一致或投标报价呈规律性差异；</w:t>
      </w:r>
    </w:p>
    <w:p w14:paraId="750FB89B">
      <w:pPr>
        <w:spacing w:line="360" w:lineRule="auto"/>
        <w:ind w:firstLine="420" w:firstLineChars="200"/>
        <w:rPr>
          <w:rFonts w:cs="Arial"/>
          <w:color w:val="auto"/>
          <w:szCs w:val="21"/>
          <w:highlight w:val="none"/>
        </w:rPr>
      </w:pPr>
      <w:r>
        <w:rPr>
          <w:rFonts w:hint="eastAsia" w:cs="Arial"/>
          <w:color w:val="auto"/>
          <w:szCs w:val="21"/>
          <w:highlight w:val="none"/>
        </w:rPr>
        <w:t>e.</w:t>
      </w:r>
      <w:r>
        <w:rPr>
          <w:rFonts w:hint="eastAsia" w:cs="Arial"/>
          <w:color w:val="auto"/>
          <w:szCs w:val="21"/>
          <w:highlight w:val="none"/>
        </w:rPr>
        <w:tab/>
      </w:r>
      <w:r>
        <w:rPr>
          <w:rFonts w:hint="eastAsia" w:cs="Arial"/>
          <w:color w:val="auto"/>
          <w:szCs w:val="21"/>
          <w:highlight w:val="none"/>
        </w:rPr>
        <w:t>不同投标人的投标文件相互混装；</w:t>
      </w:r>
    </w:p>
    <w:p w14:paraId="01C069B1">
      <w:pPr>
        <w:spacing w:line="360" w:lineRule="auto"/>
        <w:ind w:firstLine="420" w:firstLineChars="200"/>
        <w:rPr>
          <w:rFonts w:cs="Arial"/>
          <w:color w:val="auto"/>
          <w:szCs w:val="21"/>
          <w:highlight w:val="none"/>
        </w:rPr>
      </w:pPr>
      <w:r>
        <w:rPr>
          <w:rFonts w:hint="eastAsia" w:cs="Arial"/>
          <w:color w:val="auto"/>
          <w:szCs w:val="21"/>
          <w:highlight w:val="none"/>
        </w:rPr>
        <w:t>f.</w:t>
      </w:r>
      <w:r>
        <w:rPr>
          <w:rFonts w:hint="eastAsia" w:cs="Arial"/>
          <w:color w:val="auto"/>
          <w:szCs w:val="21"/>
          <w:highlight w:val="none"/>
        </w:rPr>
        <w:tab/>
      </w:r>
      <w:r>
        <w:rPr>
          <w:rFonts w:hint="eastAsia" w:cs="Arial"/>
          <w:color w:val="auto"/>
          <w:szCs w:val="21"/>
          <w:highlight w:val="none"/>
        </w:rPr>
        <w:t>不同投标人的投标保证金从同一单位或个人的账户转出。</w:t>
      </w:r>
    </w:p>
    <w:p w14:paraId="7568F363">
      <w:pPr>
        <w:spacing w:line="360" w:lineRule="auto"/>
        <w:ind w:firstLine="420" w:firstLineChars="200"/>
        <w:rPr>
          <w:rFonts w:cs="Arial"/>
          <w:color w:val="auto"/>
          <w:szCs w:val="21"/>
          <w:highlight w:val="none"/>
        </w:rPr>
      </w:pPr>
      <w:r>
        <w:rPr>
          <w:rFonts w:hint="eastAsia" w:cs="Arial"/>
          <w:color w:val="auto"/>
          <w:szCs w:val="21"/>
          <w:highlight w:val="none"/>
        </w:rPr>
        <w:t>(3)有下列情形之一的，属于招标人与投标人串通投标：</w:t>
      </w:r>
    </w:p>
    <w:p w14:paraId="011E6062">
      <w:pPr>
        <w:spacing w:line="360" w:lineRule="auto"/>
        <w:ind w:firstLine="420" w:firstLineChars="200"/>
        <w:rPr>
          <w:rFonts w:cs="Arial"/>
          <w:color w:val="auto"/>
          <w:szCs w:val="21"/>
          <w:highlight w:val="none"/>
        </w:rPr>
      </w:pPr>
      <w:r>
        <w:rPr>
          <w:rFonts w:hint="eastAsia" w:cs="Arial"/>
          <w:color w:val="auto"/>
          <w:szCs w:val="21"/>
          <w:highlight w:val="none"/>
        </w:rPr>
        <w:t>a.</w:t>
      </w:r>
      <w:r>
        <w:rPr>
          <w:rFonts w:hint="eastAsia" w:cs="Arial"/>
          <w:color w:val="auto"/>
          <w:szCs w:val="21"/>
          <w:highlight w:val="none"/>
        </w:rPr>
        <w:tab/>
      </w:r>
      <w:r>
        <w:rPr>
          <w:rFonts w:hint="eastAsia" w:cs="Arial"/>
          <w:color w:val="auto"/>
          <w:szCs w:val="21"/>
          <w:highlight w:val="none"/>
        </w:rPr>
        <w:t>招标人在开标前开启投标文件并将有关信息泄露给其他投标人；</w:t>
      </w:r>
    </w:p>
    <w:p w14:paraId="31455149">
      <w:pPr>
        <w:spacing w:line="360" w:lineRule="auto"/>
        <w:ind w:firstLine="420" w:firstLineChars="200"/>
        <w:rPr>
          <w:rFonts w:cs="Arial"/>
          <w:color w:val="auto"/>
          <w:szCs w:val="21"/>
          <w:highlight w:val="none"/>
        </w:rPr>
      </w:pPr>
      <w:r>
        <w:rPr>
          <w:rFonts w:hint="eastAsia" w:cs="Arial"/>
          <w:color w:val="auto"/>
          <w:szCs w:val="21"/>
          <w:highlight w:val="none"/>
        </w:rPr>
        <w:t>b.</w:t>
      </w:r>
      <w:r>
        <w:rPr>
          <w:rFonts w:hint="eastAsia" w:cs="Arial"/>
          <w:color w:val="auto"/>
          <w:szCs w:val="21"/>
          <w:highlight w:val="none"/>
        </w:rPr>
        <w:tab/>
      </w:r>
      <w:r>
        <w:rPr>
          <w:rFonts w:hint="eastAsia" w:cs="Arial"/>
          <w:color w:val="auto"/>
          <w:szCs w:val="21"/>
          <w:highlight w:val="none"/>
        </w:rPr>
        <w:t>招标人直接或间接向投标人泄露标底、评标委员会成员等信息；</w:t>
      </w:r>
    </w:p>
    <w:p w14:paraId="44C1310F">
      <w:pPr>
        <w:spacing w:line="360" w:lineRule="auto"/>
        <w:ind w:firstLine="420" w:firstLineChars="200"/>
        <w:rPr>
          <w:rFonts w:cs="Arial"/>
          <w:color w:val="auto"/>
          <w:szCs w:val="21"/>
          <w:highlight w:val="none"/>
        </w:rPr>
      </w:pPr>
      <w:r>
        <w:rPr>
          <w:rFonts w:hint="eastAsia" w:cs="Arial"/>
          <w:color w:val="auto"/>
          <w:szCs w:val="21"/>
          <w:highlight w:val="none"/>
        </w:rPr>
        <w:t>c.</w:t>
      </w:r>
      <w:r>
        <w:rPr>
          <w:rFonts w:hint="eastAsia" w:cs="Arial"/>
          <w:color w:val="auto"/>
          <w:szCs w:val="21"/>
          <w:highlight w:val="none"/>
        </w:rPr>
        <w:tab/>
      </w:r>
      <w:r>
        <w:rPr>
          <w:rFonts w:hint="eastAsia" w:cs="Arial"/>
          <w:color w:val="auto"/>
          <w:szCs w:val="21"/>
          <w:highlight w:val="none"/>
        </w:rPr>
        <w:t>招标人明示或暗示投标人压低或抬高投标报价；</w:t>
      </w:r>
    </w:p>
    <w:p w14:paraId="382E2673">
      <w:pPr>
        <w:spacing w:line="360" w:lineRule="auto"/>
        <w:ind w:firstLine="420" w:firstLineChars="200"/>
        <w:rPr>
          <w:rFonts w:cs="Arial"/>
          <w:color w:val="auto"/>
          <w:szCs w:val="21"/>
          <w:highlight w:val="none"/>
        </w:rPr>
      </w:pPr>
      <w:r>
        <w:rPr>
          <w:rFonts w:hint="eastAsia" w:cs="Arial"/>
          <w:color w:val="auto"/>
          <w:szCs w:val="21"/>
          <w:highlight w:val="none"/>
        </w:rPr>
        <w:t>d.</w:t>
      </w:r>
      <w:r>
        <w:rPr>
          <w:rFonts w:hint="eastAsia" w:cs="Arial"/>
          <w:color w:val="auto"/>
          <w:szCs w:val="21"/>
          <w:highlight w:val="none"/>
        </w:rPr>
        <w:tab/>
      </w:r>
      <w:r>
        <w:rPr>
          <w:rFonts w:hint="eastAsia" w:cs="Arial"/>
          <w:color w:val="auto"/>
          <w:szCs w:val="21"/>
          <w:highlight w:val="none"/>
        </w:rPr>
        <w:t>招标人授意投标人撤换、修改投标文件；</w:t>
      </w:r>
    </w:p>
    <w:p w14:paraId="4335CE21">
      <w:pPr>
        <w:spacing w:line="360" w:lineRule="auto"/>
        <w:ind w:firstLine="420" w:firstLineChars="200"/>
        <w:rPr>
          <w:rFonts w:cs="Arial"/>
          <w:color w:val="auto"/>
          <w:szCs w:val="21"/>
          <w:highlight w:val="none"/>
        </w:rPr>
      </w:pPr>
      <w:r>
        <w:rPr>
          <w:rFonts w:hint="eastAsia" w:cs="Arial"/>
          <w:color w:val="auto"/>
          <w:szCs w:val="21"/>
          <w:highlight w:val="none"/>
        </w:rPr>
        <w:t>e.</w:t>
      </w:r>
      <w:r>
        <w:rPr>
          <w:rFonts w:hint="eastAsia" w:cs="Arial"/>
          <w:color w:val="auto"/>
          <w:szCs w:val="21"/>
          <w:highlight w:val="none"/>
        </w:rPr>
        <w:tab/>
      </w:r>
      <w:r>
        <w:rPr>
          <w:rFonts w:hint="eastAsia" w:cs="Arial"/>
          <w:color w:val="auto"/>
          <w:szCs w:val="21"/>
          <w:highlight w:val="none"/>
        </w:rPr>
        <w:t>招标人明示或暗示投标人为特定投标人中标提供方便；</w:t>
      </w:r>
    </w:p>
    <w:p w14:paraId="2007F9E6">
      <w:pPr>
        <w:spacing w:line="360" w:lineRule="auto"/>
        <w:ind w:firstLine="420" w:firstLineChars="200"/>
        <w:rPr>
          <w:rFonts w:cs="Arial"/>
          <w:color w:val="auto"/>
          <w:szCs w:val="21"/>
          <w:highlight w:val="none"/>
        </w:rPr>
      </w:pPr>
      <w:r>
        <w:rPr>
          <w:rFonts w:hint="eastAsia" w:cs="Arial"/>
          <w:color w:val="auto"/>
          <w:szCs w:val="21"/>
          <w:highlight w:val="none"/>
        </w:rPr>
        <w:t>f.</w:t>
      </w:r>
      <w:r>
        <w:rPr>
          <w:rFonts w:hint="eastAsia" w:cs="Arial"/>
          <w:color w:val="auto"/>
          <w:szCs w:val="21"/>
          <w:highlight w:val="none"/>
        </w:rPr>
        <w:tab/>
      </w:r>
      <w:r>
        <w:rPr>
          <w:rFonts w:hint="eastAsia" w:cs="Arial"/>
          <w:color w:val="auto"/>
          <w:szCs w:val="21"/>
          <w:highlight w:val="none"/>
        </w:rPr>
        <w:t>招标人与投标人为谋求特定投标人中标而采取的其他串通行为。</w:t>
      </w:r>
    </w:p>
    <w:p w14:paraId="711342EC">
      <w:pPr>
        <w:spacing w:line="360" w:lineRule="auto"/>
        <w:ind w:firstLine="420" w:firstLineChars="200"/>
        <w:rPr>
          <w:rFonts w:cs="Arial"/>
          <w:color w:val="auto"/>
          <w:szCs w:val="21"/>
          <w:highlight w:val="none"/>
        </w:rPr>
      </w:pPr>
      <w:r>
        <w:rPr>
          <w:rFonts w:hint="eastAsia" w:cs="Arial"/>
          <w:color w:val="auto"/>
          <w:szCs w:val="21"/>
          <w:highlight w:val="none"/>
        </w:rPr>
        <w:t>(4)投标人有下列情形之一的，属于弄虚作假的行为：</w:t>
      </w:r>
    </w:p>
    <w:p w14:paraId="3DB59368">
      <w:pPr>
        <w:spacing w:line="360" w:lineRule="auto"/>
        <w:ind w:firstLine="420" w:firstLineChars="200"/>
        <w:rPr>
          <w:rFonts w:cs="Arial"/>
          <w:color w:val="auto"/>
          <w:szCs w:val="21"/>
          <w:highlight w:val="none"/>
        </w:rPr>
      </w:pPr>
      <w:r>
        <w:rPr>
          <w:rFonts w:hint="eastAsia" w:cs="Arial"/>
          <w:color w:val="auto"/>
          <w:szCs w:val="21"/>
          <w:highlight w:val="none"/>
        </w:rPr>
        <w:t>a.</w:t>
      </w:r>
      <w:r>
        <w:rPr>
          <w:rFonts w:hint="eastAsia" w:cs="Arial"/>
          <w:color w:val="auto"/>
          <w:szCs w:val="21"/>
          <w:highlight w:val="none"/>
        </w:rPr>
        <w:tab/>
      </w:r>
      <w:r>
        <w:rPr>
          <w:rFonts w:hint="eastAsia" w:cs="Arial"/>
          <w:color w:val="auto"/>
          <w:szCs w:val="21"/>
          <w:highlight w:val="none"/>
        </w:rPr>
        <w:t>使用通过受让或租借等方式获取的资格、资质证书投标；</w:t>
      </w:r>
    </w:p>
    <w:p w14:paraId="53D4C723">
      <w:pPr>
        <w:spacing w:line="360" w:lineRule="auto"/>
        <w:ind w:firstLine="420" w:firstLineChars="200"/>
        <w:rPr>
          <w:rFonts w:cs="Arial"/>
          <w:color w:val="auto"/>
          <w:szCs w:val="21"/>
          <w:highlight w:val="none"/>
        </w:rPr>
      </w:pPr>
      <w:r>
        <w:rPr>
          <w:rFonts w:hint="eastAsia" w:cs="Arial"/>
          <w:color w:val="auto"/>
          <w:szCs w:val="21"/>
          <w:highlight w:val="none"/>
        </w:rPr>
        <w:t>b.</w:t>
      </w:r>
      <w:r>
        <w:rPr>
          <w:rFonts w:hint="eastAsia" w:cs="Arial"/>
          <w:color w:val="auto"/>
          <w:szCs w:val="21"/>
          <w:highlight w:val="none"/>
        </w:rPr>
        <w:tab/>
      </w:r>
      <w:r>
        <w:rPr>
          <w:rFonts w:hint="eastAsia" w:cs="Arial"/>
          <w:color w:val="auto"/>
          <w:szCs w:val="21"/>
          <w:highlight w:val="none"/>
        </w:rPr>
        <w:t>使用伪造、变造的许可证件；</w:t>
      </w:r>
    </w:p>
    <w:p w14:paraId="58741F03">
      <w:pPr>
        <w:spacing w:line="360" w:lineRule="auto"/>
        <w:ind w:firstLine="420" w:firstLineChars="200"/>
        <w:rPr>
          <w:rFonts w:cs="Arial"/>
          <w:color w:val="auto"/>
          <w:szCs w:val="21"/>
          <w:highlight w:val="none"/>
        </w:rPr>
      </w:pPr>
      <w:r>
        <w:rPr>
          <w:rFonts w:hint="eastAsia" w:cs="Arial"/>
          <w:color w:val="auto"/>
          <w:szCs w:val="21"/>
          <w:highlight w:val="none"/>
        </w:rPr>
        <w:t>c.</w:t>
      </w:r>
      <w:r>
        <w:rPr>
          <w:rFonts w:hint="eastAsia" w:cs="Arial"/>
          <w:color w:val="auto"/>
          <w:szCs w:val="21"/>
          <w:highlight w:val="none"/>
        </w:rPr>
        <w:tab/>
      </w:r>
      <w:r>
        <w:rPr>
          <w:rFonts w:hint="eastAsia" w:cs="Arial"/>
          <w:color w:val="auto"/>
          <w:szCs w:val="21"/>
          <w:highlight w:val="none"/>
        </w:rPr>
        <w:t>提供虚假的业绩；</w:t>
      </w:r>
    </w:p>
    <w:p w14:paraId="31723A65">
      <w:pPr>
        <w:spacing w:line="360" w:lineRule="auto"/>
        <w:ind w:firstLine="420" w:firstLineChars="200"/>
        <w:rPr>
          <w:rFonts w:cs="Arial"/>
          <w:color w:val="auto"/>
          <w:szCs w:val="21"/>
          <w:highlight w:val="none"/>
        </w:rPr>
      </w:pPr>
      <w:r>
        <w:rPr>
          <w:rFonts w:hint="eastAsia" w:cs="Arial"/>
          <w:color w:val="auto"/>
          <w:szCs w:val="21"/>
          <w:highlight w:val="none"/>
        </w:rPr>
        <w:t>d.</w:t>
      </w:r>
      <w:r>
        <w:rPr>
          <w:rFonts w:hint="eastAsia" w:cs="Arial"/>
          <w:color w:val="auto"/>
          <w:szCs w:val="21"/>
          <w:highlight w:val="none"/>
        </w:rPr>
        <w:tab/>
      </w:r>
      <w:r>
        <w:rPr>
          <w:rFonts w:hint="eastAsia" w:cs="Arial"/>
          <w:color w:val="auto"/>
          <w:szCs w:val="21"/>
          <w:highlight w:val="none"/>
        </w:rPr>
        <w:t>提供虚假的项目负责人或主要技术人员简历、劳动关系证明；</w:t>
      </w:r>
    </w:p>
    <w:p w14:paraId="140843BA">
      <w:pPr>
        <w:spacing w:line="360" w:lineRule="auto"/>
        <w:ind w:firstLine="420" w:firstLineChars="200"/>
        <w:rPr>
          <w:rFonts w:cs="Arial"/>
          <w:color w:val="auto"/>
          <w:szCs w:val="21"/>
          <w:highlight w:val="none"/>
        </w:rPr>
      </w:pPr>
      <w:r>
        <w:rPr>
          <w:rFonts w:hint="eastAsia" w:cs="Arial"/>
          <w:color w:val="auto"/>
          <w:szCs w:val="21"/>
          <w:highlight w:val="none"/>
        </w:rPr>
        <w:t>e.</w:t>
      </w:r>
      <w:r>
        <w:rPr>
          <w:rFonts w:hint="eastAsia" w:cs="Arial"/>
          <w:color w:val="auto"/>
          <w:szCs w:val="21"/>
          <w:highlight w:val="none"/>
        </w:rPr>
        <w:tab/>
      </w:r>
      <w:r>
        <w:rPr>
          <w:rFonts w:hint="eastAsia" w:cs="Arial"/>
          <w:color w:val="auto"/>
          <w:szCs w:val="21"/>
          <w:highlight w:val="none"/>
        </w:rPr>
        <w:t>提供虚假的信用状况；</w:t>
      </w:r>
    </w:p>
    <w:p w14:paraId="44278084">
      <w:pPr>
        <w:spacing w:line="360" w:lineRule="auto"/>
        <w:ind w:firstLine="420" w:firstLineChars="200"/>
        <w:rPr>
          <w:rFonts w:cs="Arial"/>
          <w:color w:val="auto"/>
          <w:szCs w:val="21"/>
          <w:highlight w:val="none"/>
        </w:rPr>
      </w:pPr>
      <w:r>
        <w:rPr>
          <w:rFonts w:hint="eastAsia" w:cs="Arial"/>
          <w:color w:val="auto"/>
          <w:szCs w:val="21"/>
          <w:highlight w:val="none"/>
        </w:rPr>
        <w:t>f.</w:t>
      </w:r>
      <w:r>
        <w:rPr>
          <w:rFonts w:hint="eastAsia" w:cs="Arial"/>
          <w:color w:val="auto"/>
          <w:szCs w:val="21"/>
          <w:highlight w:val="none"/>
        </w:rPr>
        <w:tab/>
      </w:r>
      <w:r>
        <w:rPr>
          <w:rFonts w:hint="eastAsia" w:cs="Arial"/>
          <w:color w:val="auto"/>
          <w:szCs w:val="21"/>
          <w:highlight w:val="none"/>
        </w:rPr>
        <w:t>其他弄虚作假的行为。</w:t>
      </w:r>
    </w:p>
    <w:p w14:paraId="2F9735B4">
      <w:pPr>
        <w:spacing w:line="360" w:lineRule="auto"/>
        <w:rPr>
          <w:rFonts w:cs="Arial"/>
          <w:b/>
          <w:color w:val="auto"/>
          <w:highlight w:val="none"/>
        </w:rPr>
      </w:pPr>
      <w:r>
        <w:rPr>
          <w:rFonts w:hint="eastAsia" w:cs="Arial"/>
          <w:b/>
          <w:color w:val="auto"/>
          <w:highlight w:val="none"/>
        </w:rPr>
        <w:t>3.7投标文件的澄清和说明</w:t>
      </w:r>
    </w:p>
    <w:p w14:paraId="76D45239">
      <w:pPr>
        <w:spacing w:line="360" w:lineRule="auto"/>
        <w:ind w:firstLine="420" w:firstLineChars="200"/>
        <w:rPr>
          <w:rFonts w:cs="Arial"/>
          <w:color w:val="auto"/>
          <w:szCs w:val="21"/>
          <w:highlight w:val="none"/>
        </w:rPr>
      </w:pPr>
      <w:r>
        <w:rPr>
          <w:rFonts w:hint="eastAsia" w:cs="Arial"/>
          <w:color w:val="auto"/>
          <w:szCs w:val="21"/>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7CB7923F">
      <w:pPr>
        <w:spacing w:line="360" w:lineRule="auto"/>
        <w:ind w:firstLine="420" w:firstLineChars="200"/>
        <w:rPr>
          <w:rFonts w:cs="Arial"/>
          <w:color w:val="auto"/>
          <w:szCs w:val="21"/>
          <w:highlight w:val="none"/>
        </w:rPr>
      </w:pPr>
      <w:r>
        <w:rPr>
          <w:rFonts w:hint="eastAsia" w:cs="Arial"/>
          <w:color w:val="auto"/>
          <w:szCs w:val="21"/>
          <w:highlight w:val="none"/>
        </w:rPr>
        <w:t>3.7.2澄清和说明不得超出投标文件的范围或改变投标文件的实质性内容（算术性错误的修正除外）。投标人的书面澄清、说明属于投标文件的组成部分。</w:t>
      </w:r>
    </w:p>
    <w:p w14:paraId="202DFE2C">
      <w:pPr>
        <w:spacing w:line="360" w:lineRule="auto"/>
        <w:ind w:firstLine="420" w:firstLineChars="200"/>
        <w:rPr>
          <w:rFonts w:cs="Arial"/>
          <w:color w:val="auto"/>
          <w:szCs w:val="21"/>
          <w:highlight w:val="none"/>
        </w:rPr>
      </w:pPr>
      <w:r>
        <w:rPr>
          <w:rFonts w:hint="eastAsia" w:cs="Arial"/>
          <w:color w:val="auto"/>
          <w:szCs w:val="21"/>
          <w:highlight w:val="none"/>
        </w:rPr>
        <w:t>3.7.3评标委员会不得暗示或诱导投标人作出澄清、说明，对投标人提交的澄清、说明有疑问的，可以要求投标人进一步澄清或说明，直至满足评标委员会的要求。</w:t>
      </w:r>
    </w:p>
    <w:p w14:paraId="373795BE">
      <w:pPr>
        <w:spacing w:line="360" w:lineRule="auto"/>
        <w:ind w:firstLine="420" w:firstLineChars="200"/>
        <w:rPr>
          <w:rFonts w:cs="Arial"/>
          <w:color w:val="auto"/>
          <w:szCs w:val="21"/>
          <w:highlight w:val="none"/>
        </w:rPr>
      </w:pPr>
      <w:r>
        <w:rPr>
          <w:rFonts w:hint="eastAsia" w:cs="Arial"/>
          <w:color w:val="auto"/>
          <w:szCs w:val="21"/>
          <w:highlight w:val="none"/>
        </w:rPr>
        <w:t xml:space="preserve">3.7.4凡超出招标文件规定的或给发包人带来未曾要求的利益的变化、偏差或其他因素在评标时不予考虑。 </w:t>
      </w:r>
    </w:p>
    <w:p w14:paraId="1F605CB2">
      <w:pPr>
        <w:spacing w:line="360" w:lineRule="auto"/>
        <w:rPr>
          <w:rFonts w:cs="Arial"/>
          <w:b/>
          <w:color w:val="auto"/>
          <w:highlight w:val="none"/>
        </w:rPr>
      </w:pPr>
      <w:r>
        <w:rPr>
          <w:rFonts w:hint="eastAsia" w:cs="Arial"/>
          <w:b/>
          <w:color w:val="auto"/>
          <w:highlight w:val="none"/>
        </w:rPr>
        <w:t>3.8不得否决投标的情形</w:t>
      </w:r>
    </w:p>
    <w:p w14:paraId="2F2798E9">
      <w:pPr>
        <w:spacing w:line="360" w:lineRule="auto"/>
        <w:ind w:firstLine="420" w:firstLineChars="200"/>
        <w:rPr>
          <w:rFonts w:cs="Arial"/>
          <w:color w:val="auto"/>
          <w:szCs w:val="21"/>
          <w:highlight w:val="none"/>
        </w:rPr>
      </w:pPr>
      <w:r>
        <w:rPr>
          <w:rFonts w:hint="eastAsia" w:cs="Arial"/>
          <w:color w:val="auto"/>
          <w:szCs w:val="21"/>
          <w:highlight w:val="none"/>
        </w:rPr>
        <w:t>投标文件存在第二章“投标人须知”第1.12.3项所列情形的，均视为细微偏差，评标委员会不得否决投标人的投标，应按照第二章“投标人须知”第1.12.4项规定的原则处理。</w:t>
      </w:r>
    </w:p>
    <w:p w14:paraId="73FC4D1E">
      <w:pPr>
        <w:spacing w:line="360" w:lineRule="auto"/>
        <w:rPr>
          <w:rFonts w:cs="Arial"/>
          <w:b/>
          <w:color w:val="auto"/>
          <w:highlight w:val="none"/>
        </w:rPr>
      </w:pPr>
      <w:r>
        <w:rPr>
          <w:rFonts w:hint="eastAsia" w:cs="Arial"/>
          <w:b/>
          <w:color w:val="auto"/>
          <w:highlight w:val="none"/>
        </w:rPr>
        <w:t>3.9评标结果</w:t>
      </w:r>
    </w:p>
    <w:p w14:paraId="1F9E26A1">
      <w:pPr>
        <w:spacing w:line="360" w:lineRule="auto"/>
        <w:ind w:firstLine="420" w:firstLineChars="200"/>
        <w:rPr>
          <w:rFonts w:cs="Arial"/>
          <w:color w:val="auto"/>
          <w:szCs w:val="21"/>
          <w:highlight w:val="none"/>
        </w:rPr>
      </w:pPr>
      <w:r>
        <w:rPr>
          <w:rFonts w:hint="eastAsia" w:cs="Arial"/>
          <w:color w:val="auto"/>
          <w:szCs w:val="21"/>
          <w:highlight w:val="none"/>
        </w:rPr>
        <w:t>3.9.1除第二章投标人须知前附表授权直接确定中标人外，评标委员会按照得分由高到低的顺序推荐中标候选人，并标明排序。</w:t>
      </w:r>
    </w:p>
    <w:p w14:paraId="00EE1D20">
      <w:pPr>
        <w:spacing w:line="360" w:lineRule="auto"/>
        <w:ind w:firstLine="420" w:firstLineChars="200"/>
        <w:rPr>
          <w:rFonts w:cs="Arial"/>
          <w:color w:val="auto"/>
          <w:szCs w:val="21"/>
          <w:highlight w:val="none"/>
        </w:rPr>
      </w:pPr>
      <w:r>
        <w:rPr>
          <w:rFonts w:hint="eastAsia" w:cs="Arial"/>
          <w:color w:val="auto"/>
          <w:szCs w:val="21"/>
          <w:highlight w:val="none"/>
        </w:rPr>
        <w:t>3.9.2评标委员会完成评标后，应向招标人提交书面评标报告。</w:t>
      </w:r>
    </w:p>
    <w:p w14:paraId="16392BB1">
      <w:pPr>
        <w:spacing w:line="360" w:lineRule="auto"/>
        <w:jc w:val="center"/>
        <w:rPr>
          <w:rFonts w:eastAsia="华文宋体"/>
        </w:rPr>
        <w:sectPr>
          <w:footnotePr>
            <w:numFmt w:val="decimalEnclosedCircleChinese"/>
            <w:numRestart w:val="eachSect"/>
          </w:footnotePr>
          <w:pgSz w:w="11906" w:h="16838"/>
          <w:pgMar w:top="1418" w:right="1134" w:bottom="1418" w:left="1247" w:header="794" w:footer="964" w:gutter="0"/>
          <w:cols w:space="720" w:num="1"/>
          <w:docGrid w:type="lines" w:linePitch="312" w:charSpace="0"/>
        </w:sectPr>
      </w:pPr>
    </w:p>
    <w:p w14:paraId="73387B9D">
      <w:pPr>
        <w:numPr>
          <w:ilvl w:val="0"/>
          <w:numId w:val="3"/>
        </w:numPr>
        <w:snapToGrid w:val="0"/>
        <w:spacing w:line="500" w:lineRule="exact"/>
        <w:jc w:val="left"/>
        <w:rPr>
          <w:rFonts w:hint="eastAsia"/>
          <w:sz w:val="24"/>
          <w:lang w:val="en-US" w:eastAsia="zh-CN"/>
        </w:rPr>
      </w:pPr>
      <w:r>
        <w:rPr>
          <w:rFonts w:hint="eastAsia"/>
          <w:sz w:val="24"/>
          <w:lang w:val="en-US" w:eastAsia="zh-CN"/>
        </w:rPr>
        <w:t>其他公示内容</w:t>
      </w:r>
    </w:p>
    <w:p w14:paraId="54324704">
      <w:pPr>
        <w:wordWrap w:val="0"/>
        <w:topLinePunct/>
        <w:adjustRightInd w:val="0"/>
        <w:snapToGrid w:val="0"/>
        <w:spacing w:line="300" w:lineRule="exact"/>
        <w:jc w:val="center"/>
        <w:outlineLvl w:val="2"/>
        <w:rPr>
          <w:rFonts w:eastAsia="黑体"/>
          <w:color w:val="auto"/>
          <w:sz w:val="28"/>
          <w:szCs w:val="28"/>
          <w:highlight w:val="none"/>
        </w:rPr>
      </w:pPr>
      <w:bookmarkStart w:id="16" w:name="_Toc396460428"/>
      <w:bookmarkStart w:id="17" w:name="_Toc396461596"/>
      <w:bookmarkStart w:id="18" w:name="_Toc447602682"/>
      <w:r>
        <w:rPr>
          <w:rFonts w:eastAsia="黑体"/>
          <w:color w:val="auto"/>
          <w:sz w:val="28"/>
          <w:szCs w:val="28"/>
          <w:highlight w:val="none"/>
        </w:rPr>
        <w:t>附录1  资格审查条件（资质最低要求）</w:t>
      </w:r>
      <w:bookmarkEnd w:id="16"/>
      <w:bookmarkEnd w:id="17"/>
      <w:bookmarkEnd w:id="18"/>
    </w:p>
    <w:p w14:paraId="04C695CF">
      <w:pPr>
        <w:wordWrap w:val="0"/>
        <w:topLinePunct/>
        <w:adjustRightInd w:val="0"/>
        <w:snapToGrid w:val="0"/>
        <w:spacing w:line="300" w:lineRule="exact"/>
        <w:rPr>
          <w:rFonts w:eastAsia="隶书"/>
          <w:b/>
          <w:color w:val="auto"/>
          <w:sz w:val="32"/>
          <w:highlight w:val="none"/>
        </w:rPr>
      </w:pPr>
    </w:p>
    <w:tbl>
      <w:tblPr>
        <w:tblStyle w:val="11"/>
        <w:tblW w:w="493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03"/>
      </w:tblGrid>
      <w:tr w14:paraId="70D752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5000" w:type="pct"/>
            <w:noWrap w:val="0"/>
            <w:vAlign w:val="center"/>
          </w:tcPr>
          <w:p w14:paraId="167FB730">
            <w:pPr>
              <w:wordWrap w:val="0"/>
              <w:topLinePunct/>
              <w:spacing w:line="400" w:lineRule="exact"/>
              <w:jc w:val="center"/>
              <w:rPr>
                <w:rFonts w:eastAsia="黑体"/>
                <w:color w:val="auto"/>
                <w:szCs w:val="21"/>
                <w:highlight w:val="none"/>
              </w:rPr>
            </w:pPr>
            <w:r>
              <w:rPr>
                <w:rFonts w:ascii="宋体" w:hAnsi="宋体" w:eastAsia="宋体" w:cs="宋体"/>
                <w:spacing w:val="-1"/>
                <w:sz w:val="21"/>
                <w:szCs w:val="21"/>
              </w:rPr>
              <w:t>企业资质等级要求</w:t>
            </w:r>
          </w:p>
        </w:tc>
      </w:tr>
      <w:tr w14:paraId="180903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22" w:hRule="atLeast"/>
        </w:trPr>
        <w:tc>
          <w:tcPr>
            <w:tcW w:w="5000" w:type="pct"/>
            <w:noWrap w:val="0"/>
            <w:vAlign w:val="top"/>
          </w:tcPr>
          <w:p w14:paraId="0367969B">
            <w:pPr>
              <w:spacing w:line="380" w:lineRule="exact"/>
              <w:ind w:firstLine="420" w:firstLineChars="200"/>
              <w:jc w:val="both"/>
              <w:rPr>
                <w:rFonts w:hint="eastAsia"/>
                <w:color w:val="auto"/>
                <w:szCs w:val="21"/>
                <w:highlight w:val="none"/>
              </w:rPr>
            </w:pPr>
            <w:r>
              <w:rPr>
                <w:rFonts w:hint="eastAsia"/>
                <w:color w:val="auto"/>
                <w:szCs w:val="21"/>
                <w:highlight w:val="none"/>
              </w:rPr>
              <w:t>同时具备</w:t>
            </w:r>
          </w:p>
          <w:p w14:paraId="6888A1CD">
            <w:pPr>
              <w:spacing w:line="380" w:lineRule="exact"/>
              <w:ind w:firstLine="420" w:firstLineChars="200"/>
              <w:jc w:val="both"/>
              <w:rPr>
                <w:rFonts w:hint="eastAsia"/>
                <w:color w:val="auto"/>
                <w:szCs w:val="21"/>
                <w:highlight w:val="none"/>
              </w:rPr>
            </w:pPr>
            <w:r>
              <w:rPr>
                <w:rFonts w:hint="eastAsia"/>
                <w:color w:val="auto"/>
                <w:szCs w:val="21"/>
                <w:highlight w:val="none"/>
              </w:rPr>
              <w:t>1）工程勘察综合资质甲级，或同时具有</w:t>
            </w:r>
            <w:r>
              <w:rPr>
                <w:rFonts w:hint="eastAsia"/>
                <w:color w:val="auto"/>
                <w:szCs w:val="21"/>
                <w:highlight w:val="none"/>
                <w:lang w:eastAsia="zh-CN"/>
              </w:rPr>
              <w:t>工程测量专业甲级及以上资质、工程勘察岩土工程专业甲级</w:t>
            </w:r>
            <w:r>
              <w:rPr>
                <w:rFonts w:hint="eastAsia"/>
                <w:color w:val="auto"/>
                <w:szCs w:val="21"/>
                <w:highlight w:val="none"/>
              </w:rPr>
              <w:t xml:space="preserve">及以上资质； </w:t>
            </w:r>
          </w:p>
          <w:p w14:paraId="53ED422E">
            <w:pPr>
              <w:spacing w:line="380" w:lineRule="exact"/>
              <w:ind w:firstLine="420" w:firstLineChars="200"/>
              <w:jc w:val="both"/>
              <w:rPr>
                <w:rFonts w:hint="eastAsia"/>
                <w:color w:val="auto"/>
                <w:szCs w:val="21"/>
                <w:highlight w:val="none"/>
              </w:rPr>
            </w:pPr>
            <w:r>
              <w:rPr>
                <w:rFonts w:hint="eastAsia"/>
                <w:color w:val="auto"/>
                <w:szCs w:val="21"/>
                <w:highlight w:val="none"/>
              </w:rPr>
              <w:t>2）设计资质： 工程设计公路行业甲级资质，或具有工程设计公路行业（公路工程）专业乙级及以上资质。</w:t>
            </w:r>
          </w:p>
          <w:p w14:paraId="47DE6392">
            <w:pPr>
              <w:spacing w:line="380" w:lineRule="exact"/>
              <w:ind w:firstLine="420" w:firstLineChars="200"/>
              <w:jc w:val="both"/>
              <w:rPr>
                <w:color w:val="auto"/>
                <w:szCs w:val="21"/>
                <w:highlight w:val="none"/>
              </w:rPr>
            </w:pPr>
            <w:r>
              <w:rPr>
                <w:rFonts w:hint="eastAsia"/>
                <w:color w:val="auto"/>
                <w:szCs w:val="21"/>
                <w:highlight w:val="none"/>
              </w:rPr>
              <w:t xml:space="preserve"> 具有公路设计资质的投标人应进入交通运输部“全国公路建设市场监督管理系统（https: //hwdms.mot.gov.cn/BMWebSite/）”中的设计企业名录，且投标人名称和资质与该名录中的相应企业名称和资质完全一致。</w:t>
            </w:r>
          </w:p>
        </w:tc>
      </w:tr>
    </w:tbl>
    <w:p w14:paraId="4317EA2F">
      <w:pPr>
        <w:wordWrap w:val="0"/>
        <w:topLinePunct/>
        <w:adjustRightInd w:val="0"/>
        <w:snapToGrid w:val="0"/>
        <w:spacing w:line="300" w:lineRule="exact"/>
        <w:rPr>
          <w:rFonts w:eastAsia="隶书"/>
          <w:b/>
          <w:color w:val="auto"/>
          <w:sz w:val="32"/>
          <w:highlight w:val="none"/>
        </w:rPr>
      </w:pPr>
    </w:p>
    <w:p w14:paraId="14A61177">
      <w:pPr>
        <w:wordWrap w:val="0"/>
        <w:topLinePunct/>
        <w:adjustRightInd w:val="0"/>
        <w:snapToGrid w:val="0"/>
        <w:spacing w:line="300" w:lineRule="exact"/>
        <w:jc w:val="center"/>
        <w:outlineLvl w:val="2"/>
        <w:rPr>
          <w:rFonts w:eastAsia="黑体"/>
          <w:color w:val="auto"/>
          <w:sz w:val="28"/>
          <w:szCs w:val="28"/>
          <w:highlight w:val="none"/>
        </w:rPr>
      </w:pPr>
      <w:bookmarkStart w:id="19" w:name="_Toc396460429"/>
      <w:bookmarkStart w:id="20" w:name="_Toc447602683"/>
      <w:bookmarkStart w:id="21" w:name="_Toc396461597"/>
    </w:p>
    <w:p w14:paraId="5F725E86">
      <w:pPr>
        <w:wordWrap w:val="0"/>
        <w:topLinePunct/>
        <w:adjustRightInd w:val="0"/>
        <w:snapToGrid w:val="0"/>
        <w:spacing w:line="300" w:lineRule="exact"/>
        <w:jc w:val="center"/>
        <w:outlineLvl w:val="2"/>
        <w:rPr>
          <w:rFonts w:eastAsia="黑体"/>
          <w:color w:val="auto"/>
          <w:sz w:val="28"/>
          <w:szCs w:val="28"/>
          <w:highlight w:val="none"/>
        </w:rPr>
      </w:pPr>
    </w:p>
    <w:p w14:paraId="488B0341">
      <w:pPr>
        <w:jc w:val="center"/>
        <w:rPr>
          <w:rFonts w:eastAsia="黑体"/>
          <w:color w:val="auto"/>
          <w:sz w:val="28"/>
          <w:szCs w:val="28"/>
          <w:highlight w:val="none"/>
        </w:rPr>
      </w:pPr>
      <w:r>
        <w:rPr>
          <w:rFonts w:eastAsia="黑体"/>
          <w:color w:val="auto"/>
          <w:sz w:val="28"/>
          <w:szCs w:val="28"/>
          <w:highlight w:val="none"/>
        </w:rPr>
        <w:t>附录2  资格审查条件（</w:t>
      </w:r>
      <w:r>
        <w:rPr>
          <w:rFonts w:hint="eastAsia" w:eastAsia="黑体"/>
          <w:color w:val="auto"/>
          <w:sz w:val="28"/>
          <w:szCs w:val="28"/>
          <w:highlight w:val="none"/>
        </w:rPr>
        <w:t>业绩</w:t>
      </w:r>
      <w:r>
        <w:rPr>
          <w:rFonts w:eastAsia="黑体"/>
          <w:color w:val="auto"/>
          <w:sz w:val="28"/>
          <w:szCs w:val="28"/>
          <w:highlight w:val="none"/>
        </w:rPr>
        <w:t>最低要求）</w:t>
      </w:r>
      <w:bookmarkEnd w:id="19"/>
      <w:bookmarkEnd w:id="20"/>
      <w:bookmarkEnd w:id="21"/>
    </w:p>
    <w:p w14:paraId="732983CA">
      <w:pPr>
        <w:wordWrap w:val="0"/>
        <w:topLinePunct/>
        <w:adjustRightInd w:val="0"/>
        <w:snapToGrid w:val="0"/>
        <w:spacing w:line="300" w:lineRule="exact"/>
        <w:rPr>
          <w:rFonts w:eastAsia="黑体"/>
          <w:color w:val="auto"/>
          <w:sz w:val="28"/>
          <w:szCs w:val="28"/>
          <w:highlight w:val="none"/>
        </w:rPr>
      </w:pP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19"/>
      </w:tblGrid>
      <w:tr w14:paraId="0D5B2E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6" w:hRule="atLeast"/>
        </w:trPr>
        <w:tc>
          <w:tcPr>
            <w:tcW w:w="5000" w:type="pct"/>
            <w:noWrap w:val="0"/>
            <w:vAlign w:val="center"/>
          </w:tcPr>
          <w:p w14:paraId="5B912C97">
            <w:pPr>
              <w:wordWrap w:val="0"/>
              <w:topLinePunct/>
              <w:spacing w:line="400" w:lineRule="exact"/>
              <w:jc w:val="center"/>
              <w:rPr>
                <w:rFonts w:eastAsia="黑体"/>
                <w:color w:val="auto"/>
                <w:szCs w:val="21"/>
                <w:highlight w:val="none"/>
              </w:rPr>
            </w:pPr>
            <w:r>
              <w:rPr>
                <w:rFonts w:hint="eastAsia" w:eastAsia="黑体"/>
                <w:color w:val="auto"/>
                <w:szCs w:val="21"/>
                <w:highlight w:val="none"/>
              </w:rPr>
              <w:t>业绩</w:t>
            </w:r>
            <w:r>
              <w:rPr>
                <w:rFonts w:eastAsia="黑体"/>
                <w:color w:val="auto"/>
                <w:szCs w:val="21"/>
                <w:highlight w:val="none"/>
              </w:rPr>
              <w:t>要求</w:t>
            </w:r>
          </w:p>
        </w:tc>
      </w:tr>
      <w:tr w14:paraId="02D0CC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83" w:hRule="atLeast"/>
        </w:trPr>
        <w:tc>
          <w:tcPr>
            <w:tcW w:w="5000" w:type="pct"/>
            <w:noWrap w:val="0"/>
            <w:vAlign w:val="center"/>
          </w:tcPr>
          <w:p w14:paraId="3DAF93A5">
            <w:pPr>
              <w:spacing w:line="380" w:lineRule="exact"/>
              <w:ind w:firstLine="420" w:firstLineChars="200"/>
              <w:jc w:val="left"/>
              <w:rPr>
                <w:color w:val="auto"/>
                <w:szCs w:val="21"/>
                <w:highlight w:val="none"/>
              </w:rPr>
            </w:pPr>
            <w:r>
              <w:rPr>
                <w:rFonts w:hint="eastAsia"/>
                <w:color w:val="auto"/>
                <w:szCs w:val="21"/>
                <w:highlight w:val="none"/>
              </w:rPr>
              <w:t>近五年内</w:t>
            </w:r>
            <w:r>
              <w:rPr>
                <w:rFonts w:hint="eastAsia"/>
                <w:color w:val="auto"/>
                <w:highlight w:val="none"/>
                <w:lang w:eastAsia="zh-CN"/>
              </w:rPr>
              <w:t>（2021年1 月</w:t>
            </w:r>
            <w:r>
              <w:rPr>
                <w:rFonts w:hint="eastAsia"/>
                <w:color w:val="auto"/>
                <w:highlight w:val="none"/>
                <w:lang w:val="en-US" w:eastAsia="zh-CN"/>
              </w:rPr>
              <w:t>1</w:t>
            </w:r>
            <w:r>
              <w:rPr>
                <w:rFonts w:hint="eastAsia"/>
                <w:color w:val="auto"/>
                <w:highlight w:val="none"/>
                <w:lang w:eastAsia="zh-CN"/>
              </w:rPr>
              <w:t>日至投标文件递交截止日，以初步设计批复或施工图设计批复时间为准）</w:t>
            </w:r>
            <w:r>
              <w:rPr>
                <w:rFonts w:hint="eastAsia"/>
                <w:color w:val="auto"/>
                <w:szCs w:val="21"/>
                <w:highlight w:val="none"/>
              </w:rPr>
              <w:t>至少完成过 1 项</w:t>
            </w:r>
            <w:r>
              <w:rPr>
                <w:rFonts w:hint="eastAsia"/>
                <w:color w:val="auto"/>
                <w:szCs w:val="21"/>
                <w:highlight w:val="none"/>
                <w:lang w:eastAsia="zh-CN"/>
              </w:rPr>
              <w:t>二级及以上新（改、扩）建公路</w:t>
            </w:r>
            <w:r>
              <w:rPr>
                <w:rFonts w:hint="eastAsia"/>
                <w:color w:val="auto"/>
                <w:szCs w:val="21"/>
                <w:highlight w:val="none"/>
              </w:rPr>
              <w:t>（含隧道）的</w:t>
            </w:r>
            <w:r>
              <w:rPr>
                <w:rFonts w:hint="eastAsia"/>
                <w:color w:val="auto"/>
                <w:szCs w:val="21"/>
                <w:highlight w:val="none"/>
                <w:lang w:eastAsia="zh-CN"/>
              </w:rPr>
              <w:t>设计</w:t>
            </w:r>
            <w:r>
              <w:rPr>
                <w:rFonts w:hint="eastAsia"/>
                <w:color w:val="auto"/>
                <w:szCs w:val="21"/>
                <w:highlight w:val="none"/>
              </w:rPr>
              <w:t>业绩。</w:t>
            </w:r>
          </w:p>
        </w:tc>
      </w:tr>
    </w:tbl>
    <w:p w14:paraId="16863073">
      <w:pPr>
        <w:wordWrap w:val="0"/>
        <w:topLinePunct/>
        <w:adjustRightInd w:val="0"/>
        <w:snapToGrid w:val="0"/>
        <w:spacing w:line="300" w:lineRule="exact"/>
        <w:jc w:val="center"/>
        <w:rPr>
          <w:rFonts w:eastAsia="黑体"/>
          <w:color w:val="auto"/>
          <w:sz w:val="28"/>
          <w:szCs w:val="28"/>
          <w:highlight w:val="none"/>
        </w:rPr>
      </w:pPr>
    </w:p>
    <w:p w14:paraId="3D4CA5DB">
      <w:pPr>
        <w:rPr>
          <w:rFonts w:eastAsia="黑体"/>
          <w:color w:val="auto"/>
          <w:sz w:val="28"/>
          <w:szCs w:val="28"/>
          <w:highlight w:val="none"/>
        </w:rPr>
      </w:pPr>
      <w:bookmarkStart w:id="22" w:name="_Toc447602684"/>
      <w:bookmarkStart w:id="23" w:name="_Toc396461598"/>
      <w:bookmarkStart w:id="24" w:name="_Toc396460430"/>
      <w:r>
        <w:rPr>
          <w:rFonts w:eastAsia="黑体"/>
          <w:color w:val="auto"/>
          <w:sz w:val="28"/>
          <w:szCs w:val="28"/>
          <w:highlight w:val="none"/>
        </w:rPr>
        <w:br w:type="page"/>
      </w:r>
    </w:p>
    <w:p w14:paraId="74CEB358">
      <w:pPr>
        <w:wordWrap w:val="0"/>
        <w:topLinePunct/>
        <w:adjustRightInd w:val="0"/>
        <w:snapToGrid w:val="0"/>
        <w:spacing w:line="300" w:lineRule="exact"/>
        <w:jc w:val="center"/>
        <w:outlineLvl w:val="2"/>
        <w:rPr>
          <w:color w:val="auto"/>
          <w:highlight w:val="none"/>
        </w:rPr>
      </w:pPr>
      <w:r>
        <w:rPr>
          <w:rFonts w:eastAsia="黑体"/>
          <w:color w:val="auto"/>
          <w:sz w:val="28"/>
          <w:szCs w:val="28"/>
          <w:highlight w:val="none"/>
        </w:rPr>
        <w:t xml:space="preserve">附录3  </w:t>
      </w:r>
      <w:bookmarkEnd w:id="22"/>
      <w:bookmarkEnd w:id="23"/>
      <w:bookmarkEnd w:id="24"/>
      <w:bookmarkStart w:id="25" w:name="_Toc396460431"/>
      <w:bookmarkStart w:id="26" w:name="_Toc396461599"/>
      <w:bookmarkStart w:id="27" w:name="_Toc447602685"/>
      <w:r>
        <w:rPr>
          <w:rFonts w:eastAsia="黑体"/>
          <w:color w:val="auto"/>
          <w:sz w:val="28"/>
          <w:szCs w:val="28"/>
          <w:highlight w:val="none"/>
        </w:rPr>
        <w:t>资格审查条件（信誉最低要求）</w:t>
      </w:r>
      <w:bookmarkEnd w:id="25"/>
      <w:bookmarkEnd w:id="26"/>
      <w:bookmarkEnd w:id="27"/>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19"/>
      </w:tblGrid>
      <w:tr w14:paraId="0E8CC8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17" w:type="dxa"/>
            <w:noWrap w:val="0"/>
            <w:vAlign w:val="center"/>
          </w:tcPr>
          <w:p w14:paraId="7EDB67FC">
            <w:pPr>
              <w:topLinePunct/>
              <w:spacing w:line="360" w:lineRule="exact"/>
              <w:jc w:val="center"/>
              <w:rPr>
                <w:rFonts w:eastAsia="黑体"/>
                <w:color w:val="auto"/>
                <w:szCs w:val="21"/>
                <w:highlight w:val="none"/>
              </w:rPr>
            </w:pPr>
            <w:r>
              <w:rPr>
                <w:rFonts w:eastAsia="黑体"/>
                <w:color w:val="auto"/>
                <w:szCs w:val="21"/>
                <w:highlight w:val="none"/>
              </w:rPr>
              <w:t>信誉要求</w:t>
            </w:r>
          </w:p>
        </w:tc>
      </w:tr>
      <w:tr w14:paraId="0CD1EE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0" w:hRule="atLeast"/>
        </w:trPr>
        <w:tc>
          <w:tcPr>
            <w:tcW w:w="8717" w:type="dxa"/>
            <w:noWrap w:val="0"/>
            <w:vAlign w:val="center"/>
          </w:tcPr>
          <w:p w14:paraId="47682087">
            <w:pPr>
              <w:snapToGrid w:val="0"/>
              <w:spacing w:line="360" w:lineRule="exact"/>
              <w:ind w:firstLine="404" w:firstLineChars="200"/>
              <w:rPr>
                <w:rFonts w:hint="eastAsia" w:ascii="Times New Roman" w:hAnsi="Times New Roman" w:eastAsia="宋体" w:cs="Times New Roman"/>
                <w:color w:val="auto"/>
                <w:spacing w:val="-4"/>
                <w:szCs w:val="21"/>
                <w:highlight w:val="none"/>
              </w:rPr>
            </w:pPr>
            <w:r>
              <w:rPr>
                <w:rFonts w:hint="eastAsia" w:ascii="Times New Roman" w:hAnsi="Times New Roman" w:eastAsia="宋体" w:cs="Times New Roman"/>
                <w:color w:val="auto"/>
                <w:spacing w:val="-4"/>
                <w:szCs w:val="21"/>
                <w:highlight w:val="none"/>
              </w:rPr>
              <w:t xml:space="preserve">（1）投标人在近三年内未在交通工程建设领域因重大、特大工程质量、安全事故受到省级及以上行政主管部门的通报，未在山西省公路工程建设项目中发生重大工程质量、安全等事故并受到通报。 </w:t>
            </w:r>
          </w:p>
          <w:p w14:paraId="31BB8B9A">
            <w:pPr>
              <w:snapToGrid w:val="0"/>
              <w:spacing w:line="360" w:lineRule="exact"/>
              <w:ind w:firstLine="404" w:firstLineChars="200"/>
              <w:rPr>
                <w:rFonts w:hint="eastAsia" w:ascii="Times New Roman" w:hAnsi="Times New Roman" w:eastAsia="宋体" w:cs="Times New Roman"/>
                <w:color w:val="auto"/>
                <w:spacing w:val="-4"/>
                <w:szCs w:val="21"/>
                <w:highlight w:val="none"/>
              </w:rPr>
            </w:pPr>
            <w:r>
              <w:rPr>
                <w:rFonts w:hint="eastAsia" w:ascii="Times New Roman" w:hAnsi="Times New Roman" w:eastAsia="宋体" w:cs="Times New Roman"/>
                <w:color w:val="auto"/>
                <w:spacing w:val="-4"/>
                <w:szCs w:val="21"/>
                <w:highlight w:val="none"/>
              </w:rPr>
              <w:t xml:space="preserve">（2）投标人目前没有受到交通运输部或山西省交通运输厅作出的，取消投标资格或禁止进入公路建设市场且处于有效期内的行政处罚。 </w:t>
            </w:r>
          </w:p>
          <w:p w14:paraId="0C3AC58D">
            <w:pPr>
              <w:snapToGrid w:val="0"/>
              <w:spacing w:line="360" w:lineRule="exact"/>
              <w:ind w:firstLine="404" w:firstLineChars="200"/>
              <w:rPr>
                <w:rFonts w:hint="eastAsia" w:ascii="Times New Roman" w:hAnsi="Times New Roman" w:eastAsia="宋体" w:cs="Times New Roman"/>
                <w:color w:val="auto"/>
                <w:spacing w:val="-4"/>
                <w:szCs w:val="21"/>
                <w:highlight w:val="none"/>
              </w:rPr>
            </w:pPr>
            <w:r>
              <w:rPr>
                <w:rFonts w:hint="eastAsia" w:ascii="Times New Roman" w:hAnsi="Times New Roman" w:eastAsia="宋体" w:cs="Times New Roman"/>
                <w:color w:val="auto"/>
                <w:spacing w:val="-4"/>
                <w:szCs w:val="21"/>
                <w:highlight w:val="none"/>
              </w:rPr>
              <w:t xml:space="preserve">（3）投标人在山西省公路建设市场未发生重大违约问题。 </w:t>
            </w:r>
          </w:p>
          <w:p w14:paraId="36647EDC">
            <w:pPr>
              <w:snapToGrid w:val="0"/>
              <w:spacing w:line="360" w:lineRule="exact"/>
              <w:ind w:firstLine="404" w:firstLineChars="200"/>
              <w:rPr>
                <w:color w:val="auto"/>
                <w:spacing w:val="-4"/>
                <w:szCs w:val="21"/>
                <w:highlight w:val="none"/>
              </w:rPr>
            </w:pPr>
            <w:r>
              <w:rPr>
                <w:rFonts w:hint="eastAsia" w:ascii="Times New Roman" w:hAnsi="Times New Roman" w:eastAsia="宋体" w:cs="Times New Roman"/>
                <w:color w:val="auto"/>
                <w:spacing w:val="-4"/>
                <w:szCs w:val="21"/>
                <w:highlight w:val="none"/>
              </w:rPr>
              <w:t>（4）投标人应满足投标人须知第 1.4.4 项的要求。</w:t>
            </w:r>
          </w:p>
        </w:tc>
      </w:tr>
    </w:tbl>
    <w:p w14:paraId="65800E66">
      <w:pPr>
        <w:wordWrap w:val="0"/>
        <w:topLinePunct/>
        <w:adjustRightInd w:val="0"/>
        <w:snapToGrid w:val="0"/>
        <w:spacing w:before="120" w:beforeLines="50" w:after="120" w:afterLines="50" w:line="400" w:lineRule="exact"/>
        <w:jc w:val="center"/>
        <w:outlineLvl w:val="2"/>
        <w:rPr>
          <w:rFonts w:eastAsia="黑体"/>
          <w:color w:val="auto"/>
          <w:sz w:val="28"/>
          <w:szCs w:val="28"/>
          <w:highlight w:val="none"/>
        </w:rPr>
      </w:pPr>
      <w:bookmarkStart w:id="28" w:name="_Toc447602686"/>
    </w:p>
    <w:p w14:paraId="2255B902">
      <w:pPr>
        <w:wordWrap w:val="0"/>
        <w:topLinePunct/>
        <w:adjustRightInd w:val="0"/>
        <w:snapToGrid w:val="0"/>
        <w:spacing w:before="120" w:beforeLines="50" w:after="120" w:afterLines="50" w:line="400" w:lineRule="exact"/>
        <w:jc w:val="center"/>
        <w:outlineLvl w:val="2"/>
        <w:rPr>
          <w:rFonts w:eastAsia="黑体"/>
          <w:color w:val="auto"/>
          <w:sz w:val="28"/>
          <w:szCs w:val="28"/>
          <w:highlight w:val="none"/>
        </w:rPr>
      </w:pPr>
    </w:p>
    <w:p w14:paraId="51FE92C1">
      <w:pPr>
        <w:wordWrap w:val="0"/>
        <w:topLinePunct/>
        <w:adjustRightInd w:val="0"/>
        <w:snapToGrid w:val="0"/>
        <w:spacing w:before="120" w:beforeLines="50" w:after="120" w:afterLines="50" w:line="400" w:lineRule="exact"/>
        <w:jc w:val="center"/>
        <w:outlineLvl w:val="2"/>
        <w:rPr>
          <w:rFonts w:eastAsia="黑体"/>
          <w:color w:val="auto"/>
          <w:sz w:val="28"/>
          <w:szCs w:val="28"/>
          <w:highlight w:val="none"/>
        </w:rPr>
      </w:pPr>
    </w:p>
    <w:p w14:paraId="65FD1C37">
      <w:pPr>
        <w:wordWrap w:val="0"/>
        <w:topLinePunct/>
        <w:adjustRightInd w:val="0"/>
        <w:snapToGrid w:val="0"/>
        <w:spacing w:before="120" w:beforeLines="50" w:after="120" w:afterLines="50" w:line="400" w:lineRule="exact"/>
        <w:jc w:val="center"/>
        <w:outlineLvl w:val="2"/>
        <w:rPr>
          <w:rFonts w:eastAsia="黑体"/>
          <w:color w:val="auto"/>
          <w:sz w:val="28"/>
          <w:szCs w:val="28"/>
          <w:highlight w:val="none"/>
        </w:rPr>
      </w:pPr>
    </w:p>
    <w:p w14:paraId="29661BAF">
      <w:pPr>
        <w:wordWrap w:val="0"/>
        <w:topLinePunct/>
        <w:adjustRightInd w:val="0"/>
        <w:snapToGrid w:val="0"/>
        <w:spacing w:before="120" w:beforeLines="50" w:after="120" w:afterLines="50" w:line="400" w:lineRule="exact"/>
        <w:jc w:val="center"/>
        <w:outlineLvl w:val="2"/>
        <w:rPr>
          <w:rFonts w:eastAsia="黑体"/>
          <w:color w:val="auto"/>
          <w:sz w:val="28"/>
          <w:szCs w:val="28"/>
          <w:highlight w:val="none"/>
        </w:rPr>
      </w:pPr>
    </w:p>
    <w:p w14:paraId="0E6747FD">
      <w:pPr>
        <w:wordWrap w:val="0"/>
        <w:topLinePunct/>
        <w:adjustRightInd w:val="0"/>
        <w:snapToGrid w:val="0"/>
        <w:spacing w:before="120" w:beforeLines="50" w:after="120" w:afterLines="50" w:line="400" w:lineRule="exact"/>
        <w:jc w:val="center"/>
        <w:outlineLvl w:val="2"/>
        <w:rPr>
          <w:color w:val="auto"/>
          <w:highlight w:val="none"/>
        </w:rPr>
      </w:pPr>
      <w:r>
        <w:rPr>
          <w:rFonts w:eastAsia="黑体"/>
          <w:color w:val="auto"/>
          <w:sz w:val="28"/>
          <w:szCs w:val="28"/>
          <w:highlight w:val="none"/>
        </w:rPr>
        <w:t>附录4  资格审查条件（</w:t>
      </w:r>
      <w:r>
        <w:rPr>
          <w:rFonts w:hint="eastAsia" w:eastAsia="黑体"/>
          <w:color w:val="auto"/>
          <w:sz w:val="28"/>
          <w:szCs w:val="28"/>
          <w:highlight w:val="none"/>
        </w:rPr>
        <w:t>项目负责人</w:t>
      </w:r>
      <w:r>
        <w:rPr>
          <w:rFonts w:eastAsia="黑体"/>
          <w:color w:val="auto"/>
          <w:sz w:val="28"/>
          <w:szCs w:val="28"/>
          <w:highlight w:val="none"/>
        </w:rPr>
        <w:t>最低要求）</w:t>
      </w:r>
      <w:bookmarkEnd w:id="28"/>
    </w:p>
    <w:tbl>
      <w:tblPr>
        <w:tblStyle w:val="11"/>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918"/>
        <w:gridCol w:w="6247"/>
      </w:tblGrid>
      <w:tr w14:paraId="40E9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4" w:type="dxa"/>
            <w:noWrap w:val="0"/>
            <w:vAlign w:val="center"/>
          </w:tcPr>
          <w:p w14:paraId="6AA87563">
            <w:pPr>
              <w:snapToGrid w:val="0"/>
              <w:spacing w:line="360" w:lineRule="exact"/>
              <w:jc w:val="center"/>
              <w:rPr>
                <w:rFonts w:eastAsia="黑体"/>
                <w:color w:val="auto"/>
                <w:sz w:val="24"/>
                <w:highlight w:val="none"/>
              </w:rPr>
            </w:pPr>
            <w:r>
              <w:rPr>
                <w:rFonts w:eastAsia="黑体"/>
                <w:color w:val="auto"/>
                <w:sz w:val="24"/>
                <w:highlight w:val="none"/>
              </w:rPr>
              <w:t>人员</w:t>
            </w:r>
          </w:p>
        </w:tc>
        <w:tc>
          <w:tcPr>
            <w:tcW w:w="932" w:type="dxa"/>
            <w:noWrap w:val="0"/>
            <w:vAlign w:val="bottom"/>
          </w:tcPr>
          <w:p w14:paraId="1BCC6E38">
            <w:pPr>
              <w:snapToGrid w:val="0"/>
              <w:spacing w:line="360" w:lineRule="exact"/>
              <w:jc w:val="center"/>
              <w:rPr>
                <w:rFonts w:eastAsia="黑体"/>
                <w:color w:val="auto"/>
                <w:sz w:val="24"/>
                <w:highlight w:val="none"/>
              </w:rPr>
            </w:pPr>
            <w:r>
              <w:rPr>
                <w:rFonts w:eastAsia="黑体"/>
                <w:color w:val="auto"/>
                <w:sz w:val="24"/>
                <w:highlight w:val="none"/>
              </w:rPr>
              <w:t>数量</w:t>
            </w:r>
          </w:p>
        </w:tc>
        <w:tc>
          <w:tcPr>
            <w:tcW w:w="6405" w:type="dxa"/>
            <w:noWrap w:val="0"/>
            <w:vAlign w:val="center"/>
          </w:tcPr>
          <w:p w14:paraId="57599F8F">
            <w:pPr>
              <w:snapToGrid w:val="0"/>
              <w:spacing w:line="360" w:lineRule="exact"/>
              <w:jc w:val="center"/>
              <w:rPr>
                <w:rFonts w:eastAsia="黑体"/>
                <w:color w:val="auto"/>
                <w:sz w:val="24"/>
                <w:highlight w:val="none"/>
              </w:rPr>
            </w:pPr>
            <w:r>
              <w:rPr>
                <w:rFonts w:eastAsia="黑体"/>
                <w:color w:val="auto"/>
                <w:sz w:val="24"/>
                <w:highlight w:val="none"/>
              </w:rPr>
              <w:t>最低要求</w:t>
            </w:r>
          </w:p>
        </w:tc>
      </w:tr>
      <w:tr w14:paraId="0149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1324" w:type="dxa"/>
            <w:noWrap w:val="0"/>
            <w:vAlign w:val="center"/>
          </w:tcPr>
          <w:p w14:paraId="3DB8350B">
            <w:pPr>
              <w:topLinePunct/>
              <w:spacing w:line="360" w:lineRule="exact"/>
              <w:jc w:val="center"/>
              <w:rPr>
                <w:rFonts w:eastAsia="黑体"/>
                <w:color w:val="auto"/>
                <w:szCs w:val="21"/>
                <w:highlight w:val="none"/>
              </w:rPr>
            </w:pPr>
            <w:r>
              <w:rPr>
                <w:rFonts w:eastAsia="黑体"/>
                <w:color w:val="auto"/>
                <w:szCs w:val="21"/>
                <w:highlight w:val="none"/>
              </w:rPr>
              <w:t>项目</w:t>
            </w:r>
            <w:r>
              <w:rPr>
                <w:rFonts w:hint="eastAsia" w:eastAsia="黑体"/>
                <w:color w:val="auto"/>
                <w:szCs w:val="21"/>
                <w:highlight w:val="none"/>
              </w:rPr>
              <w:t>负责人</w:t>
            </w:r>
          </w:p>
        </w:tc>
        <w:tc>
          <w:tcPr>
            <w:tcW w:w="932" w:type="dxa"/>
            <w:noWrap w:val="0"/>
            <w:vAlign w:val="center"/>
          </w:tcPr>
          <w:p w14:paraId="42BEC5B1">
            <w:pPr>
              <w:spacing w:line="360" w:lineRule="exact"/>
              <w:jc w:val="center"/>
              <w:rPr>
                <w:color w:val="auto"/>
                <w:szCs w:val="21"/>
                <w:highlight w:val="none"/>
              </w:rPr>
            </w:pPr>
            <w:r>
              <w:rPr>
                <w:color w:val="auto"/>
                <w:szCs w:val="21"/>
                <w:highlight w:val="none"/>
              </w:rPr>
              <w:t>1</w:t>
            </w:r>
          </w:p>
        </w:tc>
        <w:tc>
          <w:tcPr>
            <w:tcW w:w="6405" w:type="dxa"/>
            <w:noWrap w:val="0"/>
            <w:vAlign w:val="center"/>
          </w:tcPr>
          <w:p w14:paraId="3E4621F0">
            <w:pPr>
              <w:pStyle w:val="5"/>
              <w:tabs>
                <w:tab w:val="left" w:pos="1852"/>
                <w:tab w:val="left" w:pos="2356"/>
                <w:tab w:val="left" w:pos="3726"/>
                <w:tab w:val="left" w:pos="4681"/>
                <w:tab w:val="left" w:pos="4823"/>
                <w:tab w:val="left" w:pos="6452"/>
                <w:tab w:val="left" w:pos="7291"/>
              </w:tabs>
              <w:spacing w:line="400" w:lineRule="exact"/>
              <w:ind w:firstLine="420" w:firstLineChars="200"/>
              <w:rPr>
                <w:color w:val="auto"/>
                <w:highlight w:val="none"/>
              </w:rPr>
            </w:pPr>
            <w:r>
              <w:rPr>
                <w:rFonts w:hint="eastAsia"/>
                <w:color w:val="auto"/>
                <w:highlight w:val="none"/>
              </w:rPr>
              <w:t>高级工程师及以上技术职称（公路工程相关专业）；作为项目负责人</w:t>
            </w:r>
            <w:r>
              <w:rPr>
                <w:rFonts w:hint="eastAsia"/>
                <w:color w:val="auto"/>
                <w:highlight w:val="none"/>
                <w:lang w:eastAsia="zh-CN"/>
              </w:rPr>
              <w:t>至少完成过 1 项二级及以上新（改、扩）建公路（含隧道）的设计业绩</w:t>
            </w:r>
            <w:r>
              <w:rPr>
                <w:rFonts w:hint="eastAsia"/>
                <w:color w:val="auto"/>
                <w:highlight w:val="none"/>
              </w:rPr>
              <w:t>。</w:t>
            </w:r>
          </w:p>
        </w:tc>
      </w:tr>
    </w:tbl>
    <w:p w14:paraId="098926A2">
      <w:pPr>
        <w:pStyle w:val="2"/>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7F492">
    <w:pPr>
      <w:pStyle w:val="7"/>
      <w:jc w:val="center"/>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7A89C">
                          <w:pPr>
                            <w:pStyle w:val="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167A89C">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38A0">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D913">
    <w:pPr>
      <w:pBdr>
        <w:bottom w:val="single" w:color="auto" w:sz="4" w:space="1"/>
      </w:pBdr>
      <w:topLinePunct/>
      <w:spacing w:line="240" w:lineRule="atLeast"/>
      <w:jc w:val="right"/>
      <w:rPr>
        <w:rStyle w:val="14"/>
        <w:rFonts w:eastAsia="黑体"/>
        <w:b w:val="0"/>
        <w:kern w:val="10"/>
        <w:sz w:val="18"/>
        <w:szCs w:val="18"/>
      </w:rPr>
    </w:pPr>
    <w:r>
      <w:rPr>
        <w:rStyle w:val="14"/>
        <w:rFonts w:hint="eastAsia" w:eastAsia="黑体"/>
        <w:b w:val="0"/>
        <w:kern w:val="10"/>
        <w:sz w:val="18"/>
        <w:szCs w:val="18"/>
      </w:rPr>
      <w:t>第三章  评标办法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D93E6"/>
    <w:multiLevelType w:val="singleLevel"/>
    <w:tmpl w:val="9F6D93E6"/>
    <w:lvl w:ilvl="0" w:tentative="0">
      <w:start w:val="5"/>
      <w:numFmt w:val="decimal"/>
      <w:suff w:val="nothing"/>
      <w:lvlText w:val="%1、"/>
      <w:lvlJc w:val="left"/>
    </w:lvl>
  </w:abstractNum>
  <w:abstractNum w:abstractNumId="1">
    <w:nsid w:val="DEA5EEFF"/>
    <w:multiLevelType w:val="singleLevel"/>
    <w:tmpl w:val="DEA5EEFF"/>
    <w:lvl w:ilvl="0" w:tentative="0">
      <w:start w:val="1"/>
      <w:numFmt w:val="decimal"/>
      <w:suff w:val="space"/>
      <w:lvlText w:val="(%1)"/>
      <w:lvlJc w:val="left"/>
    </w:lvl>
  </w:abstractNum>
  <w:abstractNum w:abstractNumId="2">
    <w:nsid w:val="7D8CB3EC"/>
    <w:multiLevelType w:val="singleLevel"/>
    <w:tmpl w:val="7D8CB3EC"/>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OThhMDFjOGY3ZjE5ODE0NTQzMzAyNDczNTQ0ZWIifQ=="/>
  </w:docVars>
  <w:rsids>
    <w:rsidRoot w:val="00000000"/>
    <w:rsid w:val="1CA07C1A"/>
    <w:rsid w:val="26BB3293"/>
    <w:rsid w:val="3BAA5C47"/>
    <w:rsid w:val="3C905EEF"/>
    <w:rsid w:val="3CB15184"/>
    <w:rsid w:val="6E623F41"/>
    <w:rsid w:val="7A601D17"/>
    <w:rsid w:val="7F20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qFormat/>
    <w:uiPriority w:val="99"/>
    <w:pPr>
      <w:keepNext/>
      <w:adjustRightInd w:val="0"/>
      <w:spacing w:line="420" w:lineRule="atLeast"/>
      <w:jc w:val="right"/>
      <w:textAlignment w:val="baseline"/>
      <w:outlineLvl w:val="4"/>
    </w:pPr>
    <w:rPr>
      <w:i/>
      <w:kern w:val="0"/>
      <w:szCs w:val="20"/>
      <w:lang w:val="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sz w:val="21"/>
    </w:rPr>
  </w:style>
  <w:style w:type="paragraph" w:styleId="3">
    <w:name w:val="Body Text Indent"/>
    <w:basedOn w:val="1"/>
    <w:qFormat/>
    <w:uiPriority w:val="99"/>
    <w:pPr>
      <w:spacing w:after="120"/>
      <w:ind w:left="420" w:leftChars="200"/>
    </w:pPr>
    <w:rPr>
      <w:rFonts w:ascii="Arial" w:hAnsi="Arial"/>
      <w:sz w:val="24"/>
    </w:rPr>
  </w:style>
  <w:style w:type="paragraph" w:styleId="5">
    <w:name w:val="Body Text"/>
    <w:basedOn w:val="1"/>
    <w:qFormat/>
    <w:uiPriority w:val="99"/>
    <w:pPr>
      <w:spacing w:after="120"/>
    </w:p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lang w:val="zh-CN"/>
    </w:rPr>
  </w:style>
  <w:style w:type="paragraph" w:styleId="8">
    <w:name w:val="header"/>
    <w:basedOn w:val="1"/>
    <w:qFormat/>
    <w:uiPriority w:val="99"/>
    <w:pPr>
      <w:tabs>
        <w:tab w:val="center" w:pos="4153"/>
        <w:tab w:val="right" w:pos="8306"/>
      </w:tabs>
      <w:snapToGrid w:val="0"/>
      <w:jc w:val="center"/>
    </w:pPr>
    <w:rPr>
      <w:sz w:val="18"/>
      <w:szCs w:val="18"/>
      <w:lang w:val="zh-CN"/>
    </w:rPr>
  </w:style>
  <w:style w:type="paragraph" w:styleId="9">
    <w:name w:val="footnote text"/>
    <w:basedOn w:val="1"/>
    <w:qFormat/>
    <w:uiPriority w:val="99"/>
    <w:pPr>
      <w:adjustRightInd w:val="0"/>
      <w:snapToGrid w:val="0"/>
      <w:spacing w:line="420" w:lineRule="atLeast"/>
      <w:ind w:firstLine="454"/>
      <w:jc w:val="left"/>
      <w:textAlignment w:val="baseline"/>
    </w:pPr>
    <w:rPr>
      <w:kern w:val="0"/>
      <w:sz w:val="18"/>
      <w:szCs w:val="20"/>
    </w:rPr>
  </w:style>
  <w:style w:type="paragraph" w:styleId="10">
    <w:name w:val="Normal (Web)"/>
    <w:basedOn w:val="1"/>
    <w:qFormat/>
    <w:uiPriority w:val="99"/>
    <w:pPr>
      <w:widowControl/>
      <w:spacing w:before="100" w:beforeAutospacing="1" w:after="100" w:afterAutospacing="1"/>
      <w:jc w:val="left"/>
    </w:pPr>
    <w:rPr>
      <w:rFonts w:ascii="宋体" w:hAnsi="宋体" w:cs="Arial"/>
      <w:color w:val="0000FF"/>
      <w:kern w:val="0"/>
      <w:sz w:val="24"/>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font161"/>
    <w:qFormat/>
    <w:uiPriority w:val="9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1620</Words>
  <Characters>1807</Characters>
  <Lines>0</Lines>
  <Paragraphs>0</Paragraphs>
  <TotalTime>0</TotalTime>
  <ScaleCrop>false</ScaleCrop>
  <LinksUpToDate>false</LinksUpToDate>
  <CharactersWithSpaces>1850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2024-09-13T06:46:00Z</dcterms:created>
  <dc:creator>dell</dc:creator>
  <cp:lastModifiedBy>L. YJ</cp:lastModifiedBy>
  <dcterms:modified xsi:type="dcterms:W3CDTF">2025-12-11T23:31:46Z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684AD2B864674B32B38A7B97B7EAEB44_12</vt:lpwstr>
  </property>
  <property fmtid="{D5CDD505-2E9C-101B-9397-08002B2CF9AE}" pid="4" name="KSOTemplateDocerSaveRecord">
    <vt:lpwstr>eyJoZGlkIjoiYzA2NzQyMGQ2NGUxNTFlMWJlMTc1OWNiMmRhODRhMTYiLCJ1c2VySWQiOiIyODI5ODMwODMifQ==</vt:lpwstr>
  </property>
</Properties>
</file>