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2392">
      <w:pPr>
        <w:widowControl/>
        <w:autoSpaceDE w:val="0"/>
        <w:autoSpaceDN w:val="0"/>
        <w:adjustRightInd w:val="0"/>
        <w:spacing w:line="360" w:lineRule="auto"/>
        <w:jc w:val="center"/>
        <w:rPr>
          <w:rFonts w:hint="eastAsia" w:ascii="Times New Roman" w:hAnsi="宋体" w:eastAsia="宋体" w:cs="宋体"/>
          <w:b/>
          <w:color w:val="auto"/>
          <w:spacing w:val="-9"/>
          <w:kern w:val="2"/>
          <w:sz w:val="28"/>
          <w:szCs w:val="28"/>
          <w:highlight w:val="none"/>
          <w:lang w:val="en-US" w:eastAsia="zh-CN" w:bidi="ar-SA"/>
        </w:rPr>
      </w:pPr>
      <w:r>
        <w:rPr>
          <w:rFonts w:hint="eastAsia" w:ascii="Times New Roman" w:hAnsi="宋体" w:eastAsia="宋体" w:cs="宋体"/>
          <w:b/>
          <w:color w:val="auto"/>
          <w:spacing w:val="-9"/>
          <w:kern w:val="2"/>
          <w:sz w:val="28"/>
          <w:szCs w:val="28"/>
          <w:highlight w:val="none"/>
          <w:lang w:val="en-US" w:eastAsia="zh-CN" w:bidi="ar-SA"/>
        </w:rPr>
        <w:t>省道367线翼城县西梁壁至南唐段改线工程施工</w:t>
      </w:r>
    </w:p>
    <w:p w14:paraId="4AA3F2A6">
      <w:pPr>
        <w:pStyle w:val="5"/>
        <w:spacing w:line="360" w:lineRule="auto"/>
        <w:jc w:val="center"/>
        <w:rPr>
          <w:rFonts w:hint="default" w:cs="宋体"/>
          <w:b/>
          <w:color w:val="auto"/>
          <w:spacing w:val="-9"/>
          <w:sz w:val="28"/>
          <w:szCs w:val="28"/>
          <w:highlight w:val="none"/>
        </w:rPr>
      </w:pPr>
      <w:r>
        <w:rPr>
          <w:rFonts w:hint="default" w:cs="宋体"/>
          <w:b/>
          <w:color w:val="auto"/>
          <w:spacing w:val="-9"/>
          <w:sz w:val="28"/>
          <w:szCs w:val="28"/>
          <w:highlight w:val="none"/>
        </w:rPr>
        <w:t>关键内容公开</w:t>
      </w:r>
    </w:p>
    <w:p w14:paraId="76B45F3A">
      <w:pPr>
        <w:widowControl w:val="0"/>
        <w:overflowPunct/>
        <w:autoSpaceDE/>
        <w:autoSpaceDN/>
        <w:adjustRightInd/>
        <w:spacing w:line="440" w:lineRule="exact"/>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招标项目所在地区：山西省临汾市翼城县</w:t>
      </w:r>
    </w:p>
    <w:p w14:paraId="1779393A">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一、招标条件</w:t>
      </w:r>
    </w:p>
    <w:p w14:paraId="3243C02D">
      <w:pPr>
        <w:widowControl w:val="0"/>
        <w:overflowPunct/>
        <w:autoSpaceDE/>
        <w:autoSpaceDN/>
        <w:adjustRightInd/>
        <w:spacing w:line="440" w:lineRule="exact"/>
        <w:ind w:firstLine="420" w:firstLineChars="200"/>
        <w:textAlignment w:val="auto"/>
        <w:rPr>
          <w:rFonts w:hint="eastAsia" w:ascii="宋体" w:hAnsi="宋体" w:eastAsia="宋体" w:cs="宋体"/>
          <w:color w:val="auto"/>
          <w:sz w:val="21"/>
          <w:szCs w:val="21"/>
          <w:lang w:val="en-US" w:eastAsia="zh-CN" w:bidi="ar-SA"/>
        </w:rPr>
      </w:pPr>
      <w:bookmarkStart w:id="0" w:name="_Hlk41956257"/>
      <w:r>
        <w:rPr>
          <w:rFonts w:hint="eastAsia" w:ascii="宋体" w:hAnsi="宋体" w:eastAsia="宋体" w:cs="宋体"/>
          <w:color w:val="auto"/>
          <w:sz w:val="21"/>
          <w:szCs w:val="21"/>
          <w:lang w:val="en-US" w:eastAsia="zh-CN" w:bidi="ar-SA"/>
        </w:rPr>
        <w:t>省道367线翼城县西梁壁至南唐段改线工程（招标编号：LDY-2025-028）项目，已由山西省发展和改革委员会以晋发改审批发［2025］7号文件批准建设，初步设计已由山西省交通运输厅以晋交审批发［2025］228号批准，施工图设计已由山西省交通运输厅以晋交审批发［2025］323号批准，项目资金来源为申请上级补助和翼城县人民政府自筹，招标人为翼城县交通运输局。本项目已具备招标条件，现对该项目的施工以资格后审方式进行公开招标。</w:t>
      </w:r>
    </w:p>
    <w:bookmarkEnd w:id="0"/>
    <w:p w14:paraId="67292D18">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二、项目概况与招标范围</w:t>
      </w:r>
    </w:p>
    <w:p w14:paraId="37D357AC">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2.1项目地点：项目起点位于翼城县西梁壁村，终点位于南唐村。</w:t>
      </w:r>
    </w:p>
    <w:p w14:paraId="0EDCDD71">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2.2项目规模：</w:t>
      </w:r>
      <w:r>
        <w:rPr>
          <w:rFonts w:hint="eastAsia" w:ascii="宋体" w:hAnsi="宋体" w:eastAsia="宋体" w:cs="宋体"/>
          <w:color w:val="auto"/>
          <w:sz w:val="21"/>
          <w:szCs w:val="21"/>
          <w:highlight w:val="none"/>
          <w:lang w:val="en-US" w:eastAsia="zh-CN" w:bidi="ar-SA"/>
        </w:rPr>
        <w:t>该项目总投资：1.5493亿元，</w:t>
      </w:r>
      <w:r>
        <w:rPr>
          <w:rFonts w:hint="eastAsia" w:ascii="宋体" w:hAnsi="宋体" w:eastAsia="宋体" w:cs="宋体"/>
          <w:color w:val="auto"/>
          <w:sz w:val="21"/>
          <w:szCs w:val="21"/>
          <w:lang w:val="en-US" w:eastAsia="zh-CN" w:bidi="ar-SA"/>
        </w:rPr>
        <w:t>工程项目起点位于翼城县南梁镇西梁壁村东侧，与陵侯高速翼城互通连接线平面交叉，经西梁壁村、寨子村南、南坡村南，至终点南唐村西南侧，</w:t>
      </w:r>
      <w:r>
        <w:rPr>
          <w:rFonts w:hint="eastAsia" w:ascii="宋体" w:hAnsi="宋体" w:eastAsia="宋体" w:cs="宋体"/>
          <w:color w:val="auto"/>
          <w:sz w:val="21"/>
          <w:szCs w:val="21"/>
          <w:highlight w:val="none"/>
          <w:lang w:val="en-US" w:eastAsia="zh-CN" w:bidi="ar-SA"/>
        </w:rPr>
        <w:t>与省道366平面交叉。路线全长5.629公里，设大桥1145米/2座，涵洞9道，平面交叉3处，天桥1处。</w:t>
      </w:r>
      <w:r>
        <w:rPr>
          <w:rFonts w:hint="eastAsia" w:ascii="宋体" w:hAnsi="宋体" w:eastAsia="宋体" w:cs="宋体"/>
          <w:color w:val="auto"/>
          <w:sz w:val="21"/>
          <w:szCs w:val="21"/>
          <w:lang w:val="en-US" w:eastAsia="zh-CN" w:bidi="ar-SA"/>
        </w:rPr>
        <w:t>本项目采用双向两车道二级公路技术标准，设计速度60公里/小时，路基宽度12米；桥涵设计汽车荷载等级采用公路-Ⅰ级，其余技术指标按部颁《公路工程技术标准》(JTGB01-2014)。</w:t>
      </w:r>
    </w:p>
    <w:p w14:paraId="56BC5A31">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2.3招标内容与范围：</w:t>
      </w:r>
    </w:p>
    <w:p w14:paraId="3BA65564">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lang w:val="en-US" w:eastAsia="zh-CN" w:bidi="ar-SA"/>
        </w:rPr>
        <w:t>招标内容：临时工程、路基工程、路面工程、桥梁涵洞工程、交叉工程、交通工程及沿线设施、绿化及环境保护工程</w:t>
      </w:r>
      <w:r>
        <w:rPr>
          <w:rFonts w:hint="eastAsia" w:ascii="宋体" w:hAnsi="宋体" w:eastAsia="宋体" w:cs="宋体"/>
          <w:color w:val="auto"/>
          <w:sz w:val="21"/>
          <w:szCs w:val="21"/>
          <w:highlight w:val="none"/>
          <w:lang w:val="en-US" w:eastAsia="zh-CN" w:bidi="ar-SA"/>
        </w:rPr>
        <w:t>等其他工程。</w:t>
      </w:r>
    </w:p>
    <w:p w14:paraId="1705737E">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招标范围：施工图纸设计及工程量清单中的全部工程内容。</w:t>
      </w:r>
    </w:p>
    <w:p w14:paraId="1E20B5A5">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2.4施工工期：</w:t>
      </w:r>
      <w:bookmarkStart w:id="1" w:name="_Hlk41483743"/>
      <w:r>
        <w:rPr>
          <w:rFonts w:hint="eastAsia" w:ascii="宋体" w:hAnsi="宋体" w:eastAsia="宋体" w:cs="宋体"/>
          <w:color w:val="auto"/>
          <w:kern w:val="2"/>
          <w:sz w:val="21"/>
          <w:szCs w:val="21"/>
          <w:lang w:val="en-US" w:eastAsia="zh-CN" w:bidi="ar-SA"/>
        </w:rPr>
        <w:t>540日历天。</w:t>
      </w:r>
      <w:bookmarkEnd w:id="1"/>
    </w:p>
    <w:p w14:paraId="770A9F21">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2.5标段划分：本项目划分为1个标段</w:t>
      </w:r>
      <w:r>
        <w:rPr>
          <w:rFonts w:hint="eastAsia" w:ascii="宋体" w:hAnsi="宋体" w:eastAsia="宋体" w:cs="宋体"/>
          <w:color w:val="auto"/>
          <w:sz w:val="21"/>
          <w:szCs w:val="21"/>
          <w:highlight w:val="none"/>
          <w:lang w:val="en-US" w:eastAsia="zh-CN" w:bidi="ar-SA"/>
        </w:rPr>
        <w:t>(001标段）。</w:t>
      </w:r>
    </w:p>
    <w:p w14:paraId="080DE617">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2.6.质量要求：交工验收的质量评定：合格；竣工验收的质量评定：合格。 </w:t>
      </w:r>
    </w:p>
    <w:p w14:paraId="3E7444D2">
      <w:pPr>
        <w:widowControl w:val="0"/>
        <w:overflowPunct/>
        <w:autoSpaceDE/>
        <w:autoSpaceDN/>
        <w:adjustRightInd/>
        <w:spacing w:line="440" w:lineRule="exact"/>
        <w:ind w:firstLine="420" w:firstLineChars="200"/>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2.7.安全目标：严格遵守国家和山西省有关安全生产管理的各项规定，杜绝重、特大事故，遏制较大事故，减少一般事故。</w:t>
      </w:r>
    </w:p>
    <w:p w14:paraId="51DF3D4D">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三、投标人资格要求</w:t>
      </w:r>
    </w:p>
    <w:p w14:paraId="36D7C04C">
      <w:pPr>
        <w:autoSpaceDE/>
        <w:autoSpaceDN/>
        <w:adjustRightInd w:val="0"/>
        <w:snapToGrid w:val="0"/>
        <w:spacing w:line="440" w:lineRule="exact"/>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0"/>
          <w:szCs w:val="21"/>
        </w:rPr>
        <w:t>3.1</w:t>
      </w:r>
      <w:r>
        <w:rPr>
          <w:rFonts w:hint="eastAsia" w:ascii="宋体" w:hAnsi="宋体" w:eastAsia="宋体" w:cs="宋体"/>
          <w:color w:val="auto"/>
          <w:kern w:val="2"/>
          <w:szCs w:val="21"/>
        </w:rPr>
        <w:t>本次招标要求投标人具有在中华人民共和国境内注册的独立法人资格和有效的安全生产许可证，需具备公路工程施工总承包</w:t>
      </w:r>
      <w:r>
        <w:rPr>
          <w:rFonts w:hint="eastAsia" w:ascii="宋体" w:hAnsi="宋体" w:eastAsia="宋体" w:cs="宋体"/>
          <w:color w:val="auto"/>
          <w:kern w:val="2"/>
          <w:szCs w:val="21"/>
          <w:lang w:val="en-US" w:eastAsia="zh-CN"/>
        </w:rPr>
        <w:t>贰</w:t>
      </w:r>
      <w:r>
        <w:rPr>
          <w:rFonts w:hint="eastAsia" w:ascii="宋体" w:hAnsi="宋体" w:eastAsia="宋体" w:cs="宋体"/>
          <w:color w:val="auto"/>
          <w:kern w:val="2"/>
          <w:szCs w:val="21"/>
        </w:rPr>
        <w:t>级及</w:t>
      </w:r>
      <w:r>
        <w:rPr>
          <w:rFonts w:hint="eastAsia" w:ascii="宋体" w:hAnsi="宋体" w:eastAsia="宋体" w:cs="宋体"/>
          <w:color w:val="auto"/>
          <w:kern w:val="2"/>
          <w:szCs w:val="21"/>
          <w:lang w:val="en-US" w:eastAsia="zh-CN"/>
        </w:rPr>
        <w:t>其</w:t>
      </w:r>
      <w:r>
        <w:rPr>
          <w:rFonts w:hint="eastAsia" w:ascii="宋体" w:hAnsi="宋体" w:eastAsia="宋体" w:cs="宋体"/>
          <w:color w:val="auto"/>
          <w:kern w:val="2"/>
          <w:szCs w:val="21"/>
        </w:rPr>
        <w:t>以上资质</w:t>
      </w:r>
      <w:r>
        <w:rPr>
          <w:rFonts w:hint="eastAsia" w:ascii="宋体" w:hAnsi="宋体" w:eastAsia="宋体" w:cs="宋体"/>
          <w:color w:val="auto"/>
          <w:kern w:val="0"/>
          <w:szCs w:val="21"/>
        </w:rPr>
        <w:t>和公路交通工程专业承包</w:t>
      </w:r>
      <w:r>
        <w:rPr>
          <w:rFonts w:hint="eastAsia" w:ascii="宋体" w:hAnsi="宋体" w:eastAsia="宋体" w:cs="宋体"/>
          <w:color w:val="auto"/>
          <w:kern w:val="0"/>
          <w:szCs w:val="21"/>
          <w:lang w:val="en-US" w:eastAsia="zh-CN"/>
        </w:rPr>
        <w:t>贰</w:t>
      </w:r>
      <w:r>
        <w:rPr>
          <w:rFonts w:hint="eastAsia" w:ascii="宋体" w:hAnsi="宋体" w:eastAsia="宋体" w:cs="宋体"/>
          <w:color w:val="auto"/>
          <w:kern w:val="0"/>
          <w:szCs w:val="21"/>
        </w:rPr>
        <w:t>级资质(公路安全设施分项)</w:t>
      </w:r>
      <w:r>
        <w:rPr>
          <w:rFonts w:hint="eastAsia" w:ascii="宋体" w:hAnsi="宋体" w:eastAsia="宋体" w:cs="宋体"/>
          <w:color w:val="auto"/>
          <w:kern w:val="2"/>
          <w:szCs w:val="21"/>
        </w:rPr>
        <w:t>及</w:t>
      </w:r>
      <w:r>
        <w:rPr>
          <w:rFonts w:hint="eastAsia" w:ascii="宋体" w:hAnsi="宋体" w:eastAsia="宋体" w:cs="宋体"/>
          <w:color w:val="auto"/>
          <w:kern w:val="2"/>
          <w:szCs w:val="21"/>
          <w:lang w:val="en-US" w:eastAsia="zh-CN"/>
        </w:rPr>
        <w:t>其</w:t>
      </w:r>
      <w:r>
        <w:rPr>
          <w:rFonts w:hint="eastAsia" w:ascii="宋体" w:hAnsi="宋体" w:eastAsia="宋体" w:cs="宋体"/>
          <w:color w:val="auto"/>
          <w:kern w:val="2"/>
          <w:szCs w:val="21"/>
        </w:rPr>
        <w:t>以上资质，并在人员、设备、资金等方面具有相应的施工能力；投标人在近五年（</w:t>
      </w:r>
      <w:r>
        <w:rPr>
          <w:rFonts w:hint="eastAsia" w:ascii="宋体" w:hAnsi="宋体" w:eastAsia="宋体" w:cs="宋体"/>
          <w:color w:val="auto"/>
          <w:kern w:val="0"/>
          <w:szCs w:val="21"/>
        </w:rPr>
        <w:t>2020年</w:t>
      </w:r>
      <w:r>
        <w:rPr>
          <w:rFonts w:hint="eastAsia" w:ascii="宋体" w:hAnsi="宋体" w:eastAsia="宋体" w:cs="宋体"/>
          <w:color w:val="auto"/>
          <w:kern w:val="0"/>
          <w:szCs w:val="21"/>
          <w:lang w:val="en-US" w:eastAsia="zh-CN"/>
        </w:rPr>
        <w:t>12</w:t>
      </w:r>
      <w:r>
        <w:rPr>
          <w:rFonts w:hint="eastAsia" w:ascii="宋体" w:hAnsi="宋体" w:eastAsia="宋体" w:cs="宋体"/>
          <w:color w:val="auto"/>
          <w:kern w:val="0"/>
          <w:szCs w:val="21"/>
        </w:rPr>
        <w:t>月01日至投标</w:t>
      </w:r>
      <w:r>
        <w:rPr>
          <w:rFonts w:hint="eastAsia" w:ascii="宋体" w:hAnsi="宋体" w:eastAsia="宋体" w:cs="宋体"/>
          <w:color w:val="auto"/>
          <w:kern w:val="2"/>
          <w:szCs w:val="21"/>
        </w:rPr>
        <w:t>截止时间通过交工或竣工验收，以</w:t>
      </w:r>
      <w:r>
        <w:rPr>
          <w:rFonts w:hint="eastAsia" w:ascii="宋体" w:hAnsi="宋体" w:eastAsia="宋体" w:cs="宋体"/>
          <w:color w:val="auto"/>
          <w:kern w:val="2"/>
          <w:szCs w:val="21"/>
          <w:lang w:val="en-US" w:eastAsia="zh-CN"/>
        </w:rPr>
        <w:t>交</w:t>
      </w:r>
      <w:r>
        <w:rPr>
          <w:rFonts w:hint="eastAsia" w:ascii="宋体" w:hAnsi="宋体" w:eastAsia="宋体" w:cs="宋体"/>
          <w:color w:val="auto"/>
          <w:kern w:val="2"/>
          <w:szCs w:val="21"/>
        </w:rPr>
        <w:t>（</w:t>
      </w:r>
      <w:r>
        <w:rPr>
          <w:rFonts w:hint="eastAsia" w:ascii="宋体" w:hAnsi="宋体" w:eastAsia="宋体" w:cs="宋体"/>
          <w:color w:val="auto"/>
          <w:kern w:val="2"/>
          <w:szCs w:val="21"/>
          <w:lang w:val="en-US" w:eastAsia="zh-CN"/>
        </w:rPr>
        <w:t>竣</w:t>
      </w:r>
      <w:r>
        <w:rPr>
          <w:rFonts w:hint="eastAsia" w:ascii="宋体" w:hAnsi="宋体" w:eastAsia="宋体" w:cs="宋体"/>
          <w:color w:val="auto"/>
          <w:kern w:val="2"/>
          <w:szCs w:val="21"/>
        </w:rPr>
        <w:t>）工验收时间为准）</w:t>
      </w:r>
      <w:r>
        <w:rPr>
          <w:rFonts w:hint="eastAsia" w:ascii="宋体" w:hAnsi="宋体" w:eastAsia="宋体" w:cs="宋体"/>
          <w:color w:val="auto"/>
          <w:kern w:val="2"/>
          <w:szCs w:val="21"/>
          <w:highlight w:val="none"/>
        </w:rPr>
        <w:t>至少</w:t>
      </w:r>
      <w:r>
        <w:rPr>
          <w:rFonts w:hint="eastAsia" w:ascii="宋体" w:hAnsi="宋体" w:eastAsia="宋体" w:cs="宋体"/>
          <w:color w:val="auto"/>
          <w:kern w:val="2"/>
          <w:szCs w:val="21"/>
          <w:highlight w:val="none"/>
          <w:lang w:val="en-US" w:eastAsia="zh-CN"/>
        </w:rPr>
        <w:t>独立完成</w:t>
      </w:r>
      <w:r>
        <w:rPr>
          <w:rFonts w:hint="eastAsia" w:ascii="宋体" w:hAnsi="宋体" w:eastAsia="宋体" w:cs="宋体"/>
          <w:color w:val="auto"/>
          <w:kern w:val="2"/>
          <w:szCs w:val="21"/>
          <w:highlight w:val="none"/>
        </w:rPr>
        <w:t>过</w:t>
      </w:r>
      <w:r>
        <w:rPr>
          <w:rFonts w:hint="eastAsia" w:ascii="宋体" w:hAnsi="宋体" w:eastAsia="宋体" w:cs="宋体"/>
          <w:color w:val="auto"/>
          <w:kern w:val="2"/>
          <w:szCs w:val="21"/>
        </w:rPr>
        <w:t>1项</w:t>
      </w:r>
      <w:r>
        <w:rPr>
          <w:rFonts w:hint="eastAsia" w:ascii="宋体" w:hAnsi="宋体" w:eastAsia="宋体" w:cs="宋体"/>
          <w:color w:val="auto"/>
          <w:kern w:val="2"/>
          <w:szCs w:val="21"/>
          <w:lang w:val="en-US" w:eastAsia="zh-CN"/>
        </w:rPr>
        <w:t>二</w:t>
      </w:r>
      <w:r>
        <w:rPr>
          <w:rFonts w:hint="eastAsia" w:ascii="宋体" w:hAnsi="宋体" w:eastAsia="宋体" w:cs="宋体"/>
          <w:color w:val="auto"/>
          <w:kern w:val="2"/>
          <w:szCs w:val="21"/>
        </w:rPr>
        <w:t>级及以上公路新（改、扩）建公路工程（含大桥）施工业绩和1项</w:t>
      </w:r>
      <w:r>
        <w:rPr>
          <w:rFonts w:hint="eastAsia" w:ascii="宋体" w:hAnsi="宋体" w:eastAsia="宋体" w:cs="宋体"/>
          <w:color w:val="auto"/>
          <w:kern w:val="2"/>
          <w:szCs w:val="21"/>
          <w:lang w:val="en-US" w:eastAsia="zh-CN"/>
        </w:rPr>
        <w:t>二</w:t>
      </w:r>
      <w:r>
        <w:rPr>
          <w:rFonts w:hint="eastAsia" w:ascii="宋体" w:hAnsi="宋体" w:eastAsia="宋体" w:cs="宋体"/>
          <w:color w:val="auto"/>
          <w:kern w:val="2"/>
          <w:szCs w:val="21"/>
        </w:rPr>
        <w:t>级及以上公路新（改、扩）建</w:t>
      </w:r>
      <w:r>
        <w:rPr>
          <w:rFonts w:hint="eastAsia" w:ascii="宋体" w:hAnsi="宋体" w:eastAsia="宋体" w:cs="宋体"/>
          <w:color w:val="auto"/>
          <w:kern w:val="0"/>
          <w:szCs w:val="21"/>
        </w:rPr>
        <w:t>公路安全设施</w:t>
      </w:r>
      <w:r>
        <w:rPr>
          <w:rFonts w:hint="eastAsia" w:ascii="宋体" w:hAnsi="宋体" w:eastAsia="宋体" w:cs="宋体"/>
          <w:color w:val="auto"/>
          <w:kern w:val="2"/>
          <w:szCs w:val="21"/>
        </w:rPr>
        <w:t>施工业绩；</w:t>
      </w:r>
    </w:p>
    <w:p w14:paraId="34329889">
      <w:pPr>
        <w:autoSpaceDE/>
        <w:autoSpaceDN/>
        <w:adjustRightInd w:val="0"/>
        <w:snapToGrid w:val="0"/>
        <w:spacing w:line="440" w:lineRule="exact"/>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注：同一业绩满足上述要求，分别给予认定。</w:t>
      </w:r>
      <w:r>
        <w:rPr>
          <w:rFonts w:hint="eastAsia" w:ascii="宋体" w:hAnsi="宋体" w:eastAsia="宋体" w:cs="宋体"/>
          <w:color w:val="auto"/>
          <w:kern w:val="2"/>
          <w:szCs w:val="21"/>
        </w:rPr>
        <w:br w:type="textWrapping"/>
      </w:r>
      <w:r>
        <w:rPr>
          <w:rFonts w:hint="eastAsia" w:ascii="宋体" w:hAnsi="宋体" w:eastAsia="宋体" w:cs="宋体"/>
          <w:color w:val="auto"/>
          <w:kern w:val="0"/>
          <w:szCs w:val="21"/>
        </w:rPr>
        <w:t xml:space="preserve">    3.2</w:t>
      </w:r>
      <w:r>
        <w:rPr>
          <w:rFonts w:hint="eastAsia" w:ascii="宋体" w:hAnsi="宋体" w:eastAsia="宋体" w:cs="宋体"/>
          <w:color w:val="auto"/>
          <w:kern w:val="2"/>
          <w:szCs w:val="21"/>
        </w:rPr>
        <w:t>拟任项目经理</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须具有工程师及以上职称（公路工程相关专业），并持有本单位注册的公路工程专业一级建造师注册证书及交通主管部门颁发的安全生产考核合格证书（B证）；</w:t>
      </w:r>
      <w:r>
        <w:rPr>
          <w:rFonts w:hint="eastAsia" w:ascii="宋体" w:hAnsi="宋体" w:eastAsia="宋体" w:cs="宋体"/>
          <w:color w:val="auto"/>
          <w:kern w:val="2"/>
          <w:szCs w:val="21"/>
          <w:lang w:val="en-US" w:eastAsia="zh-CN"/>
        </w:rPr>
        <w:t>作为项目经理</w:t>
      </w:r>
      <w:r>
        <w:rPr>
          <w:rFonts w:hint="eastAsia" w:ascii="宋体" w:hAnsi="宋体" w:eastAsia="宋体" w:cs="宋体"/>
          <w:color w:val="auto"/>
          <w:kern w:val="2"/>
          <w:szCs w:val="21"/>
        </w:rPr>
        <w:t>至少完成过1项</w:t>
      </w:r>
      <w:r>
        <w:rPr>
          <w:rFonts w:hint="eastAsia" w:ascii="宋体" w:hAnsi="宋体" w:eastAsia="宋体" w:cs="宋体"/>
          <w:color w:val="auto"/>
          <w:kern w:val="2"/>
          <w:szCs w:val="21"/>
          <w:lang w:val="en-US" w:eastAsia="zh-CN"/>
        </w:rPr>
        <w:t>二</w:t>
      </w:r>
      <w:r>
        <w:rPr>
          <w:rFonts w:hint="eastAsia" w:ascii="宋体" w:hAnsi="宋体" w:eastAsia="宋体" w:cs="宋体"/>
          <w:color w:val="auto"/>
          <w:kern w:val="2"/>
          <w:szCs w:val="21"/>
        </w:rPr>
        <w:t>级及以上公路新（改、扩）建公路工程（含大桥）施工业绩；</w:t>
      </w:r>
    </w:p>
    <w:p w14:paraId="462859CD">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0"/>
          <w:szCs w:val="21"/>
        </w:rPr>
        <w:t>3.3</w:t>
      </w:r>
      <w:r>
        <w:rPr>
          <w:rFonts w:hint="eastAsia" w:ascii="宋体" w:hAnsi="宋体" w:eastAsia="宋体" w:cs="宋体"/>
          <w:color w:val="auto"/>
          <w:kern w:val="2"/>
          <w:szCs w:val="21"/>
        </w:rPr>
        <w:t>项目总工</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须具有高级工程师及以上职称（公路工程相关专业）；</w:t>
      </w:r>
      <w:r>
        <w:rPr>
          <w:rFonts w:hint="eastAsia" w:ascii="宋体" w:hAnsi="宋体" w:eastAsia="宋体" w:cs="宋体"/>
          <w:color w:val="auto"/>
          <w:kern w:val="2"/>
          <w:szCs w:val="21"/>
          <w:lang w:val="en-US" w:eastAsia="zh-CN"/>
        </w:rPr>
        <w:t>作为项目总工</w:t>
      </w:r>
      <w:r>
        <w:rPr>
          <w:rFonts w:hint="eastAsia" w:ascii="宋体" w:hAnsi="宋体" w:eastAsia="宋体" w:cs="宋体"/>
          <w:color w:val="auto"/>
          <w:kern w:val="2"/>
          <w:szCs w:val="21"/>
        </w:rPr>
        <w:t>至少完成过1项</w:t>
      </w:r>
      <w:r>
        <w:rPr>
          <w:rFonts w:hint="eastAsia" w:ascii="宋体" w:hAnsi="宋体" w:eastAsia="宋体" w:cs="宋体"/>
          <w:color w:val="auto"/>
          <w:kern w:val="2"/>
          <w:szCs w:val="21"/>
          <w:lang w:val="en-US" w:eastAsia="zh-CN"/>
        </w:rPr>
        <w:t>二</w:t>
      </w:r>
      <w:r>
        <w:rPr>
          <w:rFonts w:hint="eastAsia" w:ascii="宋体" w:hAnsi="宋体" w:eastAsia="宋体" w:cs="宋体"/>
          <w:color w:val="auto"/>
          <w:kern w:val="2"/>
          <w:szCs w:val="21"/>
        </w:rPr>
        <w:t>级及以上公路新（改、扩）建公路工程</w:t>
      </w:r>
      <w:r>
        <w:rPr>
          <w:rFonts w:hint="eastAsia" w:ascii="宋体" w:hAnsi="宋体" w:eastAsia="宋体" w:cs="宋体"/>
          <w:color w:val="auto"/>
          <w:kern w:val="2"/>
          <w:szCs w:val="21"/>
          <w:highlight w:val="none"/>
        </w:rPr>
        <w:t>（含大桥）</w:t>
      </w:r>
      <w:r>
        <w:rPr>
          <w:rFonts w:hint="eastAsia" w:ascii="宋体" w:hAnsi="宋体" w:eastAsia="宋体" w:cs="宋体"/>
          <w:color w:val="auto"/>
          <w:kern w:val="2"/>
          <w:szCs w:val="21"/>
        </w:rPr>
        <w:t>施工业绩。</w:t>
      </w:r>
    </w:p>
    <w:p w14:paraId="6E9218A7">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0"/>
          <w:szCs w:val="21"/>
        </w:rPr>
        <w:t>3.</w:t>
      </w:r>
      <w:bookmarkStart w:id="2" w:name="_Hlk67296399"/>
      <w:r>
        <w:rPr>
          <w:rFonts w:hint="eastAsia" w:ascii="宋体" w:hAnsi="宋体" w:eastAsia="宋体" w:cs="宋体"/>
          <w:color w:val="auto"/>
          <w:kern w:val="0"/>
          <w:szCs w:val="21"/>
        </w:rPr>
        <w:t>4</w:t>
      </w:r>
      <w:r>
        <w:rPr>
          <w:rFonts w:hint="eastAsia" w:ascii="宋体" w:hAnsi="宋体" w:eastAsia="宋体" w:cs="宋体"/>
          <w:color w:val="auto"/>
          <w:kern w:val="2"/>
          <w:szCs w:val="21"/>
        </w:rPr>
        <w:t>财务要求：</w:t>
      </w:r>
      <w:bookmarkEnd w:id="2"/>
      <w:r>
        <w:rPr>
          <w:rFonts w:hint="eastAsia" w:ascii="宋体" w:hAnsi="宋体" w:eastAsia="宋体" w:cs="宋体"/>
          <w:color w:val="auto"/>
          <w:kern w:val="2"/>
          <w:szCs w:val="21"/>
          <w:lang w:eastAsia="zh-CN"/>
        </w:rPr>
        <w:t>投标人2024年</w:t>
      </w:r>
      <w:r>
        <w:rPr>
          <w:rFonts w:hint="eastAsia" w:ascii="宋体" w:hAnsi="宋体" w:eastAsia="宋体" w:cs="宋体"/>
          <w:color w:val="auto"/>
          <w:kern w:val="2"/>
          <w:szCs w:val="21"/>
          <w:lang w:val="en-US" w:eastAsia="zh-CN"/>
        </w:rPr>
        <w:t>的年</w:t>
      </w:r>
      <w:r>
        <w:rPr>
          <w:rFonts w:hint="eastAsia" w:ascii="宋体" w:hAnsi="宋体" w:eastAsia="宋体" w:cs="宋体"/>
          <w:color w:val="auto"/>
          <w:kern w:val="2"/>
          <w:szCs w:val="21"/>
          <w:lang w:eastAsia="zh-CN"/>
        </w:rPr>
        <w:t>末流动资产与流动负债比率大于1</w:t>
      </w:r>
      <w:r>
        <w:rPr>
          <w:rFonts w:hint="eastAsia" w:ascii="宋体" w:hAnsi="宋体" w:eastAsia="宋体" w:cs="宋体"/>
          <w:color w:val="auto"/>
          <w:kern w:val="2"/>
          <w:szCs w:val="21"/>
        </w:rPr>
        <w:t>；</w:t>
      </w:r>
    </w:p>
    <w:p w14:paraId="49B5C5C4">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0"/>
          <w:szCs w:val="21"/>
        </w:rPr>
        <w:t>3.5</w:t>
      </w:r>
      <w:r>
        <w:rPr>
          <w:rFonts w:hint="eastAsia" w:ascii="宋体" w:hAnsi="宋体" w:eastAsia="宋体" w:cs="宋体"/>
          <w:color w:val="auto"/>
          <w:kern w:val="2"/>
          <w:szCs w:val="21"/>
        </w:rPr>
        <w:t xml:space="preserve">与招标人存在利害关系且可能影响招标公正性的单位，不得参加投标。投标人具有下列情况之一的，不得同时参与本项目的投标，否则相关投标均无效。 </w:t>
      </w:r>
    </w:p>
    <w:p w14:paraId="02ADE1EA">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rPr>
        <w:t xml:space="preserve">（1）单位负责人为同一人或者存在控股、管理关系的不同单位； </w:t>
      </w:r>
    </w:p>
    <w:p w14:paraId="4D7F67D9">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rPr>
        <w:t xml:space="preserve">（2）对招投标造成影响的具有投资参股关系的关联企业； </w:t>
      </w:r>
    </w:p>
    <w:p w14:paraId="1A5CE1E3">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rPr>
        <w:t xml:space="preserve">（3）董事、监事、总经理、副总经理和财务负责人相互兼职的关联企业。 </w:t>
      </w:r>
    </w:p>
    <w:p w14:paraId="3BA92F64">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rPr>
        <w:t xml:space="preserve">（4）法律法规规章规定的具有关联关系的其他情形。  </w:t>
      </w:r>
    </w:p>
    <w:p w14:paraId="058A4DC2">
      <w:pPr>
        <w:autoSpaceDE/>
        <w:autoSpaceDN/>
        <w:adjustRightInd w:val="0"/>
        <w:snapToGrid w:val="0"/>
        <w:spacing w:line="360" w:lineRule="auto"/>
        <w:ind w:firstLine="420" w:firstLineChars="200"/>
        <w:jc w:val="left"/>
        <w:outlineLvl w:val="9"/>
        <w:rPr>
          <w:rFonts w:hint="eastAsia" w:ascii="宋体" w:hAnsi="宋体" w:eastAsia="宋体" w:cs="宋体"/>
          <w:color w:val="auto"/>
          <w:kern w:val="0"/>
          <w:szCs w:val="21"/>
        </w:rPr>
      </w:pPr>
      <w:r>
        <w:rPr>
          <w:rFonts w:hint="eastAsia" w:ascii="宋体" w:hAnsi="宋体" w:eastAsia="宋体" w:cs="宋体"/>
          <w:color w:val="auto"/>
          <w:kern w:val="0"/>
          <w:szCs w:val="21"/>
        </w:rPr>
        <w:t>3.6信誉要求：</w:t>
      </w:r>
    </w:p>
    <w:p w14:paraId="1852ED15">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0"/>
          <w:szCs w:val="21"/>
        </w:rPr>
        <w:t>3.6.1</w:t>
      </w:r>
      <w:r>
        <w:rPr>
          <w:rFonts w:hint="eastAsia" w:ascii="宋体" w:hAnsi="宋体" w:eastAsia="宋体" w:cs="宋体"/>
          <w:color w:val="auto"/>
          <w:kern w:val="2"/>
          <w:szCs w:val="21"/>
        </w:rPr>
        <w:t xml:space="preserve">凡被交通运输部或山西省交通运输厅取消或暂停公路工程投标资格的施工企业，在处罚期内无资格参与本项目的投标。 </w:t>
      </w:r>
    </w:p>
    <w:p w14:paraId="4936FD0B">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0"/>
          <w:szCs w:val="21"/>
        </w:rPr>
        <w:t>3.6.2</w:t>
      </w:r>
      <w:r>
        <w:rPr>
          <w:rFonts w:hint="eastAsia" w:ascii="宋体" w:hAnsi="宋体" w:eastAsia="宋体" w:cs="宋体"/>
          <w:color w:val="auto"/>
          <w:kern w:val="2"/>
          <w:szCs w:val="21"/>
        </w:rPr>
        <w:t>未被责令停业，暂扣或吊销执照，或吊销资质证书；</w:t>
      </w:r>
    </w:p>
    <w:p w14:paraId="1EA944D0">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0"/>
          <w:szCs w:val="21"/>
        </w:rPr>
        <w:t>3.6.3</w:t>
      </w:r>
      <w:r>
        <w:rPr>
          <w:rFonts w:hint="eastAsia" w:ascii="宋体" w:hAnsi="宋体" w:eastAsia="宋体" w:cs="宋体"/>
          <w:color w:val="auto"/>
          <w:kern w:val="2"/>
          <w:szCs w:val="21"/>
        </w:rPr>
        <w:t>未进入清算程序，或未被宣告破产，或没有其他丧失履约能力的情形；</w:t>
      </w:r>
    </w:p>
    <w:p w14:paraId="4467042B">
      <w:pPr>
        <w:autoSpaceDE/>
        <w:autoSpaceDN/>
        <w:adjustRightInd w:val="0"/>
        <w:snapToGrid w:val="0"/>
        <w:spacing w:line="360" w:lineRule="auto"/>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0"/>
          <w:szCs w:val="21"/>
        </w:rPr>
        <w:t>3.6.4</w:t>
      </w:r>
      <w:r>
        <w:rPr>
          <w:rFonts w:hint="eastAsia" w:ascii="宋体" w:hAnsi="宋体" w:eastAsia="宋体" w:cs="宋体"/>
          <w:color w:val="auto"/>
          <w:kern w:val="2"/>
          <w:szCs w:val="21"/>
        </w:rPr>
        <w:t>投标人及其法定代表人、拟担任本项目的项目经理</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lang w:val="en-US" w:eastAsia="zh-CN"/>
        </w:rPr>
        <w:t>项目总工</w:t>
      </w:r>
      <w:r>
        <w:rPr>
          <w:rFonts w:hint="eastAsia" w:ascii="宋体" w:hAnsi="宋体" w:eastAsia="宋体" w:cs="宋体"/>
          <w:color w:val="auto"/>
          <w:kern w:val="2"/>
          <w:szCs w:val="21"/>
        </w:rPr>
        <w:t>近3年（2022年</w:t>
      </w:r>
      <w:r>
        <w:rPr>
          <w:rFonts w:hint="eastAsia" w:ascii="宋体" w:hAnsi="宋体" w:eastAsia="宋体" w:cs="宋体"/>
          <w:color w:val="auto"/>
          <w:kern w:val="2"/>
          <w:szCs w:val="21"/>
          <w:lang w:val="en-US" w:eastAsia="zh-CN"/>
        </w:rPr>
        <w:t>12</w:t>
      </w:r>
      <w:r>
        <w:rPr>
          <w:rFonts w:hint="eastAsia" w:ascii="宋体" w:hAnsi="宋体" w:eastAsia="宋体" w:cs="宋体"/>
          <w:color w:val="auto"/>
          <w:kern w:val="2"/>
          <w:szCs w:val="21"/>
        </w:rPr>
        <w:t>月1日至今）无行贿犯罪行为。</w:t>
      </w:r>
    </w:p>
    <w:p w14:paraId="51F77767">
      <w:pPr>
        <w:autoSpaceDE/>
        <w:autoSpaceDN/>
        <w:adjustRightInd w:val="0"/>
        <w:snapToGrid w:val="0"/>
        <w:spacing w:line="360" w:lineRule="auto"/>
        <w:ind w:firstLine="420" w:firstLineChars="200"/>
        <w:jc w:val="left"/>
        <w:outlineLvl w:val="9"/>
        <w:rPr>
          <w:rFonts w:hint="eastAsia" w:ascii="宋体" w:hAnsi="宋体" w:eastAsia="宋体" w:cs="宋体"/>
          <w:color w:val="auto"/>
          <w:kern w:val="0"/>
          <w:szCs w:val="21"/>
        </w:rPr>
      </w:pPr>
      <w:r>
        <w:rPr>
          <w:rFonts w:hint="eastAsia" w:ascii="宋体" w:hAnsi="宋体" w:eastAsia="宋体" w:cs="宋体"/>
          <w:color w:val="auto"/>
          <w:kern w:val="0"/>
          <w:szCs w:val="21"/>
        </w:rPr>
        <w:t>3.6.5投标人在“信用中国”网站平台中未被列入</w:t>
      </w:r>
      <w:r>
        <w:rPr>
          <w:rFonts w:hint="eastAsia" w:ascii="宋体" w:hAnsi="宋体" w:eastAsia="宋体" w:cs="宋体"/>
          <w:color w:val="auto"/>
          <w:kern w:val="0"/>
          <w:szCs w:val="21"/>
          <w:highlight w:val="none"/>
        </w:rPr>
        <w:t>“严重失信主体名单”</w:t>
      </w:r>
      <w:r>
        <w:rPr>
          <w:rFonts w:hint="eastAsia" w:ascii="宋体" w:hAnsi="宋体" w:eastAsia="宋体" w:cs="宋体"/>
          <w:color w:val="auto"/>
          <w:kern w:val="0"/>
          <w:szCs w:val="21"/>
        </w:rPr>
        <w:t>；投标人在“国家企业信用信息公示系统”中未被列入“列入严重违法失信企业名单（黑名单）”。</w:t>
      </w:r>
    </w:p>
    <w:p w14:paraId="75DDA4CD">
      <w:pPr>
        <w:autoSpaceDE/>
        <w:autoSpaceDN/>
        <w:adjustRightInd w:val="0"/>
        <w:snapToGrid w:val="0"/>
        <w:spacing w:line="360" w:lineRule="auto"/>
        <w:ind w:firstLine="420" w:firstLineChars="200"/>
        <w:jc w:val="left"/>
        <w:outlineLvl w:val="9"/>
        <w:rPr>
          <w:rFonts w:hint="eastAsia" w:ascii="宋体" w:hAnsi="宋体" w:eastAsia="宋体" w:cs="宋体"/>
          <w:color w:val="auto"/>
          <w:kern w:val="0"/>
          <w:szCs w:val="21"/>
        </w:rPr>
      </w:pPr>
      <w:r>
        <w:rPr>
          <w:rFonts w:hint="eastAsia" w:ascii="宋体" w:hAnsi="宋体" w:eastAsia="宋体" w:cs="宋体"/>
          <w:color w:val="auto"/>
          <w:kern w:val="0"/>
          <w:szCs w:val="21"/>
        </w:rPr>
        <w:t>3.7本次招标</w:t>
      </w:r>
      <w:r>
        <w:rPr>
          <w:rFonts w:hint="eastAsia" w:ascii="宋体" w:hAnsi="宋体" w:eastAsia="宋体" w:cs="宋体"/>
          <w:color w:val="auto"/>
          <w:kern w:val="0"/>
          <w:szCs w:val="21"/>
          <w:lang w:val="en-US" w:eastAsia="zh-CN"/>
        </w:rPr>
        <w:t>不</w:t>
      </w:r>
      <w:r>
        <w:rPr>
          <w:rFonts w:hint="eastAsia" w:ascii="宋体" w:hAnsi="宋体" w:eastAsia="宋体" w:cs="宋体"/>
          <w:color w:val="auto"/>
          <w:kern w:val="0"/>
          <w:szCs w:val="21"/>
        </w:rPr>
        <w:t>接受联合体投标。</w:t>
      </w:r>
    </w:p>
    <w:p w14:paraId="5F12B1D6">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zh-CN" w:eastAsia="zh-CN" w:bidi="ar-SA"/>
        </w:rPr>
      </w:pPr>
      <w:r>
        <w:rPr>
          <w:rFonts w:hint="eastAsia" w:ascii="宋体" w:hAnsi="宋体" w:eastAsia="宋体" w:cs="宋体"/>
          <w:b/>
          <w:bCs/>
          <w:color w:val="auto"/>
          <w:sz w:val="21"/>
          <w:szCs w:val="21"/>
          <w:lang w:val="en-US" w:eastAsia="zh-CN" w:bidi="ar-SA"/>
        </w:rPr>
        <w:t>四、电子</w:t>
      </w:r>
      <w:r>
        <w:rPr>
          <w:rFonts w:hint="eastAsia" w:ascii="宋体" w:hAnsi="宋体" w:eastAsia="宋体" w:cs="宋体"/>
          <w:b/>
          <w:bCs/>
          <w:color w:val="auto"/>
          <w:sz w:val="21"/>
          <w:szCs w:val="21"/>
          <w:lang w:val="zh-CN" w:eastAsia="zh-CN" w:bidi="ar-SA"/>
        </w:rPr>
        <w:t>招标文件的获取</w:t>
      </w:r>
    </w:p>
    <w:p w14:paraId="6797D1B8">
      <w:pPr>
        <w:widowControl/>
        <w:wordWrap w:val="0"/>
        <w:overflowPunct w:val="0"/>
        <w:autoSpaceDE w:val="0"/>
        <w:autoSpaceDN w:val="0"/>
        <w:adjustRightInd w:val="0"/>
        <w:spacing w:line="440" w:lineRule="exact"/>
        <w:ind w:firstLine="420" w:firstLineChars="200"/>
        <w:jc w:val="both"/>
        <w:textAlignment w:val="baseline"/>
        <w:outlineLvl w:val="9"/>
        <w:rPr>
          <w:rFonts w:hint="eastAsia" w:ascii="宋体" w:hAnsi="宋体" w:eastAsia="宋体" w:cs="宋体"/>
          <w:b/>
          <w:bCs/>
          <w:color w:val="auto"/>
          <w:sz w:val="21"/>
          <w:szCs w:val="21"/>
          <w:highlight w:val="green"/>
          <w:shd w:val="clear" w:color="auto" w:fill="FFFFFF"/>
          <w:lang w:val="zh-CN" w:eastAsia="zh-CN" w:bidi="ar-SA"/>
        </w:rPr>
      </w:pPr>
      <w:r>
        <w:rPr>
          <w:rFonts w:hint="eastAsia" w:ascii="宋体" w:hAnsi="宋体" w:eastAsia="宋体" w:cs="宋体"/>
          <w:color w:val="auto"/>
          <w:sz w:val="21"/>
          <w:szCs w:val="21"/>
          <w:shd w:val="clear" w:color="auto" w:fill="FFFFFF"/>
          <w:lang w:val="en-US" w:eastAsia="zh-CN" w:bidi="ar-SA"/>
        </w:rPr>
        <w:t>（1）获取时间：</w:t>
      </w:r>
      <w:r>
        <w:rPr>
          <w:rFonts w:hint="eastAsia" w:ascii="宋体" w:hAnsi="宋体" w:eastAsia="宋体" w:cs="宋体"/>
          <w:color w:val="auto"/>
          <w:sz w:val="21"/>
          <w:szCs w:val="21"/>
          <w:shd w:val="clear" w:color="auto" w:fill="FFFFFF"/>
          <w:lang w:val="zh-CN" w:eastAsia="zh-CN" w:bidi="ar-SA"/>
        </w:rPr>
        <w:t>电子招标文件获取时间：</w:t>
      </w:r>
      <w:r>
        <w:rPr>
          <w:rFonts w:hint="eastAsia" w:ascii="宋体" w:hAnsi="宋体" w:eastAsia="宋体" w:cs="宋体"/>
          <w:color w:val="auto"/>
          <w:sz w:val="21"/>
          <w:szCs w:val="21"/>
          <w:shd w:val="clear" w:color="auto" w:fill="FFFFFF"/>
          <w:lang w:val="en-US" w:eastAsia="zh-CN" w:bidi="ar-SA"/>
        </w:rPr>
        <w:t>2025</w:t>
      </w:r>
      <w:r>
        <w:rPr>
          <w:rFonts w:hint="eastAsia" w:ascii="宋体" w:hAnsi="宋体" w:eastAsia="宋体" w:cs="宋体"/>
          <w:color w:val="auto"/>
          <w:sz w:val="21"/>
          <w:szCs w:val="21"/>
          <w:shd w:val="clear" w:color="auto" w:fill="FFFFFF"/>
          <w:lang w:val="zh-CN" w:eastAsia="zh-CN" w:bidi="ar-SA"/>
        </w:rPr>
        <w:t>年</w:t>
      </w:r>
      <w:r>
        <w:rPr>
          <w:rFonts w:hint="eastAsia" w:ascii="宋体" w:hAnsi="宋体" w:eastAsia="宋体" w:cs="宋体"/>
          <w:color w:val="auto"/>
          <w:sz w:val="21"/>
          <w:szCs w:val="21"/>
          <w:u w:val="single"/>
          <w:shd w:val="clear" w:color="auto" w:fill="FFFFFF"/>
          <w:lang w:val="en-US" w:eastAsia="zh-CN" w:bidi="ar-SA"/>
        </w:rPr>
        <w:t xml:space="preserve"> 12 </w:t>
      </w:r>
      <w:r>
        <w:rPr>
          <w:rFonts w:hint="eastAsia" w:ascii="宋体" w:hAnsi="宋体" w:eastAsia="宋体" w:cs="宋体"/>
          <w:color w:val="auto"/>
          <w:sz w:val="21"/>
          <w:szCs w:val="21"/>
          <w:shd w:val="clear" w:color="auto" w:fill="FFFFFF"/>
          <w:lang w:val="zh-CN" w:eastAsia="zh-CN" w:bidi="ar-SA"/>
        </w:rPr>
        <w:t>月</w:t>
      </w:r>
      <w:r>
        <w:rPr>
          <w:rFonts w:hint="eastAsia" w:ascii="宋体" w:hAnsi="宋体" w:eastAsia="宋体" w:cs="宋体"/>
          <w:color w:val="auto"/>
          <w:sz w:val="21"/>
          <w:szCs w:val="21"/>
          <w:u w:val="single"/>
          <w:shd w:val="clear" w:color="auto" w:fill="FFFFFF"/>
          <w:lang w:val="en-US" w:eastAsia="zh-CN" w:bidi="ar-SA"/>
        </w:rPr>
        <w:t xml:space="preserve"> 10 </w:t>
      </w:r>
      <w:r>
        <w:rPr>
          <w:rFonts w:hint="eastAsia" w:ascii="宋体" w:hAnsi="宋体" w:eastAsia="宋体" w:cs="宋体"/>
          <w:color w:val="auto"/>
          <w:sz w:val="21"/>
          <w:szCs w:val="21"/>
          <w:shd w:val="clear" w:color="auto" w:fill="FFFFFF"/>
          <w:lang w:val="zh-CN" w:eastAsia="zh-CN" w:bidi="ar-SA"/>
        </w:rPr>
        <w:t>日00时00分至</w:t>
      </w:r>
      <w:r>
        <w:rPr>
          <w:rFonts w:hint="eastAsia" w:ascii="宋体" w:hAnsi="宋体" w:eastAsia="宋体" w:cs="宋体"/>
          <w:color w:val="auto"/>
          <w:sz w:val="21"/>
          <w:szCs w:val="21"/>
          <w:shd w:val="clear" w:color="auto" w:fill="FFFFFF"/>
          <w:lang w:val="en-US" w:eastAsia="zh-CN" w:bidi="ar-SA"/>
        </w:rPr>
        <w:t>2025</w:t>
      </w:r>
      <w:r>
        <w:rPr>
          <w:rFonts w:hint="eastAsia" w:ascii="宋体" w:hAnsi="宋体" w:eastAsia="宋体" w:cs="宋体"/>
          <w:color w:val="auto"/>
          <w:sz w:val="21"/>
          <w:szCs w:val="21"/>
          <w:shd w:val="clear" w:color="auto" w:fill="FFFFFF"/>
          <w:lang w:val="zh-CN" w:eastAsia="zh-CN" w:bidi="ar-SA"/>
        </w:rPr>
        <w:t>年</w:t>
      </w:r>
      <w:r>
        <w:rPr>
          <w:rFonts w:hint="eastAsia" w:ascii="宋体" w:hAnsi="宋体" w:eastAsia="宋体" w:cs="宋体"/>
          <w:color w:val="auto"/>
          <w:sz w:val="21"/>
          <w:szCs w:val="21"/>
          <w:u w:val="single"/>
          <w:shd w:val="clear" w:color="auto" w:fill="FFFFFF"/>
          <w:lang w:val="en-US" w:eastAsia="zh-CN" w:bidi="ar-SA"/>
        </w:rPr>
        <w:t xml:space="preserve"> 12 </w:t>
      </w:r>
      <w:r>
        <w:rPr>
          <w:rFonts w:hint="eastAsia" w:ascii="宋体" w:hAnsi="宋体" w:eastAsia="宋体" w:cs="宋体"/>
          <w:color w:val="auto"/>
          <w:sz w:val="21"/>
          <w:szCs w:val="21"/>
          <w:shd w:val="clear" w:color="auto" w:fill="FFFFFF"/>
          <w:lang w:val="zh-CN" w:eastAsia="zh-CN" w:bidi="ar-SA"/>
        </w:rPr>
        <w:t>月</w:t>
      </w:r>
      <w:r>
        <w:rPr>
          <w:rFonts w:hint="eastAsia" w:ascii="宋体" w:hAnsi="宋体" w:eastAsia="宋体" w:cs="宋体"/>
          <w:color w:val="auto"/>
          <w:sz w:val="21"/>
          <w:szCs w:val="21"/>
          <w:u w:val="single"/>
          <w:shd w:val="clear" w:color="auto" w:fill="FFFFFF"/>
          <w:lang w:val="en-US" w:eastAsia="zh-CN" w:bidi="ar-SA"/>
        </w:rPr>
        <w:t xml:space="preserve"> 16 </w:t>
      </w:r>
      <w:r>
        <w:rPr>
          <w:rFonts w:hint="eastAsia" w:ascii="宋体" w:hAnsi="宋体" w:eastAsia="宋体" w:cs="宋体"/>
          <w:color w:val="auto"/>
          <w:sz w:val="21"/>
          <w:szCs w:val="21"/>
          <w:shd w:val="clear" w:color="auto" w:fill="FFFFFF"/>
          <w:lang w:val="zh-CN" w:eastAsia="zh-CN" w:bidi="ar-SA"/>
        </w:rPr>
        <w:t>日23时59分。</w:t>
      </w:r>
    </w:p>
    <w:p w14:paraId="065E8D15">
      <w:pPr>
        <w:widowControl/>
        <w:wordWrap w:val="0"/>
        <w:overflowPunct w:val="0"/>
        <w:autoSpaceDE w:val="0"/>
        <w:autoSpaceDN w:val="0"/>
        <w:adjustRightInd w:val="0"/>
        <w:spacing w:line="440" w:lineRule="exact"/>
        <w:ind w:firstLine="420" w:firstLineChars="200"/>
        <w:jc w:val="both"/>
        <w:textAlignment w:val="baseline"/>
        <w:outlineLvl w:val="9"/>
        <w:rPr>
          <w:rFonts w:hint="eastAsia" w:ascii="宋体" w:hAnsi="宋体" w:eastAsia="宋体" w:cs="宋体"/>
          <w:color w:val="auto"/>
          <w:sz w:val="21"/>
          <w:szCs w:val="21"/>
          <w:shd w:val="clear" w:color="auto" w:fill="FFFFFF"/>
          <w:lang w:val="zh-CN" w:eastAsia="zh-CN" w:bidi="ar-SA"/>
        </w:rPr>
      </w:pPr>
      <w:r>
        <w:rPr>
          <w:rFonts w:hint="eastAsia" w:ascii="宋体" w:hAnsi="宋体" w:eastAsia="宋体" w:cs="宋体"/>
          <w:color w:val="auto"/>
          <w:sz w:val="21"/>
          <w:szCs w:val="21"/>
          <w:shd w:val="clear" w:color="auto" w:fill="FFFFFF"/>
          <w:lang w:val="en-US" w:eastAsia="zh-CN" w:bidi="ar-SA"/>
        </w:rPr>
        <w:t>（2）</w:t>
      </w:r>
      <w:r>
        <w:rPr>
          <w:rFonts w:hint="eastAsia" w:ascii="宋体" w:hAnsi="宋体" w:eastAsia="宋体" w:cs="宋体"/>
          <w:color w:val="auto"/>
          <w:sz w:val="21"/>
          <w:szCs w:val="21"/>
          <w:shd w:val="clear" w:color="auto" w:fill="FFFFFF"/>
          <w:lang w:val="zh-CN" w:eastAsia="zh-CN" w:bidi="ar-SA"/>
        </w:rPr>
        <w:t>电子招标文件获取方式：</w:t>
      </w:r>
    </w:p>
    <w:p w14:paraId="03E59769">
      <w:pPr>
        <w:autoSpaceDE w:val="0"/>
        <w:autoSpaceDN w:val="0"/>
        <w:adjustRightInd w:val="0"/>
        <w:spacing w:line="440" w:lineRule="exact"/>
        <w:ind w:firstLine="420" w:firstLineChars="200"/>
        <w:jc w:val="left"/>
        <w:outlineLvl w:val="9"/>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投标人在山西省公共资源交易主体信息库(http://jyzt.sxzwfw.gov.cn)进行主体库注册，主体库注册完成后办理数字证书（USBKey），凭借数字证书（USBKey）登录全国公共资源交易平台（山西省·临汾市）（http://lfggzyjy.linfen.gov.cn）首页【投标人/供应商】-【工程建设】-【投标系统】-【下载招标文件】处免费获取招标文件及相关资料。此为获取招标文件的唯一途径，通过其他渠道获取招标文件的不具备投标资格。技术支持电话：010-86483801</w:t>
      </w:r>
    </w:p>
    <w:p w14:paraId="262A203E">
      <w:pPr>
        <w:autoSpaceDE w:val="0"/>
        <w:autoSpaceDN w:val="0"/>
        <w:adjustRightInd w:val="0"/>
        <w:spacing w:line="440" w:lineRule="exact"/>
        <w:ind w:firstLine="420" w:firstLineChars="200"/>
        <w:jc w:val="left"/>
        <w:outlineLvl w:val="9"/>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主体库注册及数字证书（CA）办理咨询电话：</w:t>
      </w:r>
    </w:p>
    <w:p w14:paraId="5869C219">
      <w:pPr>
        <w:autoSpaceDE w:val="0"/>
        <w:autoSpaceDN w:val="0"/>
        <w:adjustRightInd w:val="0"/>
        <w:spacing w:line="440" w:lineRule="exact"/>
        <w:ind w:firstLine="420" w:firstLineChars="200"/>
        <w:jc w:val="left"/>
        <w:outlineLvl w:val="9"/>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0357-2128966   400-0351-858   400-653-0200   400-666-3999   400-0351-9464.</w:t>
      </w:r>
    </w:p>
    <w:p w14:paraId="51BED909">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3）投标人应通过全国公共资源交易平台（山西省·临汾市）（http://lfggzyjy.linfen.gov.cn）关注澄清公告、变更公告、终止公告等有关公告，此类公告不再书面进行通知。各市场参与主体因自身原因未关注到此公告并造成损失的，责任自负。</w:t>
      </w:r>
    </w:p>
    <w:p w14:paraId="315AFB90">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（4）主体库需提前一个工作日办理完成注册，隔日方可使用CA下载招标文件。</w:t>
      </w:r>
    </w:p>
    <w:p w14:paraId="4D1CEDA8">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五</w:t>
      </w:r>
      <w:r>
        <w:rPr>
          <w:rFonts w:hint="eastAsia" w:ascii="宋体" w:hAnsi="宋体" w:eastAsia="宋体" w:cs="宋体"/>
          <w:b/>
          <w:bCs/>
          <w:color w:val="auto"/>
          <w:sz w:val="21"/>
          <w:szCs w:val="21"/>
          <w:lang w:val="zh-CN" w:eastAsia="zh-CN" w:bidi="ar-SA"/>
        </w:rPr>
        <w:t>、投标文件</w:t>
      </w:r>
      <w:r>
        <w:rPr>
          <w:rFonts w:hint="eastAsia" w:ascii="宋体" w:hAnsi="宋体" w:eastAsia="宋体" w:cs="宋体"/>
          <w:b/>
          <w:bCs/>
          <w:color w:val="auto"/>
          <w:sz w:val="21"/>
          <w:szCs w:val="21"/>
          <w:lang w:val="en-US" w:eastAsia="zh-CN" w:bidi="ar-SA"/>
        </w:rPr>
        <w:t>的递交</w:t>
      </w:r>
    </w:p>
    <w:p w14:paraId="7A6FD6C9">
      <w:pPr>
        <w:autoSpaceDE w:val="0"/>
        <w:autoSpaceDN w:val="0"/>
        <w:adjustRightInd w:val="0"/>
        <w:spacing w:line="440" w:lineRule="exact"/>
        <w:ind w:firstLine="420" w:firstLineChars="200"/>
        <w:jc w:val="left"/>
        <w:outlineLvl w:val="9"/>
        <w:rPr>
          <w:rFonts w:hint="eastAsia" w:ascii="宋体" w:hAnsi="宋体" w:eastAsia="宋体" w:cs="宋体"/>
          <w:b/>
          <w:bCs/>
          <w:color w:val="auto"/>
          <w:kern w:val="0"/>
          <w:szCs w:val="21"/>
          <w:shd w:val="clear" w:color="auto" w:fill="FFFFFF"/>
          <w:lang w:val="zh-CN"/>
        </w:rPr>
      </w:pPr>
      <w:r>
        <w:rPr>
          <w:rFonts w:hint="eastAsia" w:ascii="宋体" w:hAnsi="宋体" w:eastAsia="宋体" w:cs="宋体"/>
          <w:color w:val="auto"/>
          <w:kern w:val="0"/>
          <w:szCs w:val="21"/>
          <w:shd w:val="clear" w:color="auto" w:fill="FFFFFF"/>
          <w:lang w:val="zh-CN"/>
        </w:rPr>
        <w:t>（</w:t>
      </w:r>
      <w:r>
        <w:rPr>
          <w:rFonts w:hint="eastAsia" w:ascii="宋体" w:hAnsi="宋体" w:eastAsia="宋体" w:cs="宋体"/>
          <w:b/>
          <w:bCs/>
          <w:color w:val="auto"/>
          <w:kern w:val="0"/>
          <w:szCs w:val="21"/>
          <w:shd w:val="clear" w:color="auto" w:fill="FFFFFF"/>
          <w:lang w:val="zh-CN"/>
        </w:rPr>
        <w:t>一）电子投标文件的递交截止时间和方法</w:t>
      </w:r>
    </w:p>
    <w:p w14:paraId="36B94015">
      <w:pPr>
        <w:autoSpaceDE w:val="0"/>
        <w:autoSpaceDN w:val="0"/>
        <w:adjustRightInd w:val="0"/>
        <w:spacing w:line="440" w:lineRule="exact"/>
        <w:ind w:firstLine="422" w:firstLineChars="200"/>
        <w:jc w:val="left"/>
        <w:outlineLvl w:val="9"/>
        <w:rPr>
          <w:rFonts w:hint="eastAsia" w:ascii="宋体" w:hAnsi="宋体" w:eastAsia="宋体" w:cs="宋体"/>
          <w:b/>
          <w:bCs/>
          <w:color w:val="auto"/>
          <w:kern w:val="0"/>
          <w:szCs w:val="21"/>
          <w:shd w:val="clear" w:color="auto" w:fill="FFFFFF"/>
        </w:rPr>
      </w:pPr>
      <w:r>
        <w:rPr>
          <w:rFonts w:hint="eastAsia" w:ascii="宋体" w:hAnsi="宋体" w:eastAsia="宋体" w:cs="宋体"/>
          <w:b/>
          <w:bCs/>
          <w:color w:val="auto"/>
          <w:kern w:val="0"/>
          <w:szCs w:val="21"/>
          <w:shd w:val="clear" w:color="auto" w:fill="FFFFFF"/>
        </w:rPr>
        <w:t>1、递交截止时间：</w:t>
      </w:r>
      <w:r>
        <w:rPr>
          <w:rFonts w:hint="eastAsia" w:ascii="宋体" w:hAnsi="宋体" w:eastAsia="宋体" w:cs="宋体"/>
          <w:b w:val="0"/>
          <w:bCs w:val="0"/>
          <w:color w:val="auto"/>
          <w:kern w:val="0"/>
          <w:szCs w:val="21"/>
          <w:shd w:val="clear" w:color="auto" w:fill="FFFFFF"/>
        </w:rPr>
        <w:t>电子投标文件上传截止时间</w:t>
      </w:r>
      <w:r>
        <w:rPr>
          <w:rFonts w:hint="eastAsia" w:ascii="宋体" w:hAnsi="宋体" w:eastAsia="宋体" w:cs="宋体"/>
          <w:b w:val="0"/>
          <w:bCs w:val="0"/>
          <w:color w:val="auto"/>
          <w:kern w:val="0"/>
          <w:szCs w:val="21"/>
          <w:highlight w:val="none"/>
          <w:shd w:val="clear" w:color="auto" w:fill="FFFFFF"/>
        </w:rPr>
        <w:t>2025年</w:t>
      </w:r>
      <w:r>
        <w:rPr>
          <w:rFonts w:hint="eastAsia" w:ascii="宋体" w:hAnsi="宋体" w:eastAsia="宋体" w:cs="宋体"/>
          <w:b w:val="0"/>
          <w:bCs w:val="0"/>
          <w:color w:val="auto"/>
          <w:kern w:val="0"/>
          <w:szCs w:val="21"/>
          <w:highlight w:val="none"/>
          <w:u w:val="single"/>
          <w:shd w:val="clear" w:color="auto" w:fill="FFFFFF"/>
        </w:rPr>
        <w:t xml:space="preserve"> </w:t>
      </w:r>
      <w:r>
        <w:rPr>
          <w:rFonts w:hint="eastAsia" w:ascii="宋体" w:hAnsi="宋体" w:eastAsia="宋体" w:cs="宋体"/>
          <w:b w:val="0"/>
          <w:bCs w:val="0"/>
          <w:color w:val="auto"/>
          <w:kern w:val="0"/>
          <w:szCs w:val="21"/>
          <w:highlight w:val="none"/>
          <w:u w:val="single"/>
          <w:shd w:val="clear" w:color="auto" w:fill="FFFFFF"/>
          <w:lang w:val="en-US" w:eastAsia="zh-CN"/>
        </w:rPr>
        <w:t>12</w:t>
      </w:r>
      <w:r>
        <w:rPr>
          <w:rFonts w:hint="eastAsia" w:ascii="宋体" w:hAnsi="宋体" w:eastAsia="宋体" w:cs="宋体"/>
          <w:b w:val="0"/>
          <w:bCs w:val="0"/>
          <w:color w:val="auto"/>
          <w:kern w:val="0"/>
          <w:szCs w:val="21"/>
          <w:highlight w:val="none"/>
          <w:u w:val="single"/>
          <w:shd w:val="clear" w:color="auto" w:fill="FFFFFF"/>
        </w:rPr>
        <w:t xml:space="preserve"> </w:t>
      </w:r>
      <w:r>
        <w:rPr>
          <w:rFonts w:hint="eastAsia" w:ascii="宋体" w:hAnsi="宋体" w:eastAsia="宋体" w:cs="宋体"/>
          <w:b w:val="0"/>
          <w:bCs w:val="0"/>
          <w:color w:val="auto"/>
          <w:kern w:val="0"/>
          <w:szCs w:val="21"/>
          <w:highlight w:val="none"/>
          <w:shd w:val="clear" w:color="auto" w:fill="FFFFFF"/>
        </w:rPr>
        <w:t>月</w:t>
      </w:r>
      <w:r>
        <w:rPr>
          <w:rFonts w:hint="eastAsia" w:ascii="宋体" w:hAnsi="宋体" w:eastAsia="宋体" w:cs="宋体"/>
          <w:b w:val="0"/>
          <w:bCs w:val="0"/>
          <w:color w:val="auto"/>
          <w:kern w:val="0"/>
          <w:szCs w:val="21"/>
          <w:highlight w:val="none"/>
          <w:u w:val="single"/>
          <w:shd w:val="clear" w:color="auto" w:fill="FFFFFF"/>
        </w:rPr>
        <w:t xml:space="preserve"> </w:t>
      </w:r>
      <w:r>
        <w:rPr>
          <w:rFonts w:hint="eastAsia" w:ascii="宋体" w:hAnsi="宋体" w:eastAsia="宋体" w:cs="宋体"/>
          <w:b w:val="0"/>
          <w:bCs w:val="0"/>
          <w:color w:val="auto"/>
          <w:kern w:val="0"/>
          <w:szCs w:val="21"/>
          <w:highlight w:val="none"/>
          <w:u w:val="single"/>
          <w:shd w:val="clear" w:color="auto" w:fill="FFFFFF"/>
          <w:lang w:val="en-US" w:eastAsia="zh-CN"/>
        </w:rPr>
        <w:t xml:space="preserve">30 </w:t>
      </w:r>
      <w:r>
        <w:rPr>
          <w:rFonts w:hint="eastAsia" w:ascii="宋体" w:hAnsi="宋体" w:eastAsia="宋体" w:cs="宋体"/>
          <w:b w:val="0"/>
          <w:bCs w:val="0"/>
          <w:color w:val="auto"/>
          <w:kern w:val="0"/>
          <w:szCs w:val="21"/>
          <w:highlight w:val="none"/>
          <w:shd w:val="clear" w:color="auto" w:fill="FFFFFF"/>
        </w:rPr>
        <w:t>日</w:t>
      </w:r>
      <w:r>
        <w:rPr>
          <w:rFonts w:hint="eastAsia" w:ascii="宋体" w:hAnsi="宋体" w:eastAsia="宋体" w:cs="宋体"/>
          <w:b w:val="0"/>
          <w:bCs w:val="0"/>
          <w:color w:val="auto"/>
          <w:kern w:val="0"/>
          <w:szCs w:val="21"/>
          <w:highlight w:val="none"/>
          <w:u w:val="single"/>
          <w:shd w:val="clear" w:color="auto" w:fill="FFFFFF"/>
        </w:rPr>
        <w:t xml:space="preserve"> </w:t>
      </w:r>
      <w:r>
        <w:rPr>
          <w:rFonts w:hint="eastAsia" w:ascii="宋体" w:hAnsi="宋体" w:eastAsia="宋体" w:cs="宋体"/>
          <w:b w:val="0"/>
          <w:bCs w:val="0"/>
          <w:color w:val="auto"/>
          <w:kern w:val="0"/>
          <w:szCs w:val="21"/>
          <w:highlight w:val="none"/>
          <w:u w:val="single"/>
          <w:shd w:val="clear" w:color="auto" w:fill="FFFFFF"/>
          <w:lang w:val="en-US" w:eastAsia="zh-CN"/>
        </w:rPr>
        <w:t>8</w:t>
      </w:r>
      <w:r>
        <w:rPr>
          <w:rFonts w:hint="eastAsia" w:ascii="宋体" w:hAnsi="宋体" w:eastAsia="宋体" w:cs="宋体"/>
          <w:b w:val="0"/>
          <w:bCs w:val="0"/>
          <w:color w:val="auto"/>
          <w:kern w:val="0"/>
          <w:szCs w:val="21"/>
          <w:highlight w:val="none"/>
          <w:u w:val="single"/>
          <w:shd w:val="clear" w:color="auto" w:fill="FFFFFF"/>
        </w:rPr>
        <w:t xml:space="preserve"> </w:t>
      </w:r>
      <w:r>
        <w:rPr>
          <w:rFonts w:hint="eastAsia" w:ascii="宋体" w:hAnsi="宋体" w:eastAsia="宋体" w:cs="宋体"/>
          <w:b w:val="0"/>
          <w:bCs w:val="0"/>
          <w:color w:val="auto"/>
          <w:kern w:val="0"/>
          <w:szCs w:val="21"/>
          <w:highlight w:val="none"/>
          <w:shd w:val="clear" w:color="auto" w:fill="FFFFFF"/>
        </w:rPr>
        <w:t>时</w:t>
      </w:r>
      <w:r>
        <w:rPr>
          <w:rFonts w:hint="eastAsia" w:ascii="宋体" w:hAnsi="宋体" w:eastAsia="宋体" w:cs="宋体"/>
          <w:b w:val="0"/>
          <w:bCs w:val="0"/>
          <w:color w:val="auto"/>
          <w:kern w:val="0"/>
          <w:szCs w:val="21"/>
          <w:highlight w:val="none"/>
          <w:u w:val="single"/>
          <w:shd w:val="clear" w:color="auto" w:fill="FFFFFF"/>
        </w:rPr>
        <w:t>00</w:t>
      </w:r>
      <w:r>
        <w:rPr>
          <w:rFonts w:hint="eastAsia" w:ascii="宋体" w:hAnsi="宋体" w:eastAsia="宋体" w:cs="宋体"/>
          <w:b w:val="0"/>
          <w:bCs w:val="0"/>
          <w:color w:val="auto"/>
          <w:kern w:val="0"/>
          <w:szCs w:val="21"/>
          <w:highlight w:val="none"/>
          <w:shd w:val="clear" w:color="auto" w:fill="FFFFFF"/>
        </w:rPr>
        <w:t>分</w:t>
      </w:r>
      <w:r>
        <w:rPr>
          <w:rFonts w:hint="eastAsia" w:ascii="宋体" w:hAnsi="宋体" w:eastAsia="宋体" w:cs="宋体"/>
          <w:b w:val="0"/>
          <w:bCs w:val="0"/>
          <w:color w:val="auto"/>
          <w:kern w:val="0"/>
          <w:szCs w:val="21"/>
          <w:shd w:val="clear" w:color="auto" w:fill="FFFFFF"/>
        </w:rPr>
        <w:t>。</w:t>
      </w:r>
    </w:p>
    <w:p w14:paraId="6BA23B2F">
      <w:pPr>
        <w:autoSpaceDE w:val="0"/>
        <w:autoSpaceDN w:val="0"/>
        <w:adjustRightInd w:val="0"/>
        <w:spacing w:line="440" w:lineRule="exact"/>
        <w:ind w:firstLine="422" w:firstLineChars="200"/>
        <w:jc w:val="left"/>
        <w:outlineLvl w:val="9"/>
        <w:rPr>
          <w:rFonts w:hint="eastAsia" w:ascii="宋体" w:hAnsi="宋体" w:eastAsia="宋体" w:cs="宋体"/>
          <w:b/>
          <w:bCs/>
          <w:color w:val="auto"/>
          <w:kern w:val="0"/>
          <w:szCs w:val="21"/>
          <w:shd w:val="clear" w:color="auto" w:fill="FFFFFF"/>
        </w:rPr>
      </w:pPr>
      <w:r>
        <w:rPr>
          <w:rFonts w:hint="eastAsia" w:ascii="宋体" w:hAnsi="宋体" w:eastAsia="宋体" w:cs="宋体"/>
          <w:b/>
          <w:bCs/>
          <w:color w:val="auto"/>
          <w:kern w:val="0"/>
          <w:szCs w:val="21"/>
          <w:shd w:val="clear" w:color="auto" w:fill="FFFFFF"/>
        </w:rPr>
        <w:t>2、递交方法：</w:t>
      </w:r>
    </w:p>
    <w:p w14:paraId="201C675A">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1）从“全国公共资源交易平台（山西省·临汾市）（http://lfggzyjy.linfen.gov.cn）-【业务指南】-【下载中心】下载《临汾市工程建设投标文件编制系统》（此为编制电子投标文件的唯一工具）。按其中“投标文件格式”的要求编制电子投标文件，电子投标文件的格式为*.TBJ。</w:t>
      </w:r>
    </w:p>
    <w:p w14:paraId="04542816">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注：施工类项目中工程量清单电子投标报价文件的编制，需从“全国公共资源交易平台（山西省·临汾市）（http://lfggzyjy.linfen.gov.cn）-【业务指南】-【下载中心】下载《临汾市工程建设投标报价编制系统》（此为编制工程量清单报价文件的唯一工具）。使用该工具对工程量清单电子投标报价文件进行编制，工程量清单电子投标报价文件格式为*.TBS。</w:t>
      </w:r>
    </w:p>
    <w:p w14:paraId="0BEDB236">
      <w:pPr>
        <w:widowControl w:val="0"/>
        <w:tabs>
          <w:tab w:val="center" w:pos="4153"/>
          <w:tab w:val="right" w:pos="8306"/>
        </w:tabs>
        <w:autoSpaceDE w:val="0"/>
        <w:autoSpaceDN w:val="0"/>
        <w:adjustRightInd w:val="0"/>
        <w:spacing w:line="440" w:lineRule="exact"/>
        <w:ind w:firstLine="420" w:firstLineChars="200"/>
        <w:outlineLvl w:val="9"/>
        <w:rPr>
          <w:rFonts w:hint="eastAsia" w:ascii="宋体" w:hAnsi="宋体" w:eastAsia="宋体" w:cs="宋体"/>
          <w:bCs/>
          <w:color w:val="auto"/>
          <w:sz w:val="21"/>
          <w:szCs w:val="24"/>
          <w:lang w:val="en-US" w:eastAsia="zh-CN" w:bidi="ar-SA"/>
        </w:rPr>
      </w:pPr>
      <w:r>
        <w:rPr>
          <w:rFonts w:hint="eastAsia" w:ascii="宋体" w:hAnsi="宋体" w:eastAsia="宋体" w:cs="宋体"/>
          <w:bCs/>
          <w:color w:val="auto"/>
          <w:sz w:val="21"/>
          <w:szCs w:val="24"/>
          <w:lang w:val="en-US" w:eastAsia="zh-CN" w:bidi="ar-SA"/>
        </w:rPr>
        <w:t>因实际业务需要，各类编制系统会不定时更新，请各市场主体编制标书前确定安装的是最新版本的编制系统，再进行电子标书的编制工作。</w:t>
      </w:r>
    </w:p>
    <w:p w14:paraId="580F0F04">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（2）使用数字证书及电子签章工具按招标文件要求对电子投标文件进行电子签章的加盖（包括法人电子签章、法定代表人电子签章及授权代表签章等）。</w:t>
      </w:r>
    </w:p>
    <w:p w14:paraId="15CDB21F">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（3）编制电子投标文件时，如需要粘贴图片，务必将JPG格式的图片粘贴到Word文档，再将Word文档导入编制系统，且每张图片的分辨率应小于100dpi。</w:t>
      </w:r>
    </w:p>
    <w:p w14:paraId="14105209">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4）上传的电子投标文件必须使用数字证书进行加密。所用数字证书加密的电子投标文件，必须使用该数字证书进行解密。供应商因更换数字证书等原因造成投标文件未解密的，视为撤回投标文件（数字证书续费后同样会造成不能解密续费前加密的电子投标文件，所以，建议：若需续费，需在加密前进行）。</w:t>
      </w:r>
    </w:p>
    <w:p w14:paraId="4453938D">
      <w:pPr>
        <w:autoSpaceDE w:val="0"/>
        <w:autoSpaceDN w:val="0"/>
        <w:adjustRightInd w:val="0"/>
        <w:spacing w:line="440" w:lineRule="exact"/>
        <w:ind w:firstLine="420" w:firstLineChars="200"/>
        <w:jc w:val="left"/>
        <w:outlineLvl w:val="9"/>
        <w:rPr>
          <w:rFonts w:hint="eastAsia" w:ascii="宋体" w:hAnsi="宋体" w:eastAsia="宋体" w:cs="宋体"/>
          <w:color w:val="auto"/>
          <w:kern w:val="0"/>
          <w:szCs w:val="20"/>
        </w:rPr>
      </w:pPr>
      <w:r>
        <w:rPr>
          <w:rFonts w:hint="eastAsia" w:ascii="宋体" w:hAnsi="宋体" w:eastAsia="宋体" w:cs="宋体"/>
          <w:bCs/>
          <w:color w:val="auto"/>
          <w:kern w:val="0"/>
          <w:szCs w:val="20"/>
        </w:rPr>
        <w:t>（5）投标人务必在电子投标文件上传截止时间前，通过数字证书登录“全国公共资源交易平台（山西省·临汾市）”（http://lfggzyjy.linfen.gov.cn）首页【投标人/供应商】-【工程建设】，在【提交投标文件】处上传相应的电子投标文件，上传后点击“签名确认”。签名确认完成才算递交成功，否则视为撤回投标文件。最后打印“网上递交投标文件回执”。</w:t>
      </w:r>
    </w:p>
    <w:p w14:paraId="4049A9A3">
      <w:pPr>
        <w:autoSpaceDE w:val="0"/>
        <w:autoSpaceDN w:val="0"/>
        <w:adjustRightInd w:val="0"/>
        <w:spacing w:line="440" w:lineRule="exact"/>
        <w:ind w:firstLine="422" w:firstLineChars="200"/>
        <w:jc w:val="left"/>
        <w:outlineLvl w:val="9"/>
        <w:rPr>
          <w:rFonts w:hint="eastAsia" w:ascii="宋体" w:hAnsi="宋体" w:eastAsia="宋体" w:cs="宋体"/>
          <w:bCs/>
          <w:color w:val="auto"/>
          <w:kern w:val="0"/>
          <w:szCs w:val="20"/>
        </w:rPr>
      </w:pPr>
      <w:r>
        <w:rPr>
          <w:rFonts w:hint="eastAsia" w:ascii="宋体" w:hAnsi="宋体" w:eastAsia="宋体" w:cs="宋体"/>
          <w:b/>
          <w:color w:val="auto"/>
          <w:kern w:val="0"/>
          <w:szCs w:val="20"/>
        </w:rPr>
        <w:t>递交地址：</w:t>
      </w:r>
      <w:r>
        <w:rPr>
          <w:rFonts w:hint="eastAsia" w:ascii="宋体" w:hAnsi="宋体" w:eastAsia="宋体" w:cs="宋体"/>
          <w:bCs/>
          <w:color w:val="auto"/>
          <w:kern w:val="0"/>
          <w:szCs w:val="20"/>
        </w:rPr>
        <w:t>本项目投标采用网上电子投标的方式进行，无需递交纸质标书。</w:t>
      </w:r>
    </w:p>
    <w:p w14:paraId="31351B2A">
      <w:pPr>
        <w:autoSpaceDE w:val="0"/>
        <w:autoSpaceDN w:val="0"/>
        <w:adjustRightInd w:val="0"/>
        <w:snapToGrid w:val="0"/>
        <w:spacing w:line="440" w:lineRule="exact"/>
        <w:ind w:firstLine="437"/>
        <w:jc w:val="left"/>
        <w:outlineLvl w:val="9"/>
        <w:rPr>
          <w:rFonts w:hint="eastAsia" w:ascii="宋体" w:hAnsi="宋体" w:eastAsia="宋体" w:cs="宋体"/>
          <w:b/>
          <w:bCs/>
          <w:color w:val="auto"/>
          <w:kern w:val="0"/>
          <w:szCs w:val="20"/>
        </w:rPr>
      </w:pPr>
      <w:r>
        <w:rPr>
          <w:rFonts w:hint="eastAsia" w:ascii="宋体" w:hAnsi="宋体" w:eastAsia="宋体" w:cs="宋体"/>
          <w:b/>
          <w:bCs/>
          <w:color w:val="auto"/>
          <w:kern w:val="0"/>
          <w:szCs w:val="20"/>
        </w:rPr>
        <w:t>3、特别注意事项</w:t>
      </w:r>
    </w:p>
    <w:p w14:paraId="3F0D929A">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（1）上述操作步骤和方法为投标人编制、上传电子投标文件的唯一途径，如投标人操作与其不符，造成的后果由投标人自行承担。</w:t>
      </w:r>
    </w:p>
    <w:p w14:paraId="6248E269">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（2）建议投标人提前上传电子投标文件，不论何种原因，电子投标文件上传截止时间前未完成上传的，视为放弃投标。</w:t>
      </w:r>
    </w:p>
    <w:p w14:paraId="34003ED5">
      <w:pPr>
        <w:autoSpaceDE w:val="0"/>
        <w:autoSpaceDN w:val="0"/>
        <w:adjustRightInd w:val="0"/>
        <w:snapToGrid w:val="0"/>
        <w:spacing w:line="440" w:lineRule="exact"/>
        <w:ind w:firstLine="437"/>
        <w:jc w:val="left"/>
        <w:outlineLvl w:val="9"/>
        <w:rPr>
          <w:rFonts w:hint="eastAsia" w:ascii="宋体" w:hAnsi="宋体" w:eastAsia="宋体" w:cs="宋体"/>
          <w:b/>
          <w:bCs/>
          <w:color w:val="auto"/>
          <w:kern w:val="0"/>
          <w:szCs w:val="20"/>
        </w:rPr>
      </w:pPr>
      <w:r>
        <w:rPr>
          <w:rFonts w:hint="eastAsia" w:ascii="宋体" w:hAnsi="宋体" w:eastAsia="宋体" w:cs="宋体"/>
          <w:b/>
          <w:bCs/>
          <w:color w:val="auto"/>
          <w:kern w:val="0"/>
          <w:szCs w:val="20"/>
        </w:rPr>
        <w:t>（二）电子投标文件解密时间、解密方式、网上开标公示</w:t>
      </w:r>
    </w:p>
    <w:p w14:paraId="68C39699">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
          <w:bCs/>
          <w:color w:val="auto"/>
          <w:kern w:val="0"/>
          <w:szCs w:val="20"/>
        </w:rPr>
        <w:t>1、电子投标文件解密时间（开标前1小时内）</w:t>
      </w:r>
      <w:r>
        <w:rPr>
          <w:rFonts w:hint="eastAsia" w:ascii="宋体" w:hAnsi="宋体" w:eastAsia="宋体" w:cs="宋体"/>
          <w:bCs/>
          <w:color w:val="auto"/>
          <w:kern w:val="0"/>
          <w:szCs w:val="20"/>
        </w:rPr>
        <w:t>：</w:t>
      </w:r>
      <w:r>
        <w:rPr>
          <w:rFonts w:hint="eastAsia" w:ascii="宋体" w:hAnsi="宋体" w:eastAsia="宋体" w:cs="宋体"/>
          <w:bCs/>
          <w:color w:val="auto"/>
          <w:kern w:val="0"/>
          <w:szCs w:val="20"/>
          <w:highlight w:val="none"/>
          <w:u w:val="single"/>
        </w:rPr>
        <w:t>2025</w:t>
      </w:r>
      <w:r>
        <w:rPr>
          <w:rFonts w:hint="eastAsia" w:ascii="宋体" w:hAnsi="宋体" w:eastAsia="宋体" w:cs="宋体"/>
          <w:bCs/>
          <w:color w:val="auto"/>
          <w:kern w:val="0"/>
          <w:szCs w:val="20"/>
          <w:highlight w:val="none"/>
        </w:rPr>
        <w:t>年</w:t>
      </w:r>
      <w:r>
        <w:rPr>
          <w:rFonts w:hint="eastAsia" w:ascii="宋体" w:hAnsi="宋体" w:eastAsia="宋体" w:cs="宋体"/>
          <w:bCs/>
          <w:color w:val="auto"/>
          <w:kern w:val="0"/>
          <w:szCs w:val="20"/>
          <w:highlight w:val="none"/>
          <w:u w:val="single"/>
        </w:rPr>
        <w:t xml:space="preserve"> </w:t>
      </w:r>
      <w:r>
        <w:rPr>
          <w:rFonts w:hint="eastAsia" w:ascii="宋体" w:hAnsi="宋体" w:eastAsia="宋体" w:cs="宋体"/>
          <w:bCs/>
          <w:color w:val="auto"/>
          <w:kern w:val="0"/>
          <w:szCs w:val="20"/>
          <w:highlight w:val="none"/>
          <w:u w:val="single"/>
          <w:lang w:val="en-US" w:eastAsia="zh-CN"/>
        </w:rPr>
        <w:t>12</w:t>
      </w:r>
      <w:r>
        <w:rPr>
          <w:rFonts w:hint="eastAsia" w:ascii="宋体" w:hAnsi="宋体" w:eastAsia="宋体" w:cs="宋体"/>
          <w:bCs/>
          <w:color w:val="auto"/>
          <w:kern w:val="0"/>
          <w:szCs w:val="20"/>
          <w:highlight w:val="none"/>
          <w:u w:val="single"/>
        </w:rPr>
        <w:t xml:space="preserve"> </w:t>
      </w:r>
      <w:r>
        <w:rPr>
          <w:rFonts w:hint="eastAsia" w:ascii="宋体" w:hAnsi="宋体" w:eastAsia="宋体" w:cs="宋体"/>
          <w:bCs/>
          <w:color w:val="auto"/>
          <w:kern w:val="0"/>
          <w:szCs w:val="20"/>
          <w:highlight w:val="none"/>
        </w:rPr>
        <w:t>月</w:t>
      </w:r>
      <w:r>
        <w:rPr>
          <w:rFonts w:hint="eastAsia" w:ascii="宋体" w:hAnsi="宋体" w:eastAsia="宋体" w:cs="宋体"/>
          <w:bCs/>
          <w:color w:val="auto"/>
          <w:kern w:val="0"/>
          <w:szCs w:val="20"/>
          <w:highlight w:val="none"/>
          <w:u w:val="single"/>
        </w:rPr>
        <w:t xml:space="preserve"> </w:t>
      </w:r>
      <w:r>
        <w:rPr>
          <w:rFonts w:hint="eastAsia" w:ascii="宋体" w:hAnsi="宋体" w:eastAsia="宋体" w:cs="宋体"/>
          <w:bCs/>
          <w:color w:val="auto"/>
          <w:kern w:val="0"/>
          <w:szCs w:val="20"/>
          <w:highlight w:val="none"/>
          <w:u w:val="single"/>
          <w:lang w:val="en-US" w:eastAsia="zh-CN"/>
        </w:rPr>
        <w:t>30</w:t>
      </w:r>
      <w:r>
        <w:rPr>
          <w:rFonts w:hint="eastAsia" w:ascii="宋体" w:hAnsi="宋体" w:eastAsia="宋体" w:cs="宋体"/>
          <w:bCs/>
          <w:color w:val="auto"/>
          <w:kern w:val="0"/>
          <w:szCs w:val="20"/>
          <w:highlight w:val="none"/>
          <w:u w:val="single"/>
        </w:rPr>
        <w:t xml:space="preserve"> </w:t>
      </w:r>
      <w:r>
        <w:rPr>
          <w:rFonts w:hint="eastAsia" w:ascii="宋体" w:hAnsi="宋体" w:eastAsia="宋体" w:cs="宋体"/>
          <w:bCs/>
          <w:color w:val="auto"/>
          <w:kern w:val="0"/>
          <w:szCs w:val="20"/>
          <w:highlight w:val="none"/>
        </w:rPr>
        <w:t>日</w:t>
      </w:r>
      <w:r>
        <w:rPr>
          <w:rFonts w:hint="eastAsia" w:ascii="宋体" w:hAnsi="宋体" w:eastAsia="宋体" w:cs="宋体"/>
          <w:bCs/>
          <w:color w:val="auto"/>
          <w:kern w:val="0"/>
          <w:szCs w:val="20"/>
          <w:highlight w:val="none"/>
          <w:u w:val="single"/>
        </w:rPr>
        <w:t xml:space="preserve"> 8 </w:t>
      </w:r>
      <w:r>
        <w:rPr>
          <w:rFonts w:hint="eastAsia" w:ascii="宋体" w:hAnsi="宋体" w:eastAsia="宋体" w:cs="宋体"/>
          <w:bCs/>
          <w:color w:val="auto"/>
          <w:kern w:val="0"/>
          <w:szCs w:val="20"/>
          <w:highlight w:val="none"/>
        </w:rPr>
        <w:t>时</w:t>
      </w:r>
      <w:r>
        <w:rPr>
          <w:rFonts w:hint="eastAsia" w:ascii="宋体" w:hAnsi="宋体" w:eastAsia="宋体" w:cs="宋体"/>
          <w:bCs/>
          <w:color w:val="auto"/>
          <w:kern w:val="0"/>
          <w:szCs w:val="20"/>
          <w:highlight w:val="none"/>
          <w:u w:val="single"/>
        </w:rPr>
        <w:t xml:space="preserve"> 00 </w:t>
      </w:r>
      <w:r>
        <w:rPr>
          <w:rFonts w:hint="eastAsia" w:ascii="宋体" w:hAnsi="宋体" w:eastAsia="宋体" w:cs="宋体"/>
          <w:bCs/>
          <w:color w:val="auto"/>
          <w:kern w:val="0"/>
          <w:szCs w:val="20"/>
          <w:highlight w:val="none"/>
        </w:rPr>
        <w:t>分至</w:t>
      </w:r>
      <w:r>
        <w:rPr>
          <w:rFonts w:hint="eastAsia" w:ascii="宋体" w:hAnsi="宋体" w:eastAsia="宋体" w:cs="宋体"/>
          <w:bCs/>
          <w:color w:val="auto"/>
          <w:kern w:val="0"/>
          <w:szCs w:val="20"/>
          <w:highlight w:val="none"/>
          <w:u w:val="single"/>
        </w:rPr>
        <w:t xml:space="preserve"> 9 </w:t>
      </w:r>
      <w:r>
        <w:rPr>
          <w:rFonts w:hint="eastAsia" w:ascii="宋体" w:hAnsi="宋体" w:eastAsia="宋体" w:cs="宋体"/>
          <w:bCs/>
          <w:color w:val="auto"/>
          <w:kern w:val="0"/>
          <w:szCs w:val="20"/>
          <w:highlight w:val="none"/>
        </w:rPr>
        <w:t>时</w:t>
      </w:r>
      <w:r>
        <w:rPr>
          <w:rFonts w:hint="eastAsia" w:ascii="宋体" w:hAnsi="宋体" w:eastAsia="宋体" w:cs="宋体"/>
          <w:bCs/>
          <w:color w:val="auto"/>
          <w:kern w:val="0"/>
          <w:szCs w:val="20"/>
          <w:highlight w:val="none"/>
          <w:u w:val="single"/>
        </w:rPr>
        <w:t xml:space="preserve"> 00 </w:t>
      </w:r>
      <w:r>
        <w:rPr>
          <w:rFonts w:hint="eastAsia" w:ascii="宋体" w:hAnsi="宋体" w:eastAsia="宋体" w:cs="宋体"/>
          <w:bCs/>
          <w:color w:val="auto"/>
          <w:kern w:val="0"/>
          <w:szCs w:val="20"/>
          <w:highlight w:val="none"/>
        </w:rPr>
        <w:t>分</w:t>
      </w:r>
      <w:r>
        <w:rPr>
          <w:rFonts w:hint="eastAsia" w:ascii="宋体" w:hAnsi="宋体" w:eastAsia="宋体" w:cs="宋体"/>
          <w:bCs/>
          <w:color w:val="auto"/>
          <w:kern w:val="0"/>
          <w:szCs w:val="20"/>
        </w:rPr>
        <w:t>。</w:t>
      </w:r>
    </w:p>
    <w:p w14:paraId="7863F327">
      <w:pPr>
        <w:autoSpaceDE w:val="0"/>
        <w:autoSpaceDN w:val="0"/>
        <w:adjustRightInd w:val="0"/>
        <w:snapToGrid w:val="0"/>
        <w:spacing w:line="440" w:lineRule="exact"/>
        <w:ind w:firstLine="437"/>
        <w:jc w:val="left"/>
        <w:outlineLvl w:val="9"/>
        <w:rPr>
          <w:rFonts w:hint="eastAsia" w:ascii="宋体" w:hAnsi="宋体" w:eastAsia="宋体" w:cs="宋体"/>
          <w:b/>
          <w:bCs/>
          <w:color w:val="auto"/>
          <w:kern w:val="0"/>
          <w:szCs w:val="20"/>
        </w:rPr>
      </w:pPr>
      <w:r>
        <w:rPr>
          <w:rFonts w:hint="eastAsia" w:ascii="宋体" w:hAnsi="宋体" w:eastAsia="宋体" w:cs="宋体"/>
          <w:b/>
          <w:bCs/>
          <w:color w:val="auto"/>
          <w:kern w:val="0"/>
          <w:szCs w:val="20"/>
        </w:rPr>
        <w:t>2、电子投标文件解密方式：</w:t>
      </w:r>
      <w:r>
        <w:rPr>
          <w:rFonts w:hint="eastAsia" w:ascii="宋体" w:hAnsi="宋体" w:eastAsia="宋体" w:cs="宋体"/>
          <w:bCs/>
          <w:color w:val="auto"/>
          <w:kern w:val="0"/>
          <w:szCs w:val="20"/>
        </w:rPr>
        <w:t>本项目采用网上解密的方式。</w:t>
      </w:r>
    </w:p>
    <w:p w14:paraId="27F3F2CD">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投标人须在规定时间内使用自己的网络终端设备凭借数字证书（USBKey）登陆“全国公共资源交易平台（山西省·临汾市）”（http://lfggzyjy.linfen.gov.cn）-【投标人/供应商】-【工程建设】。登录成功后，点击【开标】-【开标会】进入开标室，再点击页面上方的【网上解密】自行完成解密。解密请求提交成功之后不要重复刷新页面，解密完成之后会显示解密时间。 </w:t>
      </w:r>
    </w:p>
    <w:p w14:paraId="11617819">
      <w:pPr>
        <w:widowControl w:val="0"/>
        <w:tabs>
          <w:tab w:val="center" w:pos="4153"/>
          <w:tab w:val="right" w:pos="8306"/>
        </w:tabs>
        <w:autoSpaceDE w:val="0"/>
        <w:autoSpaceDN w:val="0"/>
        <w:adjustRightInd w:val="0"/>
        <w:spacing w:line="440" w:lineRule="exact"/>
        <w:ind w:firstLine="422" w:firstLineChars="200"/>
        <w:outlineLvl w:val="9"/>
        <w:rPr>
          <w:rFonts w:hint="eastAsia" w:ascii="宋体" w:hAnsi="宋体" w:eastAsia="宋体" w:cs="宋体"/>
          <w:bCs/>
          <w:color w:val="auto"/>
          <w:sz w:val="21"/>
          <w:szCs w:val="24"/>
          <w:lang w:val="en-US" w:eastAsia="zh-CN" w:bidi="ar-SA"/>
        </w:rPr>
      </w:pPr>
      <w:r>
        <w:rPr>
          <w:rFonts w:hint="eastAsia" w:ascii="宋体" w:hAnsi="宋体" w:eastAsia="宋体" w:cs="宋体"/>
          <w:b/>
          <w:bCs/>
          <w:color w:val="auto"/>
          <w:sz w:val="21"/>
          <w:szCs w:val="24"/>
          <w:lang w:val="en-US" w:eastAsia="zh-CN" w:bidi="ar-SA"/>
        </w:rPr>
        <w:t>3、网上开标公示：</w:t>
      </w:r>
      <w:r>
        <w:rPr>
          <w:rFonts w:hint="eastAsia" w:ascii="宋体" w:hAnsi="宋体" w:eastAsia="宋体" w:cs="宋体"/>
          <w:bCs/>
          <w:color w:val="auto"/>
          <w:sz w:val="21"/>
          <w:szCs w:val="24"/>
          <w:lang w:val="en-US" w:eastAsia="zh-CN" w:bidi="ar-SA"/>
        </w:rPr>
        <w:t>解密完成之后，点击页面上方【返回】，回到开标室页面，开标结束后自行查看开标结果。</w:t>
      </w:r>
    </w:p>
    <w:p w14:paraId="70FC2D69">
      <w:pPr>
        <w:autoSpaceDE w:val="0"/>
        <w:autoSpaceDN w:val="0"/>
        <w:adjustRightInd w:val="0"/>
        <w:snapToGrid w:val="0"/>
        <w:spacing w:line="440" w:lineRule="exact"/>
        <w:ind w:firstLine="437"/>
        <w:jc w:val="left"/>
        <w:outlineLvl w:val="9"/>
        <w:rPr>
          <w:rFonts w:hint="eastAsia" w:ascii="宋体" w:hAnsi="宋体" w:eastAsia="宋体" w:cs="宋体"/>
          <w:b/>
          <w:bCs/>
          <w:color w:val="auto"/>
          <w:kern w:val="0"/>
          <w:szCs w:val="20"/>
        </w:rPr>
      </w:pPr>
      <w:r>
        <w:rPr>
          <w:rFonts w:hint="eastAsia" w:ascii="宋体" w:hAnsi="宋体" w:eastAsia="宋体" w:cs="宋体"/>
          <w:b/>
          <w:bCs/>
          <w:color w:val="auto"/>
          <w:kern w:val="0"/>
          <w:szCs w:val="20"/>
        </w:rPr>
        <w:t>4、特别注意事项：</w:t>
      </w:r>
    </w:p>
    <w:p w14:paraId="6ED5D4F8">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1）为防止网络阻塞、不可抗力等客观原因造成不能在解密截止时间之内完成解密，建议投标人尽早完成解密。不论何种原因，在解密截止时间之内未完成解密的，视为撤回电子投标文件。由此造成的一切不利后果均由投标人自行承担。</w:t>
      </w:r>
    </w:p>
    <w:p w14:paraId="3F8DBA0B">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（2）因电子投标文件编制不规范导致无法导入评审系统或无法打开电子投标文件的，视为撤回电子投标文件。</w:t>
      </w:r>
    </w:p>
    <w:p w14:paraId="0ECC5F8F">
      <w:pPr>
        <w:autoSpaceDE w:val="0"/>
        <w:autoSpaceDN w:val="0"/>
        <w:adjustRightInd w:val="0"/>
        <w:snapToGrid w:val="0"/>
        <w:spacing w:line="440" w:lineRule="exact"/>
        <w:ind w:firstLine="437"/>
        <w:jc w:val="left"/>
        <w:outlineLvl w:val="9"/>
        <w:rPr>
          <w:rFonts w:hint="eastAsia" w:ascii="宋体" w:hAnsi="宋体" w:eastAsia="宋体" w:cs="宋体"/>
          <w:bCs/>
          <w:color w:val="auto"/>
          <w:kern w:val="0"/>
          <w:szCs w:val="20"/>
        </w:rPr>
      </w:pPr>
      <w:r>
        <w:rPr>
          <w:rFonts w:hint="eastAsia" w:ascii="宋体" w:hAnsi="宋体" w:eastAsia="宋体" w:cs="宋体"/>
          <w:bCs/>
          <w:color w:val="auto"/>
          <w:kern w:val="0"/>
          <w:szCs w:val="20"/>
        </w:rPr>
        <w:t>（3）投标人在进行澄清、说明、更正时，需自行准备电脑终端设备（电脑终端设备需具备IE9及IE9以上的浏览器和数字证书驱动）。</w:t>
      </w:r>
    </w:p>
    <w:p w14:paraId="05737D29">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六、开标时间及地点</w:t>
      </w:r>
    </w:p>
    <w:p w14:paraId="42415DD3">
      <w:pPr>
        <w:autoSpaceDE w:val="0"/>
        <w:autoSpaceDN w:val="0"/>
        <w:adjustRightInd w:val="0"/>
        <w:spacing w:line="440" w:lineRule="exact"/>
        <w:ind w:firstLine="420" w:firstLineChars="200"/>
        <w:jc w:val="left"/>
        <w:outlineLvl w:val="9"/>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开标时间：</w:t>
      </w:r>
      <w:r>
        <w:rPr>
          <w:rFonts w:hint="eastAsia" w:ascii="宋体" w:hAnsi="宋体" w:eastAsia="宋体" w:cs="宋体"/>
          <w:bCs/>
          <w:color w:val="auto"/>
          <w:kern w:val="0"/>
          <w:szCs w:val="20"/>
          <w:highlight w:val="none"/>
          <w:lang w:val="zh-CN"/>
        </w:rPr>
        <w:t>202</w:t>
      </w:r>
      <w:r>
        <w:rPr>
          <w:rFonts w:hint="eastAsia" w:ascii="宋体" w:hAnsi="宋体" w:eastAsia="宋体" w:cs="宋体"/>
          <w:bCs/>
          <w:color w:val="auto"/>
          <w:kern w:val="0"/>
          <w:szCs w:val="20"/>
          <w:highlight w:val="none"/>
        </w:rPr>
        <w:t>5</w:t>
      </w:r>
      <w:r>
        <w:rPr>
          <w:rFonts w:hint="eastAsia" w:ascii="宋体" w:hAnsi="宋体" w:eastAsia="宋体" w:cs="宋体"/>
          <w:bCs/>
          <w:color w:val="auto"/>
          <w:kern w:val="0"/>
          <w:szCs w:val="20"/>
          <w:highlight w:val="none"/>
          <w:lang w:val="zh-CN"/>
        </w:rPr>
        <w:t>年</w:t>
      </w:r>
      <w:r>
        <w:rPr>
          <w:rFonts w:hint="eastAsia" w:ascii="宋体" w:hAnsi="宋体" w:eastAsia="宋体" w:cs="宋体"/>
          <w:bCs/>
          <w:color w:val="auto"/>
          <w:kern w:val="0"/>
          <w:szCs w:val="20"/>
          <w:highlight w:val="none"/>
          <w:u w:val="single"/>
        </w:rPr>
        <w:t xml:space="preserve"> </w:t>
      </w:r>
      <w:r>
        <w:rPr>
          <w:rFonts w:hint="eastAsia" w:ascii="宋体" w:hAnsi="宋体" w:eastAsia="宋体" w:cs="宋体"/>
          <w:bCs/>
          <w:color w:val="auto"/>
          <w:kern w:val="0"/>
          <w:szCs w:val="20"/>
          <w:highlight w:val="none"/>
          <w:u w:val="single"/>
          <w:lang w:val="en-US" w:eastAsia="zh-CN"/>
        </w:rPr>
        <w:t>12</w:t>
      </w:r>
      <w:r>
        <w:rPr>
          <w:rFonts w:hint="eastAsia" w:ascii="宋体" w:hAnsi="宋体" w:eastAsia="宋体" w:cs="宋体"/>
          <w:bCs/>
          <w:color w:val="auto"/>
          <w:kern w:val="0"/>
          <w:szCs w:val="20"/>
          <w:highlight w:val="none"/>
          <w:u w:val="single"/>
        </w:rPr>
        <w:t xml:space="preserve"> </w:t>
      </w:r>
      <w:r>
        <w:rPr>
          <w:rFonts w:hint="eastAsia" w:ascii="宋体" w:hAnsi="宋体" w:eastAsia="宋体" w:cs="宋体"/>
          <w:bCs/>
          <w:color w:val="auto"/>
          <w:kern w:val="0"/>
          <w:szCs w:val="20"/>
          <w:highlight w:val="none"/>
          <w:lang w:val="zh-CN"/>
        </w:rPr>
        <w:t>月</w:t>
      </w:r>
      <w:r>
        <w:rPr>
          <w:rFonts w:hint="eastAsia" w:ascii="宋体" w:hAnsi="宋体" w:eastAsia="宋体" w:cs="宋体"/>
          <w:bCs/>
          <w:color w:val="auto"/>
          <w:kern w:val="0"/>
          <w:szCs w:val="20"/>
          <w:highlight w:val="none"/>
          <w:u w:val="single"/>
        </w:rPr>
        <w:t xml:space="preserve"> </w:t>
      </w:r>
      <w:r>
        <w:rPr>
          <w:rFonts w:hint="eastAsia" w:ascii="宋体" w:hAnsi="宋体" w:eastAsia="宋体" w:cs="宋体"/>
          <w:bCs/>
          <w:color w:val="auto"/>
          <w:kern w:val="0"/>
          <w:szCs w:val="20"/>
          <w:highlight w:val="none"/>
          <w:u w:val="single"/>
          <w:lang w:val="en-US" w:eastAsia="zh-CN"/>
        </w:rPr>
        <w:t>30</w:t>
      </w:r>
      <w:r>
        <w:rPr>
          <w:rFonts w:hint="eastAsia" w:ascii="宋体" w:hAnsi="宋体" w:eastAsia="宋体" w:cs="宋体"/>
          <w:bCs/>
          <w:color w:val="auto"/>
          <w:kern w:val="0"/>
          <w:szCs w:val="20"/>
          <w:highlight w:val="none"/>
          <w:u w:val="single"/>
        </w:rPr>
        <w:t xml:space="preserve"> </w:t>
      </w:r>
      <w:r>
        <w:rPr>
          <w:rFonts w:hint="eastAsia" w:ascii="宋体" w:hAnsi="宋体" w:eastAsia="宋体" w:cs="宋体"/>
          <w:bCs/>
          <w:color w:val="auto"/>
          <w:kern w:val="0"/>
          <w:szCs w:val="20"/>
          <w:highlight w:val="none"/>
          <w:lang w:val="zh-CN"/>
        </w:rPr>
        <w:t>日</w:t>
      </w:r>
      <w:r>
        <w:rPr>
          <w:rFonts w:hint="eastAsia" w:ascii="宋体" w:hAnsi="宋体" w:eastAsia="宋体" w:cs="宋体"/>
          <w:bCs/>
          <w:color w:val="auto"/>
          <w:kern w:val="0"/>
          <w:szCs w:val="20"/>
          <w:highlight w:val="none"/>
          <w:u w:val="single"/>
        </w:rPr>
        <w:t xml:space="preserve"> 9 </w:t>
      </w:r>
      <w:r>
        <w:rPr>
          <w:rFonts w:hint="eastAsia" w:ascii="宋体" w:hAnsi="宋体" w:eastAsia="宋体" w:cs="宋体"/>
          <w:bCs/>
          <w:color w:val="auto"/>
          <w:kern w:val="0"/>
          <w:szCs w:val="20"/>
          <w:highlight w:val="none"/>
        </w:rPr>
        <w:t xml:space="preserve"> </w:t>
      </w:r>
      <w:r>
        <w:rPr>
          <w:rFonts w:hint="eastAsia" w:ascii="宋体" w:hAnsi="宋体" w:eastAsia="宋体" w:cs="宋体"/>
          <w:bCs/>
          <w:color w:val="auto"/>
          <w:kern w:val="0"/>
          <w:szCs w:val="20"/>
          <w:highlight w:val="none"/>
          <w:lang w:val="zh-CN"/>
        </w:rPr>
        <w:t>时</w:t>
      </w:r>
      <w:r>
        <w:rPr>
          <w:rFonts w:hint="eastAsia" w:ascii="宋体" w:hAnsi="宋体" w:eastAsia="宋体" w:cs="宋体"/>
          <w:bCs/>
          <w:color w:val="auto"/>
          <w:kern w:val="0"/>
          <w:szCs w:val="20"/>
          <w:highlight w:val="none"/>
          <w:u w:val="single"/>
        </w:rPr>
        <w:t xml:space="preserve"> 00 </w:t>
      </w:r>
      <w:r>
        <w:rPr>
          <w:rFonts w:hint="eastAsia" w:ascii="宋体" w:hAnsi="宋体" w:eastAsia="宋体" w:cs="宋体"/>
          <w:bCs/>
          <w:color w:val="auto"/>
          <w:kern w:val="0"/>
          <w:szCs w:val="20"/>
          <w:highlight w:val="none"/>
          <w:lang w:val="zh-CN"/>
        </w:rPr>
        <w:t>分</w:t>
      </w:r>
      <w:r>
        <w:rPr>
          <w:rFonts w:hint="eastAsia" w:ascii="宋体" w:hAnsi="宋体" w:eastAsia="宋体" w:cs="宋体"/>
          <w:bCs/>
          <w:color w:val="auto"/>
          <w:kern w:val="0"/>
          <w:szCs w:val="20"/>
          <w:lang w:val="zh-CN"/>
        </w:rPr>
        <w:t>。</w:t>
      </w:r>
    </w:p>
    <w:p w14:paraId="624D0B56">
      <w:pPr>
        <w:autoSpaceDE w:val="0"/>
        <w:autoSpaceDN w:val="0"/>
        <w:adjustRightInd w:val="0"/>
        <w:spacing w:line="440" w:lineRule="exact"/>
        <w:ind w:firstLine="420" w:firstLineChars="200"/>
        <w:jc w:val="left"/>
        <w:outlineLvl w:val="9"/>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开标方式：</w:t>
      </w:r>
      <w:r>
        <w:rPr>
          <w:rFonts w:hint="eastAsia" w:ascii="宋体" w:hAnsi="宋体" w:eastAsia="宋体" w:cs="宋体"/>
          <w:bCs/>
          <w:color w:val="auto"/>
          <w:kern w:val="0"/>
          <w:szCs w:val="20"/>
        </w:rPr>
        <w:t>全国公共资源交易平台（山西省·临汾市）线上开标</w:t>
      </w:r>
    </w:p>
    <w:p w14:paraId="58E318BF">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七、提交投标保证金的形式</w:t>
      </w:r>
    </w:p>
    <w:p w14:paraId="7CDC80F9">
      <w:pPr>
        <w:autoSpaceDE w:val="0"/>
        <w:autoSpaceDN w:val="0"/>
        <w:adjustRightInd w:val="0"/>
        <w:spacing w:line="440" w:lineRule="exact"/>
        <w:ind w:firstLine="420" w:firstLineChars="200"/>
        <w:jc w:val="left"/>
        <w:outlineLvl w:val="9"/>
        <w:rPr>
          <w:rFonts w:hint="eastAsia" w:ascii="宋体" w:hAnsi="宋体" w:eastAsia="宋体" w:cs="宋体"/>
          <w:b/>
          <w:bCs/>
          <w:color w:val="auto"/>
          <w:kern w:val="0"/>
          <w:szCs w:val="21"/>
          <w:shd w:val="clear" w:color="auto" w:fill="FFFFFF"/>
        </w:rPr>
      </w:pPr>
      <w:r>
        <w:rPr>
          <w:rFonts w:hint="eastAsia" w:ascii="宋体" w:hAnsi="宋体" w:eastAsia="宋体" w:cs="宋体"/>
          <w:color w:val="auto"/>
          <w:kern w:val="2"/>
          <w:szCs w:val="21"/>
        </w:rPr>
        <w:t>本项目可以采用现金或银行保函、保证保险、担保机构保函、电子保函等非现金交易担保方式提交投标保证金。</w:t>
      </w:r>
    </w:p>
    <w:p w14:paraId="736B4DFA">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八、提出异议的渠道和方式</w:t>
      </w:r>
    </w:p>
    <w:p w14:paraId="569A18B7">
      <w:pPr>
        <w:autoSpaceDE w:val="0"/>
        <w:autoSpaceDN w:val="0"/>
        <w:adjustRightInd w:val="0"/>
        <w:spacing w:line="440" w:lineRule="exact"/>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rPr>
        <w:t>提出异议的渠道：纸质方式提出。</w:t>
      </w:r>
    </w:p>
    <w:p w14:paraId="6B122181">
      <w:pPr>
        <w:autoSpaceDE w:val="0"/>
        <w:autoSpaceDN w:val="0"/>
        <w:adjustRightInd w:val="0"/>
        <w:spacing w:line="440" w:lineRule="exact"/>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rPr>
        <w:t>接收异议的联系人：李兴贤</w:t>
      </w:r>
    </w:p>
    <w:p w14:paraId="0241CA5A">
      <w:pPr>
        <w:autoSpaceDE w:val="0"/>
        <w:autoSpaceDN w:val="0"/>
        <w:adjustRightInd w:val="0"/>
        <w:spacing w:line="440" w:lineRule="exact"/>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rPr>
        <w:t>联系电话：0357-3407881</w:t>
      </w:r>
    </w:p>
    <w:p w14:paraId="5EA7F544">
      <w:pPr>
        <w:autoSpaceDE w:val="0"/>
        <w:autoSpaceDN w:val="0"/>
        <w:adjustRightInd w:val="0"/>
        <w:spacing w:line="440" w:lineRule="exact"/>
        <w:ind w:firstLine="420" w:firstLineChars="200"/>
        <w:jc w:val="left"/>
        <w:outlineLvl w:val="9"/>
        <w:rPr>
          <w:rFonts w:hint="eastAsia" w:ascii="宋体" w:hAnsi="宋体" w:eastAsia="宋体" w:cs="宋体"/>
          <w:color w:val="auto"/>
          <w:kern w:val="2"/>
          <w:szCs w:val="21"/>
        </w:rPr>
      </w:pPr>
      <w:r>
        <w:rPr>
          <w:rFonts w:hint="eastAsia" w:ascii="宋体" w:hAnsi="宋体" w:eastAsia="宋体" w:cs="宋体"/>
          <w:color w:val="auto"/>
          <w:kern w:val="2"/>
          <w:szCs w:val="21"/>
        </w:rPr>
        <w:t>电子邮箱：</w:t>
      </w:r>
      <w:r>
        <w:rPr>
          <w:rFonts w:hint="eastAsia" w:ascii="宋体" w:hAnsi="宋体" w:eastAsia="宋体" w:cs="宋体"/>
          <w:bCs/>
          <w:color w:val="auto"/>
          <w:kern w:val="2"/>
          <w:szCs w:val="21"/>
          <w:highlight w:val="none"/>
        </w:rPr>
        <w:t>654069107@qq.com</w:t>
      </w:r>
    </w:p>
    <w:p w14:paraId="7F4984BD">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九、其他公示内容</w:t>
      </w:r>
    </w:p>
    <w:p w14:paraId="2122FB69">
      <w:pPr>
        <w:widowControl/>
        <w:overflowPunct w:val="0"/>
        <w:autoSpaceDE w:val="0"/>
        <w:autoSpaceDN w:val="0"/>
        <w:adjustRightInd w:val="0"/>
        <w:spacing w:line="440" w:lineRule="exact"/>
        <w:ind w:firstLine="420"/>
        <w:jc w:val="both"/>
        <w:textAlignment w:val="baseline"/>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9.1本次采用资格后审双信封合理低价法。</w:t>
      </w:r>
    </w:p>
    <w:p w14:paraId="4C4C8106">
      <w:pPr>
        <w:widowControl/>
        <w:overflowPunct w:val="0"/>
        <w:autoSpaceDE w:val="0"/>
        <w:autoSpaceDN w:val="0"/>
        <w:adjustRightInd w:val="0"/>
        <w:spacing w:line="440" w:lineRule="exact"/>
        <w:ind w:firstLine="420"/>
        <w:jc w:val="both"/>
        <w:textAlignment w:val="baseline"/>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9.2本次招标公告在《山西省招标投标公共服务平台》、《全国公共资源交易平台（山西省·临汾市）》、《山西省交通运输厅网》上发布。</w:t>
      </w:r>
    </w:p>
    <w:p w14:paraId="76BA6702">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十、监督部门</w:t>
      </w:r>
    </w:p>
    <w:p w14:paraId="36CC776D">
      <w:pPr>
        <w:widowControl/>
        <w:tabs>
          <w:tab w:val="left" w:pos="7965"/>
        </w:tabs>
        <w:autoSpaceDE w:val="0"/>
        <w:autoSpaceDN w:val="0"/>
        <w:adjustRightInd w:val="0"/>
        <w:spacing w:line="440" w:lineRule="exact"/>
        <w:ind w:firstLine="420" w:firstLineChars="200"/>
        <w:jc w:val="left"/>
        <w:textAlignment w:val="baseline"/>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本招标项目的监督部门为：临汾市交通运输局</w:t>
      </w:r>
    </w:p>
    <w:p w14:paraId="16D3FBCF">
      <w:pPr>
        <w:widowControl/>
        <w:tabs>
          <w:tab w:val="left" w:pos="7965"/>
        </w:tabs>
        <w:autoSpaceDE w:val="0"/>
        <w:autoSpaceDN w:val="0"/>
        <w:adjustRightInd w:val="0"/>
        <w:spacing w:line="440" w:lineRule="exact"/>
        <w:ind w:firstLine="420" w:firstLineChars="200"/>
        <w:jc w:val="left"/>
        <w:textAlignment w:val="baseline"/>
        <w:outlineLvl w:val="9"/>
        <w:rPr>
          <w:rFonts w:hint="eastAsia" w:ascii="宋体" w:hAnsi="宋体" w:eastAsia="宋体" w:cs="宋体"/>
          <w:color w:val="auto"/>
          <w:kern w:val="0"/>
          <w:szCs w:val="21"/>
        </w:rPr>
      </w:pPr>
      <w:r>
        <w:rPr>
          <w:rFonts w:hint="eastAsia" w:ascii="宋体" w:hAnsi="宋体" w:eastAsia="宋体" w:cs="宋体"/>
          <w:color w:val="auto"/>
          <w:kern w:val="0"/>
          <w:szCs w:val="21"/>
        </w:rPr>
        <w:t>联系人：侯向峰</w:t>
      </w:r>
    </w:p>
    <w:p w14:paraId="03FE9522">
      <w:pPr>
        <w:widowControl/>
        <w:tabs>
          <w:tab w:val="left" w:pos="7965"/>
        </w:tabs>
        <w:autoSpaceDE w:val="0"/>
        <w:autoSpaceDN w:val="0"/>
        <w:adjustRightInd w:val="0"/>
        <w:spacing w:line="440" w:lineRule="exact"/>
        <w:ind w:firstLine="420" w:firstLineChars="200"/>
        <w:jc w:val="left"/>
        <w:textAlignment w:val="baseline"/>
        <w:outlineLvl w:val="9"/>
        <w:rPr>
          <w:rFonts w:hint="eastAsia" w:ascii="宋体" w:hAnsi="宋体" w:eastAsia="宋体" w:cs="宋体"/>
          <w:color w:val="auto"/>
          <w:kern w:val="0"/>
          <w:szCs w:val="21"/>
        </w:rPr>
      </w:pPr>
      <w:r>
        <w:rPr>
          <w:rFonts w:hint="eastAsia" w:ascii="宋体" w:hAnsi="宋体" w:eastAsia="宋体" w:cs="宋体"/>
          <w:color w:val="auto"/>
          <w:kern w:val="0"/>
          <w:szCs w:val="21"/>
        </w:rPr>
        <w:t>联系电话：15935762829</w:t>
      </w:r>
    </w:p>
    <w:p w14:paraId="738EF2E6">
      <w:pPr>
        <w:widowControl/>
        <w:tabs>
          <w:tab w:val="left" w:pos="7965"/>
        </w:tabs>
        <w:autoSpaceDE w:val="0"/>
        <w:autoSpaceDN w:val="0"/>
        <w:adjustRightInd w:val="0"/>
        <w:spacing w:line="464" w:lineRule="exact"/>
        <w:ind w:firstLine="420" w:firstLineChars="200"/>
        <w:jc w:val="left"/>
        <w:textAlignment w:val="baseline"/>
        <w:outlineLvl w:val="9"/>
        <w:rPr>
          <w:rFonts w:ascii="宋体" w:hAnsi="Times New Roman" w:eastAsia="宋体" w:cs="Times New Roman"/>
          <w:kern w:val="0"/>
          <w:szCs w:val="21"/>
        </w:rPr>
      </w:pPr>
      <w:r>
        <w:rPr>
          <w:rFonts w:hint="eastAsia" w:ascii="宋体" w:hAnsi="Times New Roman" w:eastAsia="宋体" w:cs="Times New Roman"/>
          <w:kern w:val="0"/>
          <w:szCs w:val="21"/>
        </w:rPr>
        <w:t>电子邮件：3924266510@qq.com</w:t>
      </w:r>
    </w:p>
    <w:p w14:paraId="737F1A80">
      <w:pPr>
        <w:widowControl w:val="0"/>
        <w:overflowPunct/>
        <w:autoSpaceDE/>
        <w:autoSpaceDN/>
        <w:adjustRightInd/>
        <w:spacing w:line="440" w:lineRule="exact"/>
        <w:textAlignment w:val="auto"/>
        <w:outlineLvl w:val="9"/>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十一、联系方式</w:t>
      </w:r>
    </w:p>
    <w:p w14:paraId="46C6A293">
      <w:pPr>
        <w:widowControl/>
        <w:tabs>
          <w:tab w:val="left" w:pos="7965"/>
        </w:tabs>
        <w:autoSpaceDE w:val="0"/>
        <w:autoSpaceDN w:val="0"/>
        <w:adjustRightInd w:val="0"/>
        <w:spacing w:line="440" w:lineRule="exact"/>
        <w:ind w:firstLine="420" w:firstLineChars="200"/>
        <w:jc w:val="left"/>
        <w:textAlignment w:val="baseline"/>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招标人：翼城县交通运输局</w:t>
      </w:r>
    </w:p>
    <w:p w14:paraId="25E8CFBE">
      <w:pPr>
        <w:widowControl/>
        <w:tabs>
          <w:tab w:val="left" w:pos="7965"/>
        </w:tabs>
        <w:autoSpaceDE w:val="0"/>
        <w:autoSpaceDN w:val="0"/>
        <w:adjustRightInd w:val="0"/>
        <w:spacing w:line="440" w:lineRule="exact"/>
        <w:ind w:firstLine="420" w:firstLineChars="200"/>
        <w:jc w:val="left"/>
        <w:textAlignment w:val="baseline"/>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地  址：翼城县晋禹路11号</w:t>
      </w:r>
    </w:p>
    <w:p w14:paraId="6DA6F1BB">
      <w:pPr>
        <w:widowControl/>
        <w:tabs>
          <w:tab w:val="left" w:pos="7965"/>
        </w:tabs>
        <w:autoSpaceDE w:val="0"/>
        <w:autoSpaceDN w:val="0"/>
        <w:adjustRightInd w:val="0"/>
        <w:spacing w:line="440" w:lineRule="exact"/>
        <w:ind w:firstLine="420" w:firstLineChars="200"/>
        <w:jc w:val="left"/>
        <w:textAlignment w:val="baseline"/>
        <w:outlineLvl w:val="9"/>
        <w:rPr>
          <w:rFonts w:hint="eastAsia" w:ascii="宋体" w:hAnsi="宋体" w:eastAsia="宋体" w:cs="宋体"/>
          <w:color w:val="auto"/>
          <w:kern w:val="0"/>
          <w:szCs w:val="21"/>
        </w:rPr>
      </w:pPr>
      <w:r>
        <w:rPr>
          <w:rFonts w:hint="eastAsia" w:ascii="宋体" w:hAnsi="宋体" w:eastAsia="宋体" w:cs="宋体"/>
          <w:color w:val="auto"/>
          <w:kern w:val="0"/>
          <w:szCs w:val="21"/>
        </w:rPr>
        <w:t>联系人：李兴贤</w:t>
      </w:r>
    </w:p>
    <w:p w14:paraId="5D4F2B3E">
      <w:pPr>
        <w:widowControl/>
        <w:tabs>
          <w:tab w:val="left" w:pos="7965"/>
        </w:tabs>
        <w:autoSpaceDE w:val="0"/>
        <w:autoSpaceDN w:val="0"/>
        <w:adjustRightInd w:val="0"/>
        <w:spacing w:line="440" w:lineRule="exact"/>
        <w:ind w:firstLine="420" w:firstLineChars="200"/>
        <w:jc w:val="left"/>
        <w:textAlignment w:val="baseline"/>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电  话</w:t>
      </w:r>
      <w:r>
        <w:rPr>
          <w:rFonts w:hint="eastAsia" w:ascii="宋体" w:hAnsi="宋体" w:eastAsia="宋体" w:cs="宋体"/>
          <w:bCs/>
          <w:color w:val="auto"/>
          <w:kern w:val="2"/>
          <w:szCs w:val="21"/>
        </w:rPr>
        <w:t>：0357-3407881</w:t>
      </w:r>
    </w:p>
    <w:p w14:paraId="00BFD895">
      <w:pPr>
        <w:widowControl w:val="0"/>
        <w:autoSpaceDE/>
        <w:autoSpaceDN/>
        <w:adjustRightInd/>
        <w:spacing w:line="440" w:lineRule="exact"/>
        <w:ind w:firstLine="420" w:firstLineChars="200"/>
        <w:jc w:val="both"/>
        <w:outlineLvl w:val="9"/>
        <w:rPr>
          <w:rFonts w:hint="eastAsia" w:ascii="宋体" w:hAnsi="宋体" w:eastAsia="宋体" w:cs="宋体"/>
          <w:color w:val="auto"/>
          <w:sz w:val="21"/>
          <w:lang w:val="en-US" w:eastAsia="zh-CN" w:bidi="ar-SA"/>
        </w:rPr>
      </w:pPr>
      <w:r>
        <w:rPr>
          <w:rFonts w:hint="eastAsia" w:ascii="宋体" w:hAnsi="宋体" w:eastAsia="宋体" w:cs="宋体"/>
          <w:color w:val="auto"/>
          <w:kern w:val="2"/>
          <w:sz w:val="21"/>
          <w:szCs w:val="21"/>
          <w:lang w:val="en-US" w:eastAsia="zh-CN" w:bidi="ar-SA"/>
        </w:rPr>
        <w:t>电子邮件：</w:t>
      </w:r>
      <w:r>
        <w:rPr>
          <w:rFonts w:hint="eastAsia" w:ascii="宋体" w:hAnsi="宋体" w:eastAsia="宋体" w:cs="宋体"/>
          <w:bCs/>
          <w:color w:val="auto"/>
          <w:kern w:val="2"/>
          <w:sz w:val="21"/>
          <w:szCs w:val="21"/>
          <w:highlight w:val="none"/>
          <w:lang w:val="en-US" w:eastAsia="zh-CN" w:bidi="ar-SA"/>
        </w:rPr>
        <w:t>654069107@qq.com</w:t>
      </w:r>
    </w:p>
    <w:p w14:paraId="2123E1CE">
      <w:pPr>
        <w:autoSpaceDE w:val="0"/>
        <w:autoSpaceDN w:val="0"/>
        <w:adjustRightInd w:val="0"/>
        <w:spacing w:line="440" w:lineRule="exact"/>
        <w:ind w:firstLine="420" w:firstLineChars="200"/>
        <w:jc w:val="left"/>
        <w:outlineLvl w:val="9"/>
        <w:rPr>
          <w:rFonts w:hint="eastAsia" w:ascii="宋体" w:hAnsi="宋体" w:eastAsia="宋体" w:cs="宋体"/>
          <w:color w:val="auto"/>
          <w:kern w:val="0"/>
          <w:szCs w:val="21"/>
          <w:shd w:val="clear" w:color="auto" w:fill="FFFFFF"/>
          <w:lang w:eastAsia="zh-CN"/>
        </w:rPr>
      </w:pPr>
      <w:r>
        <w:rPr>
          <w:rFonts w:hint="eastAsia" w:ascii="宋体" w:hAnsi="宋体" w:eastAsia="宋体" w:cs="宋体"/>
          <w:color w:val="auto"/>
          <w:kern w:val="0"/>
          <w:szCs w:val="21"/>
          <w:shd w:val="clear" w:color="auto" w:fill="FFFFFF"/>
        </w:rPr>
        <w:t>招标代理机构：</w:t>
      </w:r>
      <w:r>
        <w:rPr>
          <w:rFonts w:hint="eastAsia" w:ascii="宋体" w:hAnsi="宋体" w:eastAsia="宋体" w:cs="宋体"/>
          <w:color w:val="auto"/>
          <w:kern w:val="0"/>
          <w:szCs w:val="21"/>
          <w:shd w:val="clear" w:color="auto" w:fill="FFFFFF"/>
          <w:lang w:eastAsia="zh-CN"/>
        </w:rPr>
        <w:t>山西陆鼎元项目管理有限公司</w:t>
      </w:r>
    </w:p>
    <w:p w14:paraId="239B3E2A">
      <w:pPr>
        <w:autoSpaceDE/>
        <w:autoSpaceDN/>
        <w:adjustRightInd w:val="0"/>
        <w:snapToGrid w:val="0"/>
        <w:spacing w:line="440" w:lineRule="exact"/>
        <w:ind w:firstLine="420" w:firstLineChars="200"/>
        <w:jc w:val="left"/>
        <w:outlineLvl w:val="9"/>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地址：</w:t>
      </w:r>
      <w:r>
        <w:rPr>
          <w:rFonts w:hint="eastAsia" w:ascii="宋体" w:hAnsi="宋体" w:eastAsia="宋体" w:cs="宋体"/>
          <w:color w:val="auto"/>
          <w:kern w:val="0"/>
          <w:szCs w:val="21"/>
          <w:shd w:val="clear" w:color="auto" w:fill="FFFFFF"/>
          <w:lang w:val="zh-CN"/>
        </w:rPr>
        <w:t>山西省临汾市尧都区鼓楼西街道三星凤凰府四号楼一单元1003室</w:t>
      </w:r>
    </w:p>
    <w:p w14:paraId="5C7E3B3C">
      <w:pPr>
        <w:autoSpaceDE/>
        <w:autoSpaceDN/>
        <w:adjustRightInd w:val="0"/>
        <w:snapToGrid w:val="0"/>
        <w:spacing w:line="440" w:lineRule="exact"/>
        <w:ind w:firstLine="420" w:firstLineChars="200"/>
        <w:jc w:val="left"/>
        <w:outlineLvl w:val="9"/>
        <w:rPr>
          <w:rFonts w:hint="eastAsia" w:ascii="宋体" w:hAnsi="宋体" w:eastAsia="宋体" w:cs="宋体"/>
          <w:color w:val="auto"/>
          <w:kern w:val="0"/>
          <w:szCs w:val="21"/>
          <w:shd w:val="clear" w:color="auto" w:fill="FFFFFF"/>
          <w:lang w:eastAsia="zh-CN"/>
        </w:rPr>
      </w:pPr>
      <w:r>
        <w:rPr>
          <w:rFonts w:hint="eastAsia" w:ascii="宋体" w:hAnsi="宋体" w:eastAsia="宋体" w:cs="宋体"/>
          <w:color w:val="auto"/>
          <w:kern w:val="0"/>
          <w:szCs w:val="21"/>
          <w:shd w:val="clear" w:color="auto" w:fill="FFFFFF"/>
        </w:rPr>
        <w:t>联系人：</w:t>
      </w:r>
      <w:r>
        <w:rPr>
          <w:rFonts w:hint="eastAsia" w:ascii="宋体" w:hAnsi="宋体" w:eastAsia="宋体" w:cs="宋体"/>
          <w:color w:val="auto"/>
          <w:kern w:val="0"/>
          <w:szCs w:val="21"/>
          <w:shd w:val="clear" w:color="auto" w:fill="FFFFFF"/>
          <w:lang w:eastAsia="zh-CN"/>
        </w:rPr>
        <w:t>王超</w:t>
      </w:r>
    </w:p>
    <w:p w14:paraId="134886C0">
      <w:pPr>
        <w:autoSpaceDE/>
        <w:autoSpaceDN/>
        <w:adjustRightInd w:val="0"/>
        <w:snapToGrid w:val="0"/>
        <w:spacing w:line="440" w:lineRule="exact"/>
        <w:ind w:firstLine="420" w:firstLineChars="200"/>
        <w:jc w:val="left"/>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0"/>
          <w:szCs w:val="21"/>
          <w:shd w:val="clear" w:color="auto" w:fill="FFFFFF"/>
        </w:rPr>
        <w:t>联系电</w:t>
      </w:r>
      <w:r>
        <w:rPr>
          <w:rFonts w:hint="eastAsia" w:ascii="宋体" w:hAnsi="宋体" w:eastAsia="宋体" w:cs="宋体"/>
          <w:bCs/>
          <w:color w:val="auto"/>
          <w:kern w:val="2"/>
          <w:sz w:val="21"/>
          <w:szCs w:val="21"/>
          <w:lang w:val="en-US" w:eastAsia="zh-CN" w:bidi="ar-SA"/>
        </w:rPr>
        <w:t>话：15835736847</w:t>
      </w:r>
    </w:p>
    <w:p w14:paraId="736994D7">
      <w:pPr>
        <w:autoSpaceDE/>
        <w:autoSpaceDN/>
        <w:adjustRightInd w:val="0"/>
        <w:snapToGrid w:val="0"/>
        <w:spacing w:line="440" w:lineRule="exact"/>
        <w:ind w:firstLine="420" w:firstLineChars="200"/>
        <w:jc w:val="left"/>
        <w:outlineLvl w:val="9"/>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电子邮箱：Sxldy123456@163.com</w:t>
      </w:r>
    </w:p>
    <w:p w14:paraId="62F5F953">
      <w:pPr>
        <w:autoSpaceDE/>
        <w:autoSpaceDN/>
        <w:adjustRightInd w:val="0"/>
        <w:snapToGrid w:val="0"/>
        <w:spacing w:line="440" w:lineRule="exact"/>
        <w:ind w:firstLine="420" w:firstLineChars="200"/>
        <w:jc w:val="left"/>
        <w:outlineLvl w:val="9"/>
        <w:rPr>
          <w:rFonts w:hint="eastAsia" w:ascii="宋体" w:hAnsi="宋体" w:eastAsia="宋体" w:cs="宋体"/>
          <w:bCs/>
          <w:color w:val="auto"/>
          <w:kern w:val="2"/>
          <w:sz w:val="21"/>
          <w:szCs w:val="21"/>
          <w:lang w:val="en-US" w:eastAsia="zh-CN" w:bidi="ar-SA"/>
        </w:rPr>
      </w:pPr>
    </w:p>
    <w:p w14:paraId="1B80673E">
      <w:pPr>
        <w:rPr>
          <w:rFonts w:hint="eastAsia" w:ascii="宋体" w:hAnsi="宋体" w:eastAsia="宋体" w:cs="宋体"/>
          <w:bCs/>
          <w:color w:val="auto"/>
          <w:kern w:val="2"/>
          <w:sz w:val="21"/>
          <w:szCs w:val="21"/>
          <w:lang w:val="en-US" w:eastAsia="zh-CN" w:bidi="ar-SA"/>
        </w:rPr>
      </w:pPr>
    </w:p>
    <w:p w14:paraId="4FEE7C1D">
      <w:pP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br w:type="page"/>
      </w:r>
    </w:p>
    <w:p w14:paraId="5835A05B">
      <w:pPr>
        <w:keepNext/>
        <w:widowControl w:val="0"/>
        <w:wordWrap w:val="0"/>
        <w:autoSpaceDE/>
        <w:autoSpaceDN/>
        <w:adjustRightInd/>
        <w:spacing w:line="240" w:lineRule="auto"/>
        <w:jc w:val="center"/>
        <w:outlineLvl w:val="1"/>
        <w:rPr>
          <w:rFonts w:hint="eastAsia" w:ascii="宋体" w:hAnsi="宋体" w:eastAsia="宋体" w:cs="宋体"/>
          <w:b/>
          <w:bCs/>
          <w:color w:val="FF0000"/>
          <w:kern w:val="2"/>
          <w:sz w:val="44"/>
          <w:szCs w:val="44"/>
          <w:lang w:val="en-US" w:eastAsia="zh-CN" w:bidi="ar-SA"/>
        </w:rPr>
      </w:pPr>
      <w:r>
        <w:rPr>
          <w:rFonts w:hint="eastAsia" w:ascii="宋体" w:hAnsi="宋体" w:eastAsia="宋体" w:cs="宋体"/>
          <w:b/>
          <w:bCs/>
          <w:color w:val="auto"/>
          <w:kern w:val="2"/>
          <w:sz w:val="44"/>
          <w:szCs w:val="44"/>
          <w:lang w:val="en-US" w:eastAsia="zh-CN" w:bidi="ar-SA"/>
        </w:rPr>
        <w:t>评标办法（双信封合理低价法）</w:t>
      </w:r>
    </w:p>
    <w:p w14:paraId="25A0217F">
      <w:pPr>
        <w:autoSpaceDE w:val="0"/>
        <w:autoSpaceDN w:val="0"/>
        <w:adjustRightInd w:val="0"/>
        <w:spacing w:line="315" w:lineRule="atLeast"/>
        <w:jc w:val="left"/>
        <w:rPr>
          <w:rFonts w:hint="eastAsia" w:ascii="宋体" w:hAnsi="宋体" w:eastAsia="宋体" w:cs="宋体"/>
          <w:b/>
          <w:kern w:val="0"/>
          <w:szCs w:val="21"/>
        </w:rPr>
      </w:pPr>
      <w:r>
        <w:rPr>
          <w:rFonts w:hint="eastAsia" w:ascii="宋体" w:hAnsi="宋体" w:eastAsia="宋体" w:cs="宋体"/>
          <w:b/>
          <w:kern w:val="0"/>
          <w:szCs w:val="21"/>
        </w:rPr>
        <w:t>评标办法前附表</w:t>
      </w: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68"/>
        <w:gridCol w:w="6711"/>
      </w:tblGrid>
      <w:tr w14:paraId="44BE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58" w:type="pct"/>
            <w:gridSpan w:val="2"/>
            <w:noWrap w:val="0"/>
            <w:vAlign w:val="top"/>
          </w:tcPr>
          <w:p w14:paraId="6C6A0366">
            <w:pPr>
              <w:autoSpaceDE w:val="0"/>
              <w:autoSpaceDN w:val="0"/>
              <w:adjustRightInd w:val="0"/>
              <w:spacing w:line="315" w:lineRule="atLeast"/>
              <w:jc w:val="center"/>
              <w:rPr>
                <w:rFonts w:hint="eastAsia" w:ascii="宋体" w:hAnsi="宋体" w:eastAsia="宋体" w:cs="宋体"/>
                <w:kern w:val="0"/>
                <w:szCs w:val="24"/>
                <w:lang w:eastAsia="zh-CN"/>
              </w:rPr>
            </w:pPr>
            <w:r>
              <w:rPr>
                <w:rFonts w:hint="eastAsia" w:ascii="宋体" w:hAnsi="宋体" w:eastAsia="宋体" w:cs="宋体"/>
                <w:b/>
                <w:bCs/>
                <w:kern w:val="0"/>
                <w:szCs w:val="24"/>
                <w:lang w:eastAsia="zh-CN"/>
              </w:rPr>
              <w:t>条款号</w:t>
            </w:r>
          </w:p>
        </w:tc>
        <w:tc>
          <w:tcPr>
            <w:tcW w:w="3941" w:type="pct"/>
            <w:noWrap w:val="0"/>
            <w:vAlign w:val="top"/>
          </w:tcPr>
          <w:p w14:paraId="3B30909C">
            <w:pPr>
              <w:autoSpaceDE w:val="0"/>
              <w:autoSpaceDN w:val="0"/>
              <w:adjustRightInd w:val="0"/>
              <w:spacing w:line="315" w:lineRule="atLeast"/>
              <w:jc w:val="center"/>
              <w:rPr>
                <w:rFonts w:hint="eastAsia" w:ascii="宋体" w:hAnsi="宋体" w:eastAsia="宋体" w:cs="宋体"/>
                <w:kern w:val="0"/>
                <w:szCs w:val="24"/>
                <w:lang w:eastAsia="zh-CN"/>
              </w:rPr>
            </w:pPr>
            <w:r>
              <w:rPr>
                <w:rFonts w:hint="eastAsia" w:ascii="宋体" w:hAnsi="宋体" w:eastAsia="宋体" w:cs="宋体"/>
                <w:b/>
                <w:bCs/>
                <w:kern w:val="0"/>
                <w:szCs w:val="24"/>
                <w:lang w:eastAsia="zh-CN"/>
              </w:rPr>
              <w:t>评审因素与评审标准</w:t>
            </w:r>
          </w:p>
        </w:tc>
      </w:tr>
      <w:tr w14:paraId="2E83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noWrap w:val="0"/>
            <w:vAlign w:val="center"/>
          </w:tcPr>
          <w:p w14:paraId="3DDCDE25">
            <w:pPr>
              <w:autoSpaceDE w:val="0"/>
              <w:autoSpaceDN w:val="0"/>
              <w:adjustRightInd w:val="0"/>
              <w:spacing w:line="315" w:lineRule="atLeas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w:t>
            </w:r>
          </w:p>
        </w:tc>
        <w:tc>
          <w:tcPr>
            <w:tcW w:w="629" w:type="pct"/>
            <w:noWrap w:val="0"/>
            <w:vAlign w:val="center"/>
          </w:tcPr>
          <w:p w14:paraId="45801FA7">
            <w:pPr>
              <w:autoSpaceDE w:val="0"/>
              <w:autoSpaceDN w:val="0"/>
              <w:adjustRightInd w:val="0"/>
              <w:spacing w:line="315" w:lineRule="atLeas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评标办法</w:t>
            </w:r>
          </w:p>
        </w:tc>
        <w:tc>
          <w:tcPr>
            <w:tcW w:w="3941" w:type="pct"/>
            <w:noWrap w:val="0"/>
            <w:vAlign w:val="top"/>
          </w:tcPr>
          <w:p w14:paraId="15CECEF5">
            <w:pPr>
              <w:widowControl w:val="0"/>
              <w:tabs>
                <w:tab w:val="center" w:pos="4153"/>
                <w:tab w:val="right" w:pos="8306"/>
              </w:tabs>
              <w:autoSpaceDE w:val="0"/>
              <w:autoSpaceDN w:val="0"/>
              <w:adjustRightInd w:val="0"/>
              <w:spacing w:line="315" w:lineRule="atLeas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综合评分相等时，评标委员会依次按照以下优先顺序推荐中标候选人：</w:t>
            </w:r>
          </w:p>
          <w:p w14:paraId="14FA806E">
            <w:pPr>
              <w:widowControl w:val="0"/>
              <w:tabs>
                <w:tab w:val="center" w:pos="4153"/>
                <w:tab w:val="right" w:pos="8306"/>
              </w:tabs>
              <w:autoSpaceDE w:val="0"/>
              <w:autoSpaceDN w:val="0"/>
              <w:adjustRightInd w:val="0"/>
              <w:spacing w:line="315" w:lineRule="atLeas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（1）评标价低的投标人优先；</w:t>
            </w:r>
          </w:p>
          <w:p w14:paraId="3CF1DFEF">
            <w:pPr>
              <w:widowControl w:val="0"/>
              <w:tabs>
                <w:tab w:val="center" w:pos="4153"/>
                <w:tab w:val="right" w:pos="8306"/>
              </w:tabs>
              <w:autoSpaceDE w:val="0"/>
              <w:autoSpaceDN w:val="0"/>
              <w:adjustRightInd w:val="0"/>
              <w:spacing w:line="315" w:lineRule="atLeas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（2）信用评价等级较高者优先（信用评价以“山西省交通运输厅最新信用评价结果”为准）；</w:t>
            </w:r>
          </w:p>
          <w:p w14:paraId="15864B80">
            <w:pPr>
              <w:widowControl w:val="0"/>
              <w:tabs>
                <w:tab w:val="center" w:pos="4153"/>
                <w:tab w:val="right" w:pos="8306"/>
              </w:tabs>
              <w:autoSpaceDE w:val="0"/>
              <w:autoSpaceDN w:val="0"/>
              <w:adjustRightInd w:val="0"/>
              <w:spacing w:line="315" w:lineRule="atLeas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r>
              <w:rPr>
                <w:rFonts w:hint="eastAsia" w:ascii="宋体" w:hAnsi="宋体" w:eastAsia="宋体" w:cs="宋体"/>
                <w:sz w:val="21"/>
                <w:szCs w:val="21"/>
                <w:highlight w:val="none"/>
                <w:lang w:val="en-US" w:eastAsia="zh-CN" w:bidi="ar-SA"/>
              </w:rPr>
              <w:t>最终投标文件上传至交易平台较早的投标人优先。</w:t>
            </w:r>
          </w:p>
        </w:tc>
      </w:tr>
      <w:tr w14:paraId="068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28" w:type="pct"/>
            <w:noWrap w:val="0"/>
            <w:vAlign w:val="center"/>
          </w:tcPr>
          <w:p w14:paraId="780A7E7E">
            <w:pPr>
              <w:autoSpaceDE w:val="0"/>
              <w:autoSpaceDN w:val="0"/>
              <w:adjustRightInd w:val="0"/>
              <w:spacing w:line="315" w:lineRule="atLeas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2.1.1</w:t>
            </w:r>
          </w:p>
          <w:p w14:paraId="664FF1F2">
            <w:pPr>
              <w:autoSpaceDE w:val="0"/>
              <w:autoSpaceDN w:val="0"/>
              <w:adjustRightInd w:val="0"/>
              <w:spacing w:line="315" w:lineRule="atLeas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2.1.3</w:t>
            </w:r>
          </w:p>
        </w:tc>
        <w:tc>
          <w:tcPr>
            <w:tcW w:w="629" w:type="pct"/>
            <w:noWrap w:val="0"/>
            <w:vAlign w:val="center"/>
          </w:tcPr>
          <w:p w14:paraId="72DF4388">
            <w:pPr>
              <w:autoSpaceDE w:val="0"/>
              <w:autoSpaceDN w:val="0"/>
              <w:adjustRightInd w:val="0"/>
              <w:spacing w:line="315" w:lineRule="atLeas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形式评审与响应性评审标准（第一个信封）</w:t>
            </w:r>
          </w:p>
        </w:tc>
        <w:tc>
          <w:tcPr>
            <w:tcW w:w="3941" w:type="pct"/>
            <w:noWrap w:val="0"/>
            <w:vAlign w:val="top"/>
          </w:tcPr>
          <w:p w14:paraId="1F80444C">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（1）电子投标文件满足招标文件 第二章“投标人须知 ”第 3 条规定；</w:t>
            </w:r>
          </w:p>
          <w:p w14:paraId="191457E1">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（2）投标人名称与资质证书、营业执照、安全生产许可证和基本 账户开户许可证（或基本存款账户信息）上载明的相一致，提供的复印件清晰可辨；</w:t>
            </w:r>
          </w:p>
          <w:p w14:paraId="6FB5510B">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（3）按照招标文件规定的格式、 内容填写，字迹清晰可辨：</w:t>
            </w:r>
          </w:p>
          <w:p w14:paraId="565B7D74">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a.投标函按招标文件规定填报了项目名称、标段号、补遗书编号（如有）、项目经理、项目总工、</w:t>
            </w:r>
            <w:r>
              <w:rPr>
                <w:rFonts w:hint="eastAsia" w:ascii="宋体" w:hAnsi="宋体" w:eastAsia="宋体" w:cs="宋体"/>
                <w:color w:val="auto"/>
                <w:kern w:val="0"/>
                <w:szCs w:val="21"/>
                <w:lang w:val="en-US" w:eastAsia="zh-CN"/>
              </w:rPr>
              <w:t>投标有效期、</w:t>
            </w:r>
            <w:r>
              <w:rPr>
                <w:rFonts w:hint="eastAsia" w:ascii="宋体" w:hAnsi="宋体" w:eastAsia="宋体" w:cs="宋体"/>
                <w:color w:val="auto"/>
                <w:kern w:val="0"/>
                <w:szCs w:val="21"/>
              </w:rPr>
              <w:t>工期、工程质量及安全目标；</w:t>
            </w:r>
          </w:p>
          <w:p w14:paraId="1F3889BA">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b.投标函附录的所有数据均符合招标文件规定；</w:t>
            </w:r>
          </w:p>
          <w:p w14:paraId="230CAE98">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c.内容齐全完整，内容均按规定填写；</w:t>
            </w:r>
          </w:p>
          <w:p w14:paraId="4EDA64F6">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d.按规定提供了拟投入主要人员的证件复印件，证件清晰可辨、有效。</w:t>
            </w:r>
          </w:p>
          <w:p w14:paraId="21EFEF44">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（4）投标文件上法定代表人的电子签名、投标人单位的电子签章齐全，符合招标文件规定；</w:t>
            </w:r>
          </w:p>
          <w:p w14:paraId="7D9CFD5D">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（5）投标人按照招标文件规定提供了投标保证金</w:t>
            </w:r>
            <w:r>
              <w:rPr>
                <w:rFonts w:hint="eastAsia" w:ascii="宋体" w:hAnsi="宋体" w:eastAsia="宋体" w:cs="宋体"/>
                <w:color w:val="auto"/>
                <w:kern w:val="0"/>
                <w:szCs w:val="21"/>
                <w:highlight w:val="none"/>
              </w:rPr>
              <w:t>：</w:t>
            </w:r>
          </w:p>
          <w:p w14:paraId="1C41320B">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a.投标保证金金额符合招标文件规定的金额，且投标保证金有效期 不少于投标有效期；</w:t>
            </w:r>
          </w:p>
          <w:p w14:paraId="2D3C1D3B">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b.若投标保证金采用现金或支票形式提交，投标人应在递交投标文件截止时间之前，将投标保证金由投标人的基本账户转入招标人指定账户；</w:t>
            </w:r>
          </w:p>
          <w:p w14:paraId="4590DDEF">
            <w:pPr>
              <w:wordWrap w:val="0"/>
              <w:autoSpaceDE w:val="0"/>
              <w:autoSpaceDN w:val="0"/>
              <w:adjustRightInd w:val="0"/>
              <w:spacing w:line="360" w:lineRule="exact"/>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c.若投标保证金采用投标保函形式提交，投标保函的格式、开具保函的机构均满足招标文件要求；</w:t>
            </w:r>
          </w:p>
          <w:p w14:paraId="3B0B7795">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（6）提供了法定代表人身份证明；</w:t>
            </w:r>
          </w:p>
          <w:p w14:paraId="77F62426">
            <w:pPr>
              <w:tabs>
                <w:tab w:val="left" w:pos="0"/>
                <w:tab w:val="left" w:pos="879"/>
              </w:tabs>
              <w:autoSpaceDE w:val="0"/>
              <w:autoSpaceDN w:val="0"/>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（7）</w:t>
            </w:r>
            <w:r>
              <w:rPr>
                <w:rFonts w:hint="eastAsia" w:ascii="宋体" w:hAnsi="宋体" w:eastAsia="宋体" w:cs="宋体"/>
                <w:spacing w:val="7"/>
                <w:kern w:val="0"/>
                <w:szCs w:val="20"/>
              </w:rPr>
              <w:t>投标人未以联合体形式投标</w:t>
            </w:r>
            <w:r>
              <w:rPr>
                <w:rFonts w:hint="eastAsia" w:ascii="宋体" w:hAnsi="宋体" w:eastAsia="宋体" w:cs="宋体"/>
                <w:color w:val="auto"/>
                <w:kern w:val="0"/>
                <w:szCs w:val="21"/>
              </w:rPr>
              <w:t>；</w:t>
            </w:r>
          </w:p>
          <w:p w14:paraId="441154EE">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（8）投标有效期符合招标文件规定；</w:t>
            </w:r>
          </w:p>
          <w:p w14:paraId="4F912710">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（9）同一投标人未提交两个以上不同的投标文件；</w:t>
            </w:r>
          </w:p>
          <w:p w14:paraId="2DC8110D">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（10）第一个信封（商务及技术文件）中未出现有关投标报价的内容；</w:t>
            </w:r>
          </w:p>
          <w:p w14:paraId="5C192857">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（11）第一个信封（商务及技术文件）载明的招标项目完成期限 未超过招标文件规定的时限；</w:t>
            </w:r>
          </w:p>
          <w:p w14:paraId="5407D1AD">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（12）第一个信封（商务及技术文件）对招标文件的实质性要求 和条件作出响应；</w:t>
            </w:r>
          </w:p>
          <w:p w14:paraId="223595D0">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（13）权利义务符合招标文件规定：</w:t>
            </w:r>
          </w:p>
          <w:p w14:paraId="538B78A5">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a.投标人应接受招标文件规定的风险划分原则，未提出新的风险划分办法；</w:t>
            </w:r>
          </w:p>
          <w:p w14:paraId="7F845BA4">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b.投标人未增加发包人的责任范围，或减少投标人义务；</w:t>
            </w:r>
          </w:p>
          <w:p w14:paraId="0BAA7AD7">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c.投标人未提出不同的工程验收、计量、支付办法；</w:t>
            </w:r>
          </w:p>
          <w:p w14:paraId="6202AAFB">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d.投标人对合同纠纷、事故处理办法未提出异议；</w:t>
            </w:r>
          </w:p>
          <w:p w14:paraId="63552C2D">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e.投标人在投标活动中无欺诈行为；</w:t>
            </w:r>
          </w:p>
          <w:p w14:paraId="2534549F">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f.投标人未对合同条款有重要保留。</w:t>
            </w:r>
          </w:p>
          <w:p w14:paraId="7C5FA0C6">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（14）投标人技术能力和以往履约信誉符合招标文件的规定，不 得存在以下问题。存在以下问题之一的，属于重大偏差：</w:t>
            </w:r>
          </w:p>
          <w:p w14:paraId="4F740CB5">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a.承诺的质量检验标准低于招标文件或国家强制性标准要求；</w:t>
            </w:r>
          </w:p>
          <w:p w14:paraId="4D70120D">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b.业绩、人员、财务及履约信誉等证明材料存在虚假。</w:t>
            </w:r>
          </w:p>
          <w:p w14:paraId="5015D09B">
            <w:pPr>
              <w:widowControl w:val="0"/>
              <w:tabs>
                <w:tab w:val="center" w:pos="4320"/>
                <w:tab w:val="right" w:pos="8640"/>
              </w:tabs>
              <w:autoSpaceDE w:val="0"/>
              <w:autoSpaceDN w:val="0"/>
              <w:adjustRightInd w:val="0"/>
              <w:spacing w:line="315" w:lineRule="atLeas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（15）</w:t>
            </w:r>
            <w:bookmarkStart w:id="3" w:name="OLE_LINK7"/>
            <w:r>
              <w:rPr>
                <w:rFonts w:hint="eastAsia" w:ascii="宋体" w:hAnsi="宋体" w:eastAsia="宋体" w:cs="宋体"/>
                <w:color w:val="auto"/>
                <w:sz w:val="21"/>
                <w:szCs w:val="21"/>
                <w:lang w:val="en-US" w:eastAsia="zh-CN" w:bidi="ar-SA"/>
              </w:rPr>
              <w:t>不同的投标人间</w:t>
            </w:r>
            <w:bookmarkEnd w:id="3"/>
            <w:r>
              <w:rPr>
                <w:rFonts w:hint="eastAsia" w:ascii="宋体" w:hAnsi="宋体" w:eastAsia="宋体" w:cs="宋体"/>
                <w:color w:val="auto"/>
                <w:sz w:val="21"/>
                <w:szCs w:val="21"/>
                <w:lang w:val="en-US" w:eastAsia="zh-CN" w:bidi="ar-SA"/>
              </w:rPr>
              <w:t>不存在投标人须知第10.4款规定的情形。</w:t>
            </w:r>
          </w:p>
        </w:tc>
      </w:tr>
      <w:tr w14:paraId="6180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428" w:type="pct"/>
            <w:noWrap w:val="0"/>
            <w:vAlign w:val="center"/>
          </w:tcPr>
          <w:p w14:paraId="1592BD97">
            <w:pPr>
              <w:autoSpaceDE w:val="0"/>
              <w:autoSpaceDN w:val="0"/>
              <w:adjustRightInd w:val="0"/>
              <w:spacing w:line="315" w:lineRule="atLeas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2.1.2</w:t>
            </w:r>
          </w:p>
        </w:tc>
        <w:tc>
          <w:tcPr>
            <w:tcW w:w="629" w:type="pct"/>
            <w:noWrap w:val="0"/>
            <w:vAlign w:val="center"/>
          </w:tcPr>
          <w:p w14:paraId="137E925A">
            <w:pPr>
              <w:autoSpaceDE w:val="0"/>
              <w:autoSpaceDN w:val="0"/>
              <w:adjustRightInd w:val="0"/>
              <w:spacing w:line="315" w:lineRule="atLeas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资格评审标准</w:t>
            </w:r>
          </w:p>
        </w:tc>
        <w:tc>
          <w:tcPr>
            <w:tcW w:w="3941" w:type="pct"/>
            <w:noWrap w:val="0"/>
            <w:vAlign w:val="top"/>
          </w:tcPr>
          <w:p w14:paraId="09C4FE3F">
            <w:pPr>
              <w:wordWrap w:val="0"/>
              <w:autoSpaceDE w:val="0"/>
              <w:autoSpaceDN w:val="0"/>
              <w:adjustRightInd w:val="0"/>
              <w:spacing w:line="360" w:lineRule="auto"/>
              <w:ind w:right="-23"/>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(1）投标人具备有效的营业执照、资质证书、安全生产许可证和基本账户开户许可证</w:t>
            </w:r>
            <w:r>
              <w:rPr>
                <w:rFonts w:hint="eastAsia" w:ascii="宋体" w:hAnsi="宋体" w:eastAsia="宋体" w:cs="宋体"/>
                <w:color w:val="auto"/>
                <w:kern w:val="0"/>
                <w:szCs w:val="21"/>
              </w:rPr>
              <w:t>（或基本存款账户信息）</w:t>
            </w:r>
            <w:r>
              <w:rPr>
                <w:rFonts w:hint="eastAsia" w:ascii="宋体" w:hAnsi="宋体" w:eastAsia="宋体" w:cs="宋体"/>
                <w:color w:val="auto"/>
                <w:kern w:val="0"/>
                <w:szCs w:val="21"/>
                <w:lang w:eastAsia="zh-CN"/>
              </w:rPr>
              <w:t>。</w:t>
            </w:r>
          </w:p>
          <w:p w14:paraId="2EA7EA28">
            <w:pPr>
              <w:wordWrap w:val="0"/>
              <w:autoSpaceDE w:val="0"/>
              <w:autoSpaceDN w:val="0"/>
              <w:adjustRightInd w:val="0"/>
              <w:spacing w:line="360" w:lineRule="auto"/>
              <w:ind w:right="-23"/>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（2）投标人的资质等级符合招标文件投标人须知附录 1 规定；</w:t>
            </w:r>
          </w:p>
          <w:p w14:paraId="0BD8FA72">
            <w:pPr>
              <w:wordWrap w:val="0"/>
              <w:autoSpaceDE w:val="0"/>
              <w:autoSpaceDN w:val="0"/>
              <w:adjustRightInd w:val="0"/>
              <w:spacing w:line="360" w:lineRule="auto"/>
              <w:ind w:right="-23"/>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（3）投标人的财务状况应符合招标文件投标人须知附录 2 规定；</w:t>
            </w:r>
          </w:p>
          <w:p w14:paraId="204C812E">
            <w:pPr>
              <w:wordWrap w:val="0"/>
              <w:autoSpaceDE w:val="0"/>
              <w:autoSpaceDN w:val="0"/>
              <w:adjustRightInd w:val="0"/>
              <w:spacing w:line="360" w:lineRule="auto"/>
              <w:ind w:right="-23"/>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（4）投标人的类似项目业绩符合招标文件投标人须知附录 3 规定；</w:t>
            </w:r>
          </w:p>
          <w:p w14:paraId="18DCF826">
            <w:pPr>
              <w:wordWrap w:val="0"/>
              <w:autoSpaceDE w:val="0"/>
              <w:autoSpaceDN w:val="0"/>
              <w:adjustRightInd w:val="0"/>
              <w:spacing w:line="360" w:lineRule="auto"/>
              <w:ind w:right="-23"/>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（5）投标人的信誉符合招标文件投标人须知附录 4 规定；</w:t>
            </w:r>
          </w:p>
          <w:p w14:paraId="6DD533DF">
            <w:pPr>
              <w:wordWrap w:val="0"/>
              <w:autoSpaceDE w:val="0"/>
              <w:autoSpaceDN w:val="0"/>
              <w:adjustRightInd w:val="0"/>
              <w:spacing w:line="360" w:lineRule="auto"/>
              <w:ind w:right="-23"/>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（6）投标人的项目经理、项目总工符合招标文件投标人须知附录5规定</w:t>
            </w:r>
          </w:p>
          <w:p w14:paraId="7E9C6F63">
            <w:pPr>
              <w:wordWrap w:val="0"/>
              <w:autoSpaceDE w:val="0"/>
              <w:autoSpaceDN w:val="0"/>
              <w:adjustRightInd w:val="0"/>
              <w:spacing w:line="360" w:lineRule="auto"/>
              <w:ind w:right="-23"/>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lang w:eastAsia="zh-CN"/>
              </w:rPr>
              <w:t>)投标人不存在第二章“投标人须知”第 1.4.3 项和第 1.4.4 项规定的任何一种情形。</w:t>
            </w:r>
          </w:p>
          <w:p w14:paraId="04FC0CB0">
            <w:pPr>
              <w:wordWrap w:val="0"/>
              <w:autoSpaceDE w:val="0"/>
              <w:autoSpaceDN w:val="0"/>
              <w:adjustRightInd w:val="0"/>
              <w:spacing w:line="360" w:lineRule="auto"/>
              <w:ind w:right="-23"/>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lang w:eastAsia="zh-CN"/>
              </w:rPr>
              <w:t>投标人符合第二章“投标人须知”第 1.4.5 项规定。</w:t>
            </w:r>
          </w:p>
        </w:tc>
      </w:tr>
      <w:tr w14:paraId="0AA2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28" w:type="pct"/>
            <w:noWrap w:val="0"/>
            <w:vAlign w:val="center"/>
          </w:tcPr>
          <w:p w14:paraId="0B144AB9">
            <w:pPr>
              <w:autoSpaceDE w:val="0"/>
              <w:autoSpaceDN w:val="0"/>
              <w:adjustRightInd w:val="0"/>
              <w:spacing w:line="315"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2.1.1</w:t>
            </w:r>
          </w:p>
          <w:p w14:paraId="426557E2">
            <w:pPr>
              <w:autoSpaceDE w:val="0"/>
              <w:autoSpaceDN w:val="0"/>
              <w:adjustRightInd w:val="0"/>
              <w:spacing w:line="315"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2.1.3</w:t>
            </w:r>
          </w:p>
        </w:tc>
        <w:tc>
          <w:tcPr>
            <w:tcW w:w="629" w:type="pct"/>
            <w:noWrap w:val="0"/>
            <w:vAlign w:val="center"/>
          </w:tcPr>
          <w:p w14:paraId="78558B36">
            <w:pPr>
              <w:autoSpaceDE w:val="0"/>
              <w:autoSpaceDN w:val="0"/>
              <w:adjustRightInd w:val="0"/>
              <w:spacing w:line="315"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形式评审与响应性评审标准（第二个信封）</w:t>
            </w:r>
          </w:p>
        </w:tc>
        <w:tc>
          <w:tcPr>
            <w:tcW w:w="3941" w:type="pct"/>
            <w:noWrap w:val="0"/>
            <w:vAlign w:val="top"/>
          </w:tcPr>
          <w:p w14:paraId="54DD9A39">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（1）电子投标文件满足招标文件第二章 “投标人须知 ”第 3 条规定；</w:t>
            </w:r>
          </w:p>
          <w:p w14:paraId="28A51E20">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（2）按照招标文件规定的格式、内容填写，字迹清晰可辨：</w:t>
            </w:r>
          </w:p>
          <w:p w14:paraId="12502A72">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a.投标函按招标文件规定填报了项目名称、标段号、补遗书编号（如有）、投标价（包括大写金额和小写金额）；</w:t>
            </w:r>
          </w:p>
          <w:p w14:paraId="0FEBD285">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b.文件组成齐全完整， 内容均按规定填写；</w:t>
            </w:r>
          </w:p>
          <w:p w14:paraId="3C6E456C">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（3）法定代表人的电子签名、投标人 单位的电子签章齐全，符合招标文件规定；</w:t>
            </w:r>
          </w:p>
          <w:p w14:paraId="4D857F6D">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（4）投标报价的大写金额能够确定具体数值；</w:t>
            </w:r>
          </w:p>
          <w:p w14:paraId="501D353F">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（5）同一投标人未提交两个以上不同的投标报价；</w:t>
            </w:r>
          </w:p>
          <w:p w14:paraId="2B04B4EC">
            <w:pPr>
              <w:wordWrap w:val="0"/>
              <w:autoSpaceDE w:val="0"/>
              <w:autoSpaceDN w:val="0"/>
              <w:adjustRightInd w:val="0"/>
              <w:spacing w:line="360" w:lineRule="auto"/>
              <w:ind w:right="-23"/>
              <w:jc w:val="left"/>
              <w:rPr>
                <w:rFonts w:hint="eastAsia" w:ascii="宋体" w:hAnsi="宋体" w:eastAsia="宋体" w:cs="宋体"/>
                <w:color w:val="auto"/>
                <w:kern w:val="0"/>
                <w:szCs w:val="21"/>
              </w:rPr>
            </w:pPr>
            <w:r>
              <w:rPr>
                <w:rFonts w:hint="eastAsia" w:ascii="宋体" w:hAnsi="宋体" w:eastAsia="宋体" w:cs="宋体"/>
                <w:color w:val="auto"/>
                <w:kern w:val="0"/>
                <w:szCs w:val="21"/>
              </w:rPr>
              <w:t>（6）投标报价未超过招标文件设定的最高投标限价</w:t>
            </w:r>
          </w:p>
          <w:p w14:paraId="26995C03">
            <w:pPr>
              <w:widowControl w:val="0"/>
              <w:tabs>
                <w:tab w:val="center" w:pos="4153"/>
                <w:tab w:val="right" w:pos="8306"/>
              </w:tabs>
              <w:autoSpaceDE w:val="0"/>
              <w:autoSpaceDN w:val="0"/>
              <w:adjustRightInd w:val="0"/>
              <w:spacing w:line="315" w:lineRule="atLeast"/>
              <w:rPr>
                <w:rFonts w:hint="eastAsia" w:ascii="宋体" w:hAnsi="宋体" w:eastAsia="宋体" w:cs="宋体"/>
                <w:sz w:val="21"/>
                <w:lang w:val="en-US" w:eastAsia="zh-CN" w:bidi="ar-SA"/>
              </w:rPr>
            </w:pPr>
            <w:r>
              <w:rPr>
                <w:rFonts w:hint="eastAsia" w:ascii="宋体" w:hAnsi="宋体" w:eastAsia="宋体" w:cs="宋体"/>
                <w:color w:val="auto"/>
                <w:sz w:val="21"/>
                <w:szCs w:val="21"/>
                <w:lang w:val="en-US" w:eastAsia="zh-CN" w:bidi="ar-SA"/>
              </w:rPr>
              <w:t>（7）不同的投标人间不存在投标人须知第 10.4 款规定的情形。</w:t>
            </w:r>
          </w:p>
        </w:tc>
      </w:tr>
    </w:tbl>
    <w:p w14:paraId="1AE5B48C">
      <w:pPr>
        <w:autoSpaceDE w:val="0"/>
        <w:autoSpaceDN w:val="0"/>
        <w:adjustRightInd w:val="0"/>
        <w:spacing w:line="315" w:lineRule="atLeast"/>
        <w:jc w:val="left"/>
        <w:rPr>
          <w:rFonts w:hint="eastAsia" w:ascii="宋体" w:hAnsi="宋体" w:eastAsia="宋体" w:cs="宋体"/>
          <w:kern w:val="0"/>
          <w:szCs w:val="20"/>
          <w:lang w:eastAsia="zh-CN"/>
        </w:rPr>
      </w:pP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6"/>
        <w:gridCol w:w="915"/>
        <w:gridCol w:w="6403"/>
      </w:tblGrid>
      <w:tr w14:paraId="7060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exact"/>
        </w:trPr>
        <w:tc>
          <w:tcPr>
            <w:tcW w:w="599" w:type="pct"/>
            <w:vAlign w:val="center"/>
          </w:tcPr>
          <w:p w14:paraId="127360FF">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b/>
                <w:kern w:val="0"/>
                <w:sz w:val="44"/>
                <w:szCs w:val="44"/>
              </w:rPr>
              <w:br w:type="page"/>
            </w:r>
            <w:r>
              <w:rPr>
                <w:rFonts w:hint="eastAsia" w:ascii="宋体" w:hAnsi="宋体" w:eastAsia="宋体" w:cs="宋体"/>
                <w:b/>
                <w:bCs/>
                <w:kern w:val="0"/>
                <w:szCs w:val="21"/>
              </w:rPr>
              <w:t>条款号</w:t>
            </w:r>
          </w:p>
        </w:tc>
        <w:tc>
          <w:tcPr>
            <w:tcW w:w="550" w:type="pct"/>
            <w:vAlign w:val="center"/>
          </w:tcPr>
          <w:p w14:paraId="7BD7BAC1">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b/>
                <w:bCs/>
                <w:kern w:val="0"/>
                <w:szCs w:val="21"/>
              </w:rPr>
              <w:t>条款内容</w:t>
            </w:r>
          </w:p>
        </w:tc>
        <w:tc>
          <w:tcPr>
            <w:tcW w:w="3849" w:type="pct"/>
            <w:vAlign w:val="center"/>
          </w:tcPr>
          <w:p w14:paraId="3F42E112">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b/>
                <w:bCs/>
                <w:kern w:val="0"/>
                <w:szCs w:val="21"/>
              </w:rPr>
              <w:t>编列内容</w:t>
            </w:r>
          </w:p>
        </w:tc>
      </w:tr>
      <w:tr w14:paraId="1D75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trPr>
        <w:tc>
          <w:tcPr>
            <w:tcW w:w="599" w:type="pct"/>
            <w:vAlign w:val="center"/>
          </w:tcPr>
          <w:p w14:paraId="74DEB459">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kern w:val="0"/>
                <w:szCs w:val="21"/>
              </w:rPr>
              <w:t>2.2.1</w:t>
            </w:r>
          </w:p>
        </w:tc>
        <w:tc>
          <w:tcPr>
            <w:tcW w:w="550" w:type="pct"/>
            <w:vAlign w:val="center"/>
          </w:tcPr>
          <w:p w14:paraId="71F198EC">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kern w:val="0"/>
                <w:szCs w:val="21"/>
              </w:rPr>
              <w:t>分值构成</w:t>
            </w:r>
          </w:p>
        </w:tc>
        <w:tc>
          <w:tcPr>
            <w:tcW w:w="3849" w:type="pct"/>
            <w:vAlign w:val="center"/>
          </w:tcPr>
          <w:p w14:paraId="5FC6C555">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评标价：100分</w:t>
            </w:r>
          </w:p>
          <w:p w14:paraId="3F60686C">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lang w:val="en-US" w:eastAsia="zh-CN"/>
              </w:rPr>
              <w:t>信用得分：见2.2.4（4）款</w:t>
            </w:r>
          </w:p>
          <w:p w14:paraId="7902C02E">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highlight w:val="none"/>
              </w:rPr>
              <w:t>投标人得分=评</w:t>
            </w:r>
            <w:r>
              <w:rPr>
                <w:rFonts w:hint="eastAsia" w:ascii="宋体" w:hAnsi="宋体" w:eastAsia="宋体" w:cs="宋体"/>
                <w:kern w:val="0"/>
                <w:szCs w:val="20"/>
              </w:rPr>
              <w:t>标价得分（C）+信用得分（D）</w:t>
            </w:r>
          </w:p>
          <w:p w14:paraId="05D56DE0">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1"/>
              </w:rPr>
            </w:pPr>
            <w:r>
              <w:rPr>
                <w:rFonts w:hint="eastAsia" w:ascii="宋体" w:hAnsi="宋体" w:eastAsia="宋体" w:cs="宋体"/>
                <w:kern w:val="0"/>
                <w:szCs w:val="20"/>
              </w:rPr>
              <w:t>其他因素分值均为0分</w:t>
            </w:r>
          </w:p>
        </w:tc>
      </w:tr>
      <w:tr w14:paraId="2128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599" w:type="pct"/>
            <w:vAlign w:val="center"/>
          </w:tcPr>
          <w:p w14:paraId="4E84DE2A">
            <w:pPr>
              <w:autoSpaceDE w:val="0"/>
              <w:autoSpaceDN w:val="0"/>
              <w:adjustRightInd w:val="0"/>
              <w:spacing w:line="0" w:lineRule="atLeast"/>
              <w:ind w:right="113"/>
              <w:jc w:val="center"/>
              <w:rPr>
                <w:rFonts w:hint="eastAsia" w:ascii="宋体" w:hAnsi="宋体" w:eastAsia="宋体" w:cs="宋体"/>
                <w:kern w:val="0"/>
                <w:szCs w:val="21"/>
              </w:rPr>
            </w:pPr>
            <w:r>
              <w:rPr>
                <w:rFonts w:hint="eastAsia" w:ascii="宋体" w:hAnsi="宋体" w:eastAsia="宋体" w:cs="宋体"/>
                <w:kern w:val="0"/>
                <w:szCs w:val="21"/>
              </w:rPr>
              <w:t>2.2.2</w:t>
            </w:r>
          </w:p>
        </w:tc>
        <w:tc>
          <w:tcPr>
            <w:tcW w:w="550" w:type="pct"/>
            <w:vAlign w:val="center"/>
          </w:tcPr>
          <w:p w14:paraId="1FC755DF">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kern w:val="0"/>
                <w:szCs w:val="21"/>
              </w:rPr>
              <w:t>评标基准价计算方法</w:t>
            </w:r>
          </w:p>
        </w:tc>
        <w:tc>
          <w:tcPr>
            <w:tcW w:w="3849" w:type="pct"/>
            <w:vAlign w:val="center"/>
          </w:tcPr>
          <w:p w14:paraId="6EF66C8B">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评标基准价的计算：</w:t>
            </w:r>
          </w:p>
          <w:p w14:paraId="3F27DDA3">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（1）评标价的确定：</w:t>
            </w:r>
          </w:p>
          <w:p w14:paraId="15FAFE62">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评标价＝投标报价函文字报价</w:t>
            </w:r>
          </w:p>
          <w:p w14:paraId="37C3FDA9">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未按照招标文件规定提交保证金和出现第二章“投标人须知”第5.2.4项所规定情况的投标文件，其投标报价不参与任何计算。</w:t>
            </w:r>
          </w:p>
          <w:p w14:paraId="5E7B1986">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（2）确定最终最高投标限价G2</w:t>
            </w:r>
          </w:p>
          <w:p w14:paraId="31CED922">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第一个信封开标时随机抽取最高投标限价的下浮系数X1。</w:t>
            </w:r>
          </w:p>
          <w:p w14:paraId="47B39A99">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（X1：从0.5%、1%、1.5%、2%、2.5%、3%六个数中，</w:t>
            </w:r>
            <w:r>
              <w:rPr>
                <w:rFonts w:hint="eastAsia" w:ascii="宋体" w:hAnsi="宋体" w:eastAsia="宋体" w:cs="宋体"/>
                <w:kern w:val="0"/>
                <w:szCs w:val="20"/>
                <w:highlight w:val="none"/>
              </w:rPr>
              <w:t>由</w:t>
            </w:r>
            <w:r>
              <w:rPr>
                <w:rFonts w:hint="eastAsia" w:ascii="宋体" w:hAnsi="宋体" w:eastAsia="宋体" w:cs="宋体"/>
                <w:kern w:val="0"/>
                <w:szCs w:val="20"/>
                <w:highlight w:val="none"/>
                <w:lang w:val="en-US" w:eastAsia="zh-CN"/>
              </w:rPr>
              <w:t>招标人代表</w:t>
            </w:r>
            <w:r>
              <w:rPr>
                <w:rFonts w:hint="eastAsia" w:ascii="宋体" w:hAnsi="宋体" w:eastAsia="宋体" w:cs="宋体"/>
                <w:kern w:val="0"/>
                <w:szCs w:val="20"/>
                <w:highlight w:val="none"/>
              </w:rPr>
              <w:t>在第一个信封开标现场随机抽取确定。）</w:t>
            </w:r>
            <w:r>
              <w:rPr>
                <w:rFonts w:hint="eastAsia" w:ascii="宋体" w:hAnsi="宋体" w:eastAsia="宋体" w:cs="宋体"/>
                <w:kern w:val="0"/>
                <w:szCs w:val="20"/>
              </w:rPr>
              <w:t>。</w:t>
            </w:r>
          </w:p>
          <w:p w14:paraId="16B8B904">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最终最高投标限价G2=G1×（1-X1）</w:t>
            </w:r>
          </w:p>
          <w:p w14:paraId="1552124C">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G1=各标段最高投标限价，详见投标人须知前附表3.2.8款。</w:t>
            </w:r>
          </w:p>
          <w:p w14:paraId="2ECB0E18">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如投标人评标价高于本标段的G2，则视其为超出招标人的支付能力，将不再参与后续任何计算，按投标无效处理。</w:t>
            </w:r>
          </w:p>
          <w:p w14:paraId="54A39206">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（3）确定理论成本价LC</w:t>
            </w:r>
          </w:p>
          <w:p w14:paraId="57E5E699">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同一标段中不高于G2的评标价的算术平均值的50%与G2的50%相加后，乘以成本价系数Z所得数值为该标段的理论成本价。</w:t>
            </w:r>
          </w:p>
          <w:p w14:paraId="21007C2A">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lang w:val="pl-PL"/>
              </w:rPr>
            </w:pPr>
            <w:r>
              <w:rPr>
                <w:rFonts w:hint="eastAsia" w:ascii="宋体" w:hAnsi="宋体" w:eastAsia="宋体" w:cs="宋体"/>
                <w:kern w:val="0"/>
                <w:szCs w:val="20"/>
                <w:lang w:val="pl-PL"/>
              </w:rPr>
              <w:t>LC=（0.5×G2+0.5×SP1）×0.85</w:t>
            </w:r>
          </w:p>
          <w:p w14:paraId="523F1BFD">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SP1——该标段不高于G2的评标价的算术平均值，当评标价有5个及以上时，应去掉其中的最高值和最低值，再进行算术平均值计算。</w:t>
            </w:r>
          </w:p>
          <w:p w14:paraId="2870365E">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评标价低于理论成本价的，不再参与后续计算。</w:t>
            </w:r>
          </w:p>
          <w:p w14:paraId="35D5E908">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（4）确定评标基准价JZ</w:t>
            </w:r>
          </w:p>
          <w:p w14:paraId="0E771A7C">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评标基准价计算采用以下三种方法</w:t>
            </w:r>
            <w:r>
              <w:rPr>
                <w:rFonts w:hint="eastAsia" w:ascii="宋体" w:hAnsi="宋体" w:eastAsia="宋体" w:cs="宋体"/>
                <w:kern w:val="0"/>
                <w:szCs w:val="20"/>
                <w:highlight w:val="none"/>
              </w:rPr>
              <w:t>，由</w:t>
            </w:r>
            <w:r>
              <w:rPr>
                <w:rFonts w:hint="eastAsia" w:ascii="宋体" w:hAnsi="宋体" w:eastAsia="宋体" w:cs="宋体"/>
                <w:kern w:val="0"/>
                <w:szCs w:val="20"/>
                <w:highlight w:val="none"/>
                <w:lang w:val="en-US" w:eastAsia="zh-CN"/>
              </w:rPr>
              <w:t>招标人代表</w:t>
            </w:r>
            <w:r>
              <w:rPr>
                <w:rFonts w:hint="eastAsia" w:ascii="宋体" w:hAnsi="宋体" w:eastAsia="宋体" w:cs="宋体"/>
                <w:kern w:val="0"/>
                <w:szCs w:val="20"/>
                <w:highlight w:val="none"/>
              </w:rPr>
              <w:t>在开标时按标段随机抽取一种。</w:t>
            </w:r>
            <w:r>
              <w:rPr>
                <w:rFonts w:hint="eastAsia" w:ascii="宋体" w:hAnsi="宋体" w:eastAsia="宋体" w:cs="宋体"/>
                <w:kern w:val="0"/>
                <w:szCs w:val="20"/>
              </w:rPr>
              <w:t>在评标过程中，评标委员会应对招标人计算的评标基准价进行复核，存在计算错误的应予以修正并在评标报告中作出说明。除此之外，评标基准价在整个评标期间保持不变，不随任何因素发生变化</w:t>
            </w:r>
          </w:p>
          <w:p w14:paraId="118F01CC">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1、评标基准价计算方法1</w:t>
            </w:r>
          </w:p>
          <w:p w14:paraId="6E6D53AA">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评标基准价＝［最终最高投标限价×加权系数＋有效评标价算术平均值×（1-加权系数）］×评标基准价系数</w:t>
            </w:r>
          </w:p>
          <w:p w14:paraId="2BF5EBCD">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highlight w:val="none"/>
              </w:rPr>
            </w:pPr>
            <w:r>
              <w:rPr>
                <w:rFonts w:hint="eastAsia" w:ascii="宋体" w:hAnsi="宋体" w:eastAsia="宋体" w:cs="宋体"/>
                <w:kern w:val="0"/>
                <w:szCs w:val="20"/>
              </w:rPr>
              <w:t>式中：加权系数应从0.3、0.35、0.4中选取，评标基准价系数应从0.96、0.97、0.98、0.99中选取，</w:t>
            </w:r>
            <w:r>
              <w:rPr>
                <w:rFonts w:hint="eastAsia" w:ascii="宋体" w:hAnsi="宋体" w:eastAsia="宋体" w:cs="宋体"/>
                <w:kern w:val="0"/>
                <w:szCs w:val="20"/>
                <w:highlight w:val="none"/>
              </w:rPr>
              <w:t>均</w:t>
            </w:r>
            <w:r>
              <w:rPr>
                <w:rFonts w:hint="eastAsia" w:ascii="宋体" w:hAnsi="宋体" w:eastAsia="宋体" w:cs="宋体"/>
                <w:kern w:val="0"/>
                <w:szCs w:val="20"/>
                <w:highlight w:val="none"/>
                <w:lang w:val="en-US" w:eastAsia="zh-CN"/>
              </w:rPr>
              <w:t>招标人代表</w:t>
            </w:r>
            <w:r>
              <w:rPr>
                <w:rFonts w:hint="eastAsia" w:ascii="宋体" w:hAnsi="宋体" w:eastAsia="宋体" w:cs="宋体"/>
                <w:kern w:val="0"/>
                <w:szCs w:val="20"/>
                <w:highlight w:val="none"/>
              </w:rPr>
              <w:t>在开标时随机抽取确定。</w:t>
            </w:r>
          </w:p>
          <w:p w14:paraId="71821F93">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highlight w:val="none"/>
              </w:rPr>
            </w:pPr>
            <w:r>
              <w:rPr>
                <w:rFonts w:hint="eastAsia" w:ascii="宋体" w:hAnsi="宋体" w:eastAsia="宋体" w:cs="宋体"/>
                <w:kern w:val="0"/>
                <w:szCs w:val="20"/>
                <w:highlight w:val="none"/>
              </w:rPr>
              <w:t>有效评标价指介于理论成本价（含）与最终最高投标限价（含）范围内的评标价。当有效评标价数量大于5时，须去掉其中的最高和最低值，再进行有效评标价算术平均值计算。</w:t>
            </w:r>
          </w:p>
          <w:p w14:paraId="76EE3267">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highlight w:val="none"/>
              </w:rPr>
            </w:pPr>
            <w:r>
              <w:rPr>
                <w:rFonts w:hint="eastAsia" w:ascii="宋体" w:hAnsi="宋体" w:eastAsia="宋体" w:cs="宋体"/>
                <w:kern w:val="0"/>
                <w:szCs w:val="20"/>
                <w:highlight w:val="none"/>
              </w:rPr>
              <w:t>2、评标基准价计算方法2</w:t>
            </w:r>
          </w:p>
          <w:p w14:paraId="0581BF48">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highlight w:val="none"/>
              </w:rPr>
            </w:pPr>
            <w:r>
              <w:rPr>
                <w:rFonts w:hint="eastAsia" w:ascii="宋体" w:hAnsi="宋体" w:eastAsia="宋体" w:cs="宋体"/>
                <w:kern w:val="0"/>
                <w:szCs w:val="20"/>
                <w:highlight w:val="none"/>
              </w:rPr>
              <w:t>招标人设置评标基准价下浮系数K，从0.5%、1%、1.5%、2%、2.5%、3%之间由</w:t>
            </w:r>
            <w:r>
              <w:rPr>
                <w:rFonts w:hint="eastAsia" w:ascii="宋体" w:hAnsi="宋体" w:eastAsia="宋体" w:cs="宋体"/>
                <w:kern w:val="0"/>
                <w:szCs w:val="20"/>
                <w:highlight w:val="none"/>
                <w:lang w:val="en-US" w:eastAsia="zh-CN"/>
              </w:rPr>
              <w:t>招标人代表</w:t>
            </w:r>
            <w:r>
              <w:rPr>
                <w:rFonts w:hint="eastAsia" w:ascii="宋体" w:hAnsi="宋体" w:eastAsia="宋体" w:cs="宋体"/>
                <w:kern w:val="0"/>
                <w:szCs w:val="20"/>
                <w:highlight w:val="none"/>
              </w:rPr>
              <w:t>在开标时随机抽取确定。</w:t>
            </w:r>
          </w:p>
          <w:p w14:paraId="35AD105F">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评标基准价=B×（1-K）。</w:t>
            </w:r>
          </w:p>
          <w:p w14:paraId="64602CA2">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B值是按以下方式计算所得：将理论成本价（含）与最终最高投标限价（含）范围内的评标价，从高到低划分为5个等差报价区间，对各区间的评标价进行算术平均值计算（“四舍五入”保留小数点后两位，当评标价等于区间临界值时，列入较高一区间计算平均值，最高评标价不参与区间计算），然后再将各区间的算术平均值（非零）进行第二次算术平均值计算，所得数值即为B值。</w:t>
            </w:r>
          </w:p>
          <w:p w14:paraId="52A0A8C0">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3、评标基准价计算方法3</w:t>
            </w:r>
          </w:p>
          <w:p w14:paraId="2888A343">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1）评标价平均值确定：</w:t>
            </w:r>
          </w:p>
          <w:p w14:paraId="16C6E509">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highlight w:val="none"/>
              </w:rPr>
            </w:pPr>
            <w:r>
              <w:rPr>
                <w:rFonts w:hint="eastAsia" w:ascii="宋体" w:hAnsi="宋体" w:eastAsia="宋体" w:cs="宋体"/>
                <w:kern w:val="0"/>
                <w:szCs w:val="20"/>
              </w:rPr>
              <w:t>在理论成本价（含）与最终最高投标限价（含）范围内的评标价，由</w:t>
            </w:r>
            <w:r>
              <w:rPr>
                <w:rFonts w:hint="eastAsia" w:ascii="宋体" w:hAnsi="宋体" w:eastAsia="宋体" w:cs="宋体"/>
                <w:kern w:val="0"/>
                <w:szCs w:val="20"/>
                <w:highlight w:val="none"/>
                <w:lang w:val="en-US" w:eastAsia="zh-CN"/>
              </w:rPr>
              <w:t>招标</w:t>
            </w:r>
            <w:r>
              <w:rPr>
                <w:rFonts w:hint="eastAsia" w:ascii="宋体" w:hAnsi="宋体" w:eastAsia="宋体" w:cs="宋体"/>
                <w:kern w:val="0"/>
                <w:szCs w:val="20"/>
                <w:highlight w:val="none"/>
              </w:rPr>
              <w:t>人代表</w:t>
            </w:r>
            <w:r>
              <w:rPr>
                <w:rFonts w:hint="eastAsia" w:ascii="宋体" w:hAnsi="宋体" w:eastAsia="宋体" w:cs="宋体"/>
                <w:kern w:val="0"/>
                <w:szCs w:val="20"/>
              </w:rPr>
              <w:t>按以下原则随机抽取相应数量（四舍五入取</w:t>
            </w:r>
            <w:r>
              <w:rPr>
                <w:rFonts w:hint="eastAsia" w:ascii="宋体" w:hAnsi="宋体" w:eastAsia="宋体" w:cs="宋体"/>
                <w:kern w:val="0"/>
                <w:szCs w:val="20"/>
                <w:highlight w:val="none"/>
              </w:rPr>
              <w:t>整）投标人的评标价，其算术平均值作为评标价平均值。</w:t>
            </w:r>
          </w:p>
          <w:p w14:paraId="46E28B76">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highlight w:val="none"/>
              </w:rPr>
            </w:pPr>
            <w:r>
              <w:rPr>
                <w:rFonts w:hint="eastAsia" w:ascii="宋体" w:hAnsi="宋体" w:eastAsia="宋体" w:cs="宋体"/>
                <w:kern w:val="0"/>
                <w:szCs w:val="20"/>
                <w:highlight w:val="none"/>
              </w:rPr>
              <w:t>（a）有效投标人数量在10（含）以内时，随机抽取50%数量，但不小于3个；</w:t>
            </w:r>
          </w:p>
          <w:p w14:paraId="7A698755">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highlight w:val="none"/>
              </w:rPr>
              <w:t>（b）有效投标人数量在10～</w:t>
            </w:r>
            <w:r>
              <w:rPr>
                <w:rFonts w:hint="eastAsia" w:ascii="宋体" w:hAnsi="宋体" w:eastAsia="宋体" w:cs="宋体"/>
                <w:kern w:val="0"/>
                <w:szCs w:val="20"/>
              </w:rPr>
              <w:t>20（含）时，随机抽取40%数量，但不小于6个；</w:t>
            </w:r>
          </w:p>
          <w:p w14:paraId="7EED0D2A">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（c）有效投标人数量大于20时，随机抽取30%数量，但不小于9个。</w:t>
            </w:r>
          </w:p>
          <w:p w14:paraId="7572B99C">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2）评标基准价的确定</w:t>
            </w:r>
          </w:p>
          <w:p w14:paraId="24465826">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K为评标基准价下浮系数，由</w:t>
            </w:r>
            <w:r>
              <w:rPr>
                <w:rFonts w:hint="eastAsia" w:ascii="宋体" w:hAnsi="宋体" w:eastAsia="宋体" w:cs="宋体"/>
                <w:kern w:val="0"/>
                <w:szCs w:val="20"/>
                <w:highlight w:val="none"/>
                <w:lang w:val="en-US" w:eastAsia="zh-CN"/>
              </w:rPr>
              <w:t>招标</w:t>
            </w:r>
            <w:r>
              <w:rPr>
                <w:rFonts w:hint="eastAsia" w:ascii="宋体" w:hAnsi="宋体" w:eastAsia="宋体" w:cs="宋体"/>
                <w:kern w:val="0"/>
                <w:szCs w:val="20"/>
                <w:highlight w:val="none"/>
              </w:rPr>
              <w:t>人代表</w:t>
            </w:r>
            <w:r>
              <w:rPr>
                <w:rFonts w:hint="eastAsia" w:ascii="宋体" w:hAnsi="宋体" w:eastAsia="宋体" w:cs="宋体"/>
                <w:kern w:val="0"/>
                <w:szCs w:val="20"/>
              </w:rPr>
              <w:t>或现场监督从</w:t>
            </w:r>
            <w:r>
              <w:rPr>
                <w:rFonts w:hint="eastAsia" w:ascii="宋体" w:hAnsi="宋体" w:eastAsia="宋体" w:cs="宋体"/>
                <w:kern w:val="0"/>
                <w:szCs w:val="20"/>
                <w:highlight w:val="none"/>
              </w:rPr>
              <w:t>0.5%、1%、1.5%、2%、2.5%、3%中，在</w:t>
            </w:r>
            <w:r>
              <w:rPr>
                <w:rFonts w:hint="eastAsia" w:ascii="宋体" w:hAnsi="宋体" w:eastAsia="宋体" w:cs="宋体"/>
                <w:kern w:val="0"/>
                <w:szCs w:val="20"/>
              </w:rPr>
              <w:t>开标时随机抽取确定。</w:t>
            </w:r>
          </w:p>
          <w:p w14:paraId="4ED297F0">
            <w:pPr>
              <w:tabs>
                <w:tab w:val="left" w:pos="0"/>
                <w:tab w:val="left" w:pos="879"/>
              </w:tabs>
              <w:autoSpaceDE w:val="0"/>
              <w:autoSpaceDN w:val="0"/>
              <w:adjustRightInd w:val="0"/>
              <w:snapToGrid w:val="0"/>
              <w:spacing w:line="360" w:lineRule="auto"/>
              <w:ind w:left="29" w:firstLine="140"/>
              <w:jc w:val="left"/>
              <w:rPr>
                <w:rFonts w:hint="eastAsia" w:ascii="宋体" w:hAnsi="宋体" w:eastAsia="宋体" w:cs="宋体"/>
                <w:kern w:val="0"/>
                <w:szCs w:val="20"/>
              </w:rPr>
            </w:pPr>
            <w:r>
              <w:rPr>
                <w:rFonts w:hint="eastAsia" w:ascii="宋体" w:hAnsi="宋体" w:eastAsia="宋体" w:cs="宋体"/>
                <w:kern w:val="0"/>
                <w:szCs w:val="20"/>
              </w:rPr>
              <w:t>评标基准价=评标价平均值×（1-K）。</w:t>
            </w:r>
          </w:p>
          <w:p w14:paraId="0498861E">
            <w:pPr>
              <w:autoSpaceDE w:val="0"/>
              <w:autoSpaceDN w:val="0"/>
              <w:adjustRightInd w:val="0"/>
              <w:snapToGrid w:val="0"/>
              <w:spacing w:line="380" w:lineRule="exact"/>
              <w:jc w:val="left"/>
              <w:rPr>
                <w:rFonts w:hint="eastAsia" w:ascii="宋体" w:hAnsi="宋体" w:eastAsia="宋体" w:cs="宋体"/>
                <w:kern w:val="0"/>
                <w:szCs w:val="21"/>
              </w:rPr>
            </w:pPr>
            <w:r>
              <w:rPr>
                <w:rFonts w:hint="eastAsia" w:ascii="宋体" w:hAnsi="宋体" w:eastAsia="宋体" w:cs="宋体"/>
                <w:kern w:val="0"/>
                <w:szCs w:val="20"/>
              </w:rPr>
              <w:t>（5）上述相关系数（X1、X2、X3、K）在开标时由</w:t>
            </w:r>
            <w:r>
              <w:rPr>
                <w:rFonts w:hint="eastAsia" w:ascii="宋体" w:hAnsi="宋体" w:eastAsia="宋体" w:cs="宋体"/>
                <w:kern w:val="0"/>
                <w:szCs w:val="20"/>
                <w:lang w:val="en-US" w:eastAsia="zh-CN"/>
              </w:rPr>
              <w:t>招标人</w:t>
            </w:r>
            <w:r>
              <w:rPr>
                <w:rFonts w:hint="eastAsia" w:ascii="宋体" w:hAnsi="宋体" w:eastAsia="宋体" w:cs="宋体"/>
                <w:kern w:val="0"/>
                <w:szCs w:val="20"/>
              </w:rPr>
              <w:t>代表随机抽取。</w:t>
            </w:r>
          </w:p>
        </w:tc>
      </w:tr>
      <w:tr w14:paraId="1762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exact"/>
        </w:trPr>
        <w:tc>
          <w:tcPr>
            <w:tcW w:w="599" w:type="pct"/>
            <w:vAlign w:val="center"/>
          </w:tcPr>
          <w:p w14:paraId="5D6EB702">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kern w:val="0"/>
                <w:szCs w:val="21"/>
              </w:rPr>
              <w:t>2.2.3</w:t>
            </w:r>
          </w:p>
        </w:tc>
        <w:tc>
          <w:tcPr>
            <w:tcW w:w="550" w:type="pct"/>
            <w:vAlign w:val="center"/>
          </w:tcPr>
          <w:p w14:paraId="54913A0C">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kern w:val="0"/>
                <w:szCs w:val="21"/>
              </w:rPr>
              <w:t>评标价的偏差率</w:t>
            </w:r>
          </w:p>
          <w:p w14:paraId="09D8BE1D">
            <w:pPr>
              <w:autoSpaceDE w:val="0"/>
              <w:autoSpaceDN w:val="0"/>
              <w:adjustRightInd w:val="0"/>
              <w:spacing w:line="315" w:lineRule="atLeast"/>
              <w:jc w:val="center"/>
              <w:rPr>
                <w:rFonts w:hint="eastAsia" w:ascii="宋体" w:hAnsi="宋体" w:eastAsia="宋体" w:cs="宋体"/>
                <w:kern w:val="0"/>
                <w:szCs w:val="21"/>
              </w:rPr>
            </w:pPr>
            <w:r>
              <w:rPr>
                <w:rFonts w:hint="eastAsia" w:ascii="宋体" w:hAnsi="宋体" w:eastAsia="宋体" w:cs="宋体"/>
                <w:kern w:val="0"/>
                <w:szCs w:val="21"/>
              </w:rPr>
              <w:t>计算公式</w:t>
            </w:r>
          </w:p>
        </w:tc>
        <w:tc>
          <w:tcPr>
            <w:tcW w:w="3849" w:type="pct"/>
            <w:vAlign w:val="center"/>
          </w:tcPr>
          <w:p w14:paraId="3C446145">
            <w:pPr>
              <w:tabs>
                <w:tab w:val="left" w:pos="3000"/>
              </w:tabs>
              <w:autoSpaceDE w:val="0"/>
              <w:autoSpaceDN w:val="0"/>
              <w:adjustRightInd w:val="0"/>
              <w:spacing w:before="73" w:line="320" w:lineRule="exact"/>
              <w:ind w:right="51"/>
              <w:jc w:val="left"/>
              <w:rPr>
                <w:rFonts w:hint="eastAsia" w:ascii="宋体" w:hAnsi="宋体" w:eastAsia="宋体" w:cs="宋体"/>
                <w:kern w:val="0"/>
                <w:szCs w:val="21"/>
              </w:rPr>
            </w:pPr>
            <w:r>
              <w:rPr>
                <w:rFonts w:hint="eastAsia" w:ascii="宋体" w:hAnsi="宋体" w:eastAsia="宋体" w:cs="宋体"/>
                <w:kern w:val="0"/>
                <w:szCs w:val="21"/>
              </w:rPr>
              <w:t>偏差率=100%×（投标人评标价－评标基准价）/评标基准价</w:t>
            </w:r>
          </w:p>
          <w:p w14:paraId="20CEA126">
            <w:pPr>
              <w:tabs>
                <w:tab w:val="left" w:pos="3000"/>
              </w:tabs>
              <w:autoSpaceDE w:val="0"/>
              <w:autoSpaceDN w:val="0"/>
              <w:adjustRightInd w:val="0"/>
              <w:spacing w:before="73" w:line="320" w:lineRule="exact"/>
              <w:ind w:right="51"/>
              <w:jc w:val="left"/>
              <w:rPr>
                <w:rFonts w:hint="eastAsia" w:ascii="宋体" w:hAnsi="宋体" w:eastAsia="宋体" w:cs="宋体"/>
                <w:kern w:val="0"/>
                <w:szCs w:val="21"/>
              </w:rPr>
            </w:pPr>
            <w:r>
              <w:rPr>
                <w:rFonts w:hint="eastAsia" w:ascii="宋体" w:hAnsi="宋体" w:eastAsia="宋体" w:cs="宋体"/>
                <w:kern w:val="0"/>
                <w:szCs w:val="21"/>
              </w:rPr>
              <w:t>“（投标人评标价－评标基准价）/评标基准价”保留小数点后三位，小数点后第四位“四舍五入”。</w:t>
            </w:r>
          </w:p>
        </w:tc>
      </w:tr>
      <w:tr w14:paraId="53C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9" w:hRule="exact"/>
        </w:trPr>
        <w:tc>
          <w:tcPr>
            <w:tcW w:w="599" w:type="pct"/>
            <w:vAlign w:val="center"/>
          </w:tcPr>
          <w:p w14:paraId="19022A2B">
            <w:pPr>
              <w:tabs>
                <w:tab w:val="left" w:pos="3000"/>
              </w:tabs>
              <w:autoSpaceDE w:val="0"/>
              <w:autoSpaceDN w:val="0"/>
              <w:adjustRightInd w:val="0"/>
              <w:spacing w:before="73" w:line="315" w:lineRule="atLeast"/>
              <w:ind w:right="-20" w:firstLine="420" w:firstLineChars="200"/>
              <w:jc w:val="center"/>
              <w:rPr>
                <w:rFonts w:hint="eastAsia" w:ascii="宋体" w:hAnsi="宋体" w:eastAsia="宋体" w:cs="宋体"/>
                <w:kern w:val="0"/>
                <w:szCs w:val="21"/>
              </w:rPr>
            </w:pPr>
            <w:r>
              <w:rPr>
                <w:rFonts w:hint="eastAsia" w:ascii="宋体" w:hAnsi="宋体" w:eastAsia="宋体" w:cs="宋体"/>
                <w:kern w:val="0"/>
                <w:szCs w:val="21"/>
              </w:rPr>
              <w:t>2.2.4（1）</w:t>
            </w:r>
          </w:p>
        </w:tc>
        <w:tc>
          <w:tcPr>
            <w:tcW w:w="550" w:type="pct"/>
            <w:vAlign w:val="center"/>
          </w:tcPr>
          <w:p w14:paraId="21A96492">
            <w:pPr>
              <w:autoSpaceDE w:val="0"/>
              <w:autoSpaceDN w:val="0"/>
              <w:adjustRightInd w:val="0"/>
              <w:spacing w:line="0" w:lineRule="atLeast"/>
              <w:ind w:left="113" w:right="113"/>
              <w:jc w:val="center"/>
              <w:rPr>
                <w:rFonts w:hint="eastAsia" w:ascii="宋体" w:hAnsi="宋体" w:eastAsia="宋体" w:cs="宋体"/>
                <w:kern w:val="0"/>
                <w:szCs w:val="21"/>
              </w:rPr>
            </w:pPr>
            <w:r>
              <w:rPr>
                <w:rFonts w:hint="eastAsia" w:ascii="宋体" w:hAnsi="宋体" w:eastAsia="宋体" w:cs="宋体"/>
                <w:kern w:val="0"/>
                <w:szCs w:val="21"/>
              </w:rPr>
              <w:t>评标价得分（C）</w:t>
            </w:r>
          </w:p>
        </w:tc>
        <w:tc>
          <w:tcPr>
            <w:tcW w:w="3849" w:type="pct"/>
            <w:vAlign w:val="center"/>
          </w:tcPr>
          <w:p w14:paraId="0B2E65AB">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评标价得分计算（满分100 分）：</w:t>
            </w:r>
          </w:p>
          <w:p w14:paraId="230F117C">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评标价得分C的计算公式（得分保留小数点后三位，小数点后第四位“四舍五入”）：</w:t>
            </w:r>
          </w:p>
          <w:p w14:paraId="0C517B24">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如果投标人的评标价＞评标基准价，则评标价得分C=100-偏差率×100×</w:t>
            </w:r>
            <w:r>
              <w:rPr>
                <w:rFonts w:hint="eastAsia" w:ascii="宋体" w:hAnsi="宋体" w:eastAsia="宋体" w:cs="宋体"/>
                <w:b/>
                <w:kern w:val="0"/>
                <w:szCs w:val="20"/>
              </w:rPr>
              <w:t>E1</w:t>
            </w:r>
            <w:r>
              <w:rPr>
                <w:rFonts w:hint="eastAsia" w:ascii="宋体" w:hAnsi="宋体" w:eastAsia="宋体" w:cs="宋体"/>
                <w:kern w:val="0"/>
                <w:szCs w:val="20"/>
              </w:rPr>
              <w:t>；</w:t>
            </w:r>
          </w:p>
          <w:p w14:paraId="07203AF4">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如果投标人的评标价≤评标基准价，则评标价得分C=100+偏差率×100×</w:t>
            </w:r>
            <w:r>
              <w:rPr>
                <w:rFonts w:hint="eastAsia" w:ascii="宋体" w:hAnsi="宋体" w:eastAsia="宋体" w:cs="宋体"/>
                <w:b/>
                <w:kern w:val="0"/>
                <w:szCs w:val="20"/>
              </w:rPr>
              <w:t>E2</w:t>
            </w:r>
            <w:r>
              <w:rPr>
                <w:rFonts w:hint="eastAsia" w:ascii="宋体" w:hAnsi="宋体" w:eastAsia="宋体" w:cs="宋体"/>
                <w:kern w:val="0"/>
                <w:szCs w:val="20"/>
              </w:rPr>
              <w:t>。</w:t>
            </w:r>
          </w:p>
          <w:p w14:paraId="00E00D0B">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b/>
                <w:spacing w:val="-2"/>
                <w:kern w:val="0"/>
                <w:szCs w:val="21"/>
              </w:rPr>
            </w:pPr>
            <w:r>
              <w:rPr>
                <w:rFonts w:hint="eastAsia" w:ascii="宋体" w:hAnsi="宋体" w:eastAsia="宋体" w:cs="宋体"/>
                <w:kern w:val="0"/>
                <w:szCs w:val="20"/>
              </w:rPr>
              <w:t xml:space="preserve">其中：E1是评标价每高于评标基准价一个百分点的扣分值；E2是评标价每低于评标基准价一个百分点的扣分值。评标价等于评标基准价得满分，每高于评标基准价一个百分点扣2分，每低于评标基准价一个百分点扣1分，不足一个百分点按比例内插计算。（ </w:t>
            </w:r>
            <w:r>
              <w:rPr>
                <w:rFonts w:hint="eastAsia" w:ascii="宋体" w:hAnsi="宋体" w:eastAsia="宋体" w:cs="宋体"/>
                <w:b/>
                <w:kern w:val="0"/>
                <w:szCs w:val="20"/>
              </w:rPr>
              <w:t>E1=</w:t>
            </w:r>
            <w:r>
              <w:rPr>
                <w:rFonts w:hint="eastAsia" w:ascii="宋体" w:hAnsi="宋体" w:eastAsia="宋体" w:cs="宋体"/>
                <w:b/>
                <w:kern w:val="0"/>
                <w:szCs w:val="20"/>
                <w:u w:val="single"/>
              </w:rPr>
              <w:t xml:space="preserve">   </w:t>
            </w:r>
            <w:r>
              <w:rPr>
                <w:rFonts w:hint="eastAsia" w:ascii="宋体" w:hAnsi="宋体" w:eastAsia="宋体" w:cs="宋体"/>
                <w:kern w:val="0"/>
                <w:szCs w:val="20"/>
                <w:u w:val="single"/>
              </w:rPr>
              <w:t xml:space="preserve">2  </w:t>
            </w:r>
            <w:r>
              <w:rPr>
                <w:rFonts w:hint="eastAsia" w:ascii="宋体" w:hAnsi="宋体" w:eastAsia="宋体" w:cs="宋体"/>
                <w:b/>
                <w:kern w:val="0"/>
                <w:szCs w:val="20"/>
              </w:rPr>
              <w:t>；E2=</w:t>
            </w:r>
            <w:r>
              <w:rPr>
                <w:rFonts w:hint="eastAsia" w:ascii="宋体" w:hAnsi="宋体" w:eastAsia="宋体" w:cs="宋体"/>
                <w:b/>
                <w:kern w:val="0"/>
                <w:szCs w:val="20"/>
                <w:u w:val="single"/>
              </w:rPr>
              <w:t xml:space="preserve">   </w:t>
            </w:r>
            <w:r>
              <w:rPr>
                <w:rFonts w:hint="eastAsia" w:ascii="宋体" w:hAnsi="宋体" w:eastAsia="宋体" w:cs="宋体"/>
                <w:kern w:val="0"/>
                <w:szCs w:val="20"/>
                <w:u w:val="single"/>
              </w:rPr>
              <w:t xml:space="preserve">1  </w:t>
            </w:r>
            <w:r>
              <w:rPr>
                <w:rFonts w:hint="eastAsia" w:ascii="宋体" w:hAnsi="宋体" w:eastAsia="宋体" w:cs="宋体"/>
                <w:kern w:val="0"/>
                <w:szCs w:val="20"/>
              </w:rPr>
              <w:t>）</w:t>
            </w:r>
          </w:p>
        </w:tc>
      </w:tr>
      <w:tr w14:paraId="7177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7" w:hRule="exact"/>
        </w:trPr>
        <w:tc>
          <w:tcPr>
            <w:tcW w:w="599" w:type="pct"/>
            <w:vAlign w:val="center"/>
          </w:tcPr>
          <w:p w14:paraId="37CBB941">
            <w:pPr>
              <w:tabs>
                <w:tab w:val="left" w:pos="3000"/>
              </w:tabs>
              <w:autoSpaceDE w:val="0"/>
              <w:autoSpaceDN w:val="0"/>
              <w:adjustRightInd w:val="0"/>
              <w:spacing w:before="73" w:line="315" w:lineRule="atLeast"/>
              <w:ind w:right="-20" w:firstLine="420" w:firstLineChars="200"/>
              <w:jc w:val="center"/>
              <w:rPr>
                <w:rFonts w:hint="eastAsia" w:ascii="宋体" w:hAnsi="宋体" w:eastAsia="宋体" w:cs="宋体"/>
                <w:kern w:val="0"/>
                <w:szCs w:val="21"/>
              </w:rPr>
            </w:pPr>
            <w:r>
              <w:rPr>
                <w:rFonts w:hint="eastAsia" w:ascii="宋体" w:hAnsi="宋体" w:eastAsia="宋体" w:cs="宋体"/>
                <w:kern w:val="0"/>
                <w:szCs w:val="21"/>
              </w:rPr>
              <w:t>2.2.4（2）</w:t>
            </w:r>
          </w:p>
        </w:tc>
        <w:tc>
          <w:tcPr>
            <w:tcW w:w="550" w:type="pct"/>
            <w:vAlign w:val="center"/>
          </w:tcPr>
          <w:p w14:paraId="3B20CED1">
            <w:pPr>
              <w:autoSpaceDE w:val="0"/>
              <w:autoSpaceDN w:val="0"/>
              <w:adjustRightInd w:val="0"/>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0"/>
              </w:rPr>
              <w:t>信用得分</w:t>
            </w:r>
            <w:r>
              <w:rPr>
                <w:rFonts w:hint="eastAsia" w:ascii="宋体" w:hAnsi="宋体" w:eastAsia="宋体" w:cs="宋体"/>
                <w:kern w:val="0"/>
                <w:szCs w:val="21"/>
              </w:rPr>
              <w:t>(D)</w:t>
            </w:r>
          </w:p>
          <w:p w14:paraId="5B87F43E">
            <w:pPr>
              <w:tabs>
                <w:tab w:val="left" w:pos="3000"/>
              </w:tabs>
              <w:autoSpaceDE w:val="0"/>
              <w:autoSpaceDN w:val="0"/>
              <w:adjustRightInd w:val="0"/>
              <w:spacing w:before="73" w:line="315" w:lineRule="atLeast"/>
              <w:ind w:right="-20"/>
              <w:jc w:val="center"/>
              <w:rPr>
                <w:rFonts w:hint="eastAsia" w:ascii="宋体" w:hAnsi="宋体" w:eastAsia="宋体" w:cs="宋体"/>
                <w:kern w:val="0"/>
                <w:szCs w:val="21"/>
              </w:rPr>
            </w:pPr>
          </w:p>
        </w:tc>
        <w:tc>
          <w:tcPr>
            <w:tcW w:w="3849" w:type="pct"/>
            <w:vAlign w:val="center"/>
          </w:tcPr>
          <w:p w14:paraId="03EC59CA">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①信用评价以“山西省交通运输厅</w:t>
            </w:r>
            <w:r>
              <w:rPr>
                <w:rFonts w:hint="eastAsia" w:ascii="宋体" w:hAnsi="宋体" w:eastAsia="宋体" w:cs="宋体"/>
                <w:kern w:val="0"/>
                <w:szCs w:val="20"/>
                <w:lang w:val="en-US" w:eastAsia="zh-CN"/>
              </w:rPr>
              <w:t>最新</w:t>
            </w:r>
            <w:r>
              <w:rPr>
                <w:rFonts w:hint="eastAsia" w:ascii="宋体" w:hAnsi="宋体" w:eastAsia="宋体" w:cs="宋体"/>
                <w:kern w:val="0"/>
                <w:szCs w:val="20"/>
              </w:rPr>
              <w:t>信用评价结果”为准，若在山西未有信用评价的，信用评价以“交通运输部</w:t>
            </w:r>
            <w:r>
              <w:rPr>
                <w:rFonts w:hint="eastAsia" w:ascii="宋体" w:hAnsi="宋体" w:eastAsia="宋体" w:cs="宋体"/>
                <w:kern w:val="0"/>
                <w:szCs w:val="20"/>
                <w:lang w:val="en-US" w:eastAsia="zh-CN"/>
              </w:rPr>
              <w:t>最新</w:t>
            </w:r>
            <w:r>
              <w:rPr>
                <w:rFonts w:hint="eastAsia" w:ascii="宋体" w:hAnsi="宋体" w:eastAsia="宋体" w:cs="宋体"/>
                <w:kern w:val="0"/>
                <w:szCs w:val="20"/>
              </w:rPr>
              <w:t>信用评价结果公示”为准，若交通运输部也没有信用评价的按B级对待。</w:t>
            </w:r>
          </w:p>
          <w:p w14:paraId="101468FA">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②仅评标价得分前五名的投标人参与信用得分计算。</w:t>
            </w:r>
          </w:p>
          <w:p w14:paraId="3FD597D3">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信用得分D计算：</w:t>
            </w:r>
          </w:p>
          <w:p w14:paraId="6CA2AFAF">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依据晋交建管【2010】789号文件《公路施工企业信用评价实施细则规定》：</w:t>
            </w:r>
          </w:p>
          <w:p w14:paraId="2D2679A6">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被山西省交通运输厅确定信用等级为“AA级”的投标人：D=a</w:t>
            </w:r>
          </w:p>
          <w:p w14:paraId="03934DF9">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被山西省交通运输厅确定信用等级为“A级”的投标人：D=0.5a</w:t>
            </w:r>
          </w:p>
          <w:p w14:paraId="68B3F1E1">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被山西省交通运输厅确定信用等级为“B级”和初次进入山西公路建设市场的投标人：D=0</w:t>
            </w:r>
          </w:p>
          <w:p w14:paraId="1C155DC1">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被山西省交通运输厅确定信用等级为“C级”的投标人：D=-0.5a</w:t>
            </w:r>
          </w:p>
          <w:p w14:paraId="3AB7CEDF">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其中：①a=（投标报价排名第一的投标人的评标价得分-投标报价排名第n的投标人的评标价得分）/（n-1）。</w:t>
            </w:r>
          </w:p>
          <w:p w14:paraId="0120A602">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0"/>
              </w:rPr>
            </w:pPr>
            <w:r>
              <w:rPr>
                <w:rFonts w:hint="eastAsia" w:ascii="宋体" w:hAnsi="宋体" w:eastAsia="宋体" w:cs="宋体"/>
                <w:kern w:val="0"/>
                <w:szCs w:val="20"/>
              </w:rPr>
              <w:t>a值在评标过程中保持不变，低于该标段理论成本价的投标报价得分不参与信用得分计算。</w:t>
            </w:r>
          </w:p>
          <w:p w14:paraId="473294FA">
            <w:pPr>
              <w:tabs>
                <w:tab w:val="left" w:pos="0"/>
                <w:tab w:val="left" w:pos="879"/>
              </w:tabs>
              <w:autoSpaceDE w:val="0"/>
              <w:autoSpaceDN w:val="0"/>
              <w:adjustRightInd w:val="0"/>
              <w:snapToGrid w:val="0"/>
              <w:spacing w:line="315" w:lineRule="atLeast"/>
              <w:ind w:left="29" w:firstLine="140"/>
              <w:jc w:val="left"/>
              <w:rPr>
                <w:rFonts w:hint="eastAsia" w:ascii="宋体" w:hAnsi="宋体" w:eastAsia="宋体" w:cs="宋体"/>
                <w:kern w:val="0"/>
                <w:szCs w:val="21"/>
              </w:rPr>
            </w:pPr>
            <w:r>
              <w:rPr>
                <w:rFonts w:hint="eastAsia" w:ascii="宋体" w:hAnsi="宋体" w:eastAsia="宋体" w:cs="宋体"/>
                <w:kern w:val="0"/>
                <w:szCs w:val="20"/>
              </w:rPr>
              <w:t>参与评标价得分计算的投标人数量≥5时，n=5；参与评标价得分计算的投标人数量&lt; 5时，n按所有参与评标价得分计算的投标人数量计。</w:t>
            </w:r>
          </w:p>
        </w:tc>
      </w:tr>
    </w:tbl>
    <w:p w14:paraId="2CE50DB6">
      <w:pPr>
        <w:autoSpaceDE w:val="0"/>
        <w:autoSpaceDN w:val="0"/>
        <w:adjustRightInd w:val="0"/>
        <w:spacing w:line="315" w:lineRule="atLeast"/>
        <w:jc w:val="left"/>
        <w:rPr>
          <w:rFonts w:hint="eastAsia" w:ascii="宋体" w:hAnsi="宋体" w:eastAsia="宋体" w:cs="宋体"/>
          <w:kern w:val="0"/>
          <w:szCs w:val="20"/>
          <w:lang w:eastAsia="zh-CN"/>
        </w:rPr>
      </w:pPr>
      <w:r>
        <w:rPr>
          <w:rFonts w:hint="eastAsia" w:ascii="宋体" w:hAnsi="宋体" w:eastAsia="宋体" w:cs="宋体"/>
          <w:kern w:val="0"/>
          <w:szCs w:val="20"/>
          <w:lang w:eastAsia="zh-CN"/>
        </w:rPr>
        <w:br w:type="page"/>
      </w:r>
    </w:p>
    <w:tbl>
      <w:tblPr>
        <w:tblStyle w:val="2"/>
        <w:tblW w:w="5071" w:type="pct"/>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34"/>
      </w:tblGrid>
      <w:tr w14:paraId="3365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5" w:hRule="atLeast"/>
        </w:trPr>
        <w:tc>
          <w:tcPr>
            <w:tcW w:w="5000" w:type="pct"/>
            <w:vAlign w:val="center"/>
          </w:tcPr>
          <w:p w14:paraId="605D721D">
            <w:pPr>
              <w:autoSpaceDE w:val="0"/>
              <w:autoSpaceDN w:val="0"/>
              <w:adjustRightInd w:val="0"/>
              <w:spacing w:line="500" w:lineRule="exact"/>
              <w:jc w:val="left"/>
              <w:rPr>
                <w:rFonts w:hint="eastAsia" w:ascii="宋体" w:hAnsi="宋体" w:eastAsia="宋体" w:cs="宋体"/>
                <w:b/>
                <w:bCs/>
                <w:kern w:val="0"/>
                <w:szCs w:val="32"/>
              </w:rPr>
            </w:pPr>
            <w:r>
              <w:rPr>
                <w:rFonts w:hint="eastAsia" w:ascii="宋体" w:hAnsi="宋体" w:eastAsia="宋体" w:cs="宋体"/>
                <w:b/>
                <w:bCs/>
                <w:kern w:val="0"/>
                <w:szCs w:val="32"/>
              </w:rPr>
              <w:t>需要补充的其他内容：</w:t>
            </w:r>
          </w:p>
          <w:p w14:paraId="3716F944">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本项目采用双信封合理低价法进行评标，评标办法正文第3条内容细化如下：</w:t>
            </w:r>
          </w:p>
          <w:p w14:paraId="379D82B6">
            <w:pPr>
              <w:autoSpaceDE w:val="0"/>
              <w:autoSpaceDN w:val="0"/>
              <w:adjustRightInd w:val="0"/>
              <w:spacing w:line="500" w:lineRule="exact"/>
              <w:jc w:val="left"/>
              <w:rPr>
                <w:rFonts w:hint="eastAsia" w:ascii="宋体" w:hAnsi="宋体" w:eastAsia="宋体" w:cs="宋体"/>
                <w:b/>
                <w:bCs/>
                <w:kern w:val="0"/>
                <w:szCs w:val="32"/>
              </w:rPr>
            </w:pPr>
            <w:r>
              <w:rPr>
                <w:rFonts w:hint="eastAsia" w:ascii="宋体" w:hAnsi="宋体" w:eastAsia="宋体" w:cs="宋体"/>
                <w:b/>
                <w:bCs/>
                <w:kern w:val="0"/>
                <w:szCs w:val="32"/>
              </w:rPr>
              <w:t>3.  评标程序</w:t>
            </w:r>
          </w:p>
          <w:p w14:paraId="0AA5ABF6">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评标工作按以下程序进行：</w:t>
            </w:r>
          </w:p>
          <w:p w14:paraId="06423FB3">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3.1第一个信封初步评审</w:t>
            </w:r>
          </w:p>
          <w:p w14:paraId="38C0AA9A">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3.1.1评标委员会依据本章第2.1款规定的标准对投标文件第一个信封（商务及技术文件）进行初步评审。有一项不符合评审标准的，评标委员会应否决其投标。</w:t>
            </w:r>
          </w:p>
          <w:p w14:paraId="71D7AAEB">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评标工作按以下程序进行：</w:t>
            </w:r>
          </w:p>
          <w:p w14:paraId="14ADA6AD">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3.1第一个信封初步评审</w:t>
            </w:r>
          </w:p>
          <w:p w14:paraId="00D08CF9">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3.1.1评标委员会依据本章第2.1款规定的标准对投标文件第一个信封（商务及技术文件）进行初步评审。有一项不符合评审标准的，评标委员会应否决其投标。</w:t>
            </w:r>
          </w:p>
          <w:p w14:paraId="656673D3">
            <w:pPr>
              <w:autoSpaceDE w:val="0"/>
              <w:autoSpaceDN w:val="0"/>
              <w:adjustRightInd w:val="0"/>
              <w:spacing w:line="500" w:lineRule="exact"/>
              <w:jc w:val="left"/>
              <w:rPr>
                <w:rFonts w:ascii="宋体" w:hAnsi="Times New Roman" w:eastAsia="宋体" w:cs="Times New Roman"/>
                <w:kern w:val="0"/>
                <w:szCs w:val="32"/>
                <w:highlight w:val="none"/>
                <w:lang w:val="en-US" w:eastAsia="zh-CN"/>
              </w:rPr>
            </w:pPr>
            <w:r>
              <w:rPr>
                <w:rFonts w:ascii="宋体" w:hAnsi="Times New Roman" w:eastAsia="宋体" w:cs="Times New Roman"/>
                <w:kern w:val="0"/>
                <w:szCs w:val="32"/>
              </w:rPr>
              <w:t>3.1</w:t>
            </w:r>
            <w:r>
              <w:rPr>
                <w:rFonts w:ascii="宋体" w:hAnsi="Times New Roman" w:eastAsia="宋体" w:cs="Times New Roman"/>
                <w:kern w:val="0"/>
                <w:sz w:val="21"/>
                <w:szCs w:val="32"/>
                <w:lang w:val="en-US" w:eastAsia="zh-CN" w:bidi="ar-SA"/>
              </w:rPr>
              <w:t>.</w:t>
            </w:r>
            <w:r>
              <w:rPr>
                <w:rFonts w:ascii="宋体" w:hAnsi="Times New Roman" w:eastAsia="宋体" w:cs="Times New Roman"/>
                <w:kern w:val="0"/>
                <w:szCs w:val="32"/>
                <w:highlight w:val="none"/>
                <w:lang w:val="en-US" w:eastAsia="zh-CN"/>
              </w:rPr>
              <w:t>2</w:t>
            </w:r>
            <w:r>
              <w:rPr>
                <w:rFonts w:hint="eastAsia" w:ascii="宋体" w:hAnsi="Times New Roman" w:eastAsia="宋体" w:cs="Times New Roman"/>
                <w:kern w:val="0"/>
                <w:szCs w:val="32"/>
                <w:highlight w:val="none"/>
                <w:lang w:val="en-US" w:eastAsia="zh-CN"/>
              </w:rPr>
              <w:t>若通过第一信封的投标人少于3个，评标委员会可以否决全部投标；未否决全部投标的，评标委员会应当在评标报告中阐明理由。</w:t>
            </w:r>
          </w:p>
          <w:p w14:paraId="169A16F9">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3.2第二个信封开标</w:t>
            </w:r>
          </w:p>
          <w:p w14:paraId="304FDD8E">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第一个信封（商务及技术文件）评审结束后，招标人将按照第二章“投标人须知”第5.1款规定的时间和地点对通过投标文件第一个信封（商务及技术文件）评审的投标文件第二个信封（报价文件）进行开标。</w:t>
            </w:r>
          </w:p>
          <w:p w14:paraId="7900B273">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3.3第二个信封初步评审</w:t>
            </w:r>
          </w:p>
          <w:p w14:paraId="366E2CEF">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3.3.1投标人初步评估得分</w:t>
            </w:r>
          </w:p>
          <w:p w14:paraId="74BA7F25">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（1）按本章第2.2款规定的量化因素和分值进行打分，并计算出投标人初步评估得分。</w:t>
            </w:r>
          </w:p>
          <w:p w14:paraId="6CDA67AE">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a.按本章第 2.2.4（1）目规定的评审因素和分值对评标价计算出得分</w:t>
            </w:r>
            <w:r>
              <w:rPr>
                <w:rFonts w:hint="eastAsia" w:ascii="宋体" w:hAnsi="Times New Roman" w:eastAsia="宋体" w:cs="Times New Roman"/>
                <w:kern w:val="0"/>
                <w:szCs w:val="32"/>
                <w:lang w:val="en-US" w:eastAsia="zh-CN"/>
              </w:rPr>
              <w:t>C</w:t>
            </w:r>
            <w:r>
              <w:rPr>
                <w:rFonts w:ascii="宋体" w:hAnsi="Times New Roman" w:eastAsia="宋体" w:cs="Times New Roman"/>
                <w:kern w:val="0"/>
                <w:szCs w:val="32"/>
              </w:rPr>
              <w:t>；</w:t>
            </w:r>
          </w:p>
          <w:p w14:paraId="28A9A8F3">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b.按本章第 2.2.4（2）目规定的评审因素和分值对信用得分计算出得分</w:t>
            </w:r>
            <w:r>
              <w:rPr>
                <w:rFonts w:hint="eastAsia" w:ascii="宋体" w:hAnsi="Times New Roman" w:eastAsia="宋体" w:cs="Times New Roman"/>
                <w:kern w:val="0"/>
                <w:szCs w:val="32"/>
                <w:lang w:val="en-US" w:eastAsia="zh-CN"/>
              </w:rPr>
              <w:t>D</w:t>
            </w:r>
            <w:r>
              <w:rPr>
                <w:rFonts w:ascii="宋体" w:hAnsi="Times New Roman" w:eastAsia="宋体" w:cs="Times New Roman"/>
                <w:kern w:val="0"/>
                <w:szCs w:val="32"/>
              </w:rPr>
              <w:t>。</w:t>
            </w:r>
          </w:p>
          <w:p w14:paraId="4A65263B">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（2）初步评估得分分值计算保留小数点后两位，小数点后第三位“四舍五入”。</w:t>
            </w:r>
          </w:p>
          <w:p w14:paraId="3900BA45">
            <w:pPr>
              <w:autoSpaceDE w:val="0"/>
              <w:autoSpaceDN w:val="0"/>
              <w:adjustRightInd w:val="0"/>
              <w:spacing w:line="500" w:lineRule="exact"/>
              <w:jc w:val="left"/>
              <w:rPr>
                <w:rFonts w:hint="eastAsia" w:ascii="宋体" w:hAnsi="Times New Roman" w:eastAsia="宋体" w:cs="Times New Roman"/>
                <w:kern w:val="0"/>
                <w:szCs w:val="32"/>
                <w:lang w:val="en-US" w:eastAsia="zh-CN"/>
              </w:rPr>
            </w:pPr>
            <w:r>
              <w:rPr>
                <w:rFonts w:ascii="宋体" w:hAnsi="Times New Roman" w:eastAsia="宋体" w:cs="Times New Roman"/>
                <w:kern w:val="0"/>
                <w:szCs w:val="32"/>
              </w:rPr>
              <w:t>（3）投标人初步评估得分=</w:t>
            </w:r>
            <w:r>
              <w:rPr>
                <w:rFonts w:hint="eastAsia" w:ascii="宋体" w:hAnsi="Times New Roman" w:eastAsia="宋体" w:cs="Times New Roman"/>
                <w:kern w:val="0"/>
                <w:szCs w:val="32"/>
                <w:lang w:val="en-US" w:eastAsia="zh-CN"/>
              </w:rPr>
              <w:t>C</w:t>
            </w:r>
            <w:r>
              <w:rPr>
                <w:rFonts w:ascii="宋体" w:hAnsi="Times New Roman" w:eastAsia="宋体" w:cs="Times New Roman"/>
                <w:kern w:val="0"/>
                <w:szCs w:val="32"/>
              </w:rPr>
              <w:t>+</w:t>
            </w:r>
            <w:r>
              <w:rPr>
                <w:rFonts w:hint="eastAsia" w:ascii="宋体" w:hAnsi="Times New Roman" w:eastAsia="宋体" w:cs="Times New Roman"/>
                <w:kern w:val="0"/>
                <w:szCs w:val="32"/>
                <w:lang w:val="en-US" w:eastAsia="zh-CN"/>
              </w:rPr>
              <w:t>D</w:t>
            </w:r>
          </w:p>
          <w:p w14:paraId="43ED3DD7">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3.3.2 第二个信封的初步评审</w:t>
            </w:r>
          </w:p>
          <w:p w14:paraId="69F43F32">
            <w:pPr>
              <w:autoSpaceDE w:val="0"/>
              <w:autoSpaceDN w:val="0"/>
              <w:adjustRightInd w:val="0"/>
              <w:spacing w:line="500" w:lineRule="exact"/>
              <w:jc w:val="left"/>
              <w:rPr>
                <w:rFonts w:ascii="宋体" w:hAnsi="Times New Roman" w:eastAsia="宋体" w:cs="Times New Roman"/>
                <w:kern w:val="0"/>
                <w:szCs w:val="32"/>
              </w:rPr>
            </w:pPr>
            <w:r>
              <w:rPr>
                <w:rFonts w:hint="eastAsia" w:ascii="宋体" w:hAnsi="Times New Roman" w:eastAsia="宋体" w:cs="Times New Roman"/>
                <w:kern w:val="0"/>
                <w:szCs w:val="32"/>
              </w:rPr>
              <w:t>第二信封报价文件进行开标并经评审后，有效投标不足3个使得投标明显缺乏竞争的，评标委员会可以否决全部投标；未否决全部投标的，评标委员会应当在评标报告中阐明理由。</w:t>
            </w:r>
          </w:p>
          <w:p w14:paraId="55112A67">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3.4  第二个信封详细评审</w:t>
            </w:r>
          </w:p>
          <w:p w14:paraId="3D5BC63E">
            <w:pPr>
              <w:autoSpaceDE w:val="0"/>
              <w:autoSpaceDN w:val="0"/>
              <w:adjustRightInd w:val="0"/>
              <w:spacing w:line="500" w:lineRule="exact"/>
              <w:jc w:val="left"/>
              <w:rPr>
                <w:rFonts w:ascii="宋体" w:hAnsi="Times New Roman" w:eastAsia="宋体" w:cs="Times New Roman"/>
                <w:kern w:val="0"/>
                <w:szCs w:val="32"/>
              </w:rPr>
            </w:pPr>
            <w:r>
              <w:rPr>
                <w:rFonts w:ascii="宋体" w:hAnsi="Times New Roman" w:eastAsia="宋体" w:cs="Times New Roman"/>
                <w:kern w:val="0"/>
                <w:szCs w:val="32"/>
              </w:rPr>
              <w:t>3.4.1通过第二个信封（报价文件）的初步评审的投标人，其投标人得分=该投标人的初步评估得分。</w:t>
            </w:r>
          </w:p>
          <w:p w14:paraId="173C9A2B">
            <w:pPr>
              <w:autoSpaceDE w:val="0"/>
              <w:autoSpaceDN w:val="0"/>
              <w:adjustRightInd w:val="0"/>
              <w:spacing w:line="500" w:lineRule="exact"/>
              <w:jc w:val="left"/>
              <w:rPr>
                <w:rFonts w:hint="eastAsia" w:ascii="宋体" w:hAnsi="宋体" w:eastAsia="宋体" w:cs="宋体"/>
                <w:kern w:val="0"/>
                <w:szCs w:val="32"/>
              </w:rPr>
            </w:pPr>
            <w:r>
              <w:rPr>
                <w:rFonts w:ascii="宋体" w:hAnsi="Times New Roman" w:eastAsia="宋体" w:cs="Times New Roman"/>
                <w:kern w:val="0"/>
                <w:szCs w:val="32"/>
              </w:rPr>
              <w:t>3.4.2评标委员会发现投标人的报价明显低于其他投标报价，使得其投标报价可能低于其个别成本的，应当要求该投标人作出书面说明并提供相应的证明材料。投标人不能合理说明或者不能提供相应证明材料的，评标委员会应认定该投标人以低于成本报价竞标，并否决其投标。</w:t>
            </w:r>
          </w:p>
          <w:p w14:paraId="4A4FEBAA">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3.5  投标文件相关信息的核查</w:t>
            </w:r>
          </w:p>
          <w:p w14:paraId="15DD03FF">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3.5.1 在评标过程中，评标委员会应查询规定网站，对投标人的资质、业绩、主要人员资历和目前在岗情况、信用等级等信息进行核实。若投标文件载明的信息与规定网站发布的信息不符，使得投标人的资格条件不符合招标文件规定的，评标委员会应否决其投标。</w:t>
            </w:r>
          </w:p>
          <w:p w14:paraId="796304E8">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1B82A274">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（1）有下列情形之一的，属于投标人相互串通投标：</w:t>
            </w:r>
          </w:p>
          <w:p w14:paraId="1A71D327">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a.投标人之间协商投标报价等投标文件的实质性内容；</w:t>
            </w:r>
          </w:p>
          <w:p w14:paraId="2124A8C5">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b.投标人之间约定中标人；</w:t>
            </w:r>
          </w:p>
          <w:p w14:paraId="0FFA6C1F">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c.投标人之间约定部分投标人放弃投标或中标；</w:t>
            </w:r>
          </w:p>
          <w:p w14:paraId="3D09D950">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d.属于同一集团、协会、商会等组织成员的投标人按照该组织要求协同投标；</w:t>
            </w:r>
          </w:p>
          <w:p w14:paraId="53B640F8">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e.投标人之间为谋取中标或排斥特定投标人而采取的其他联合行动。</w:t>
            </w:r>
          </w:p>
          <w:p w14:paraId="488379D4">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（2）有下列情形之一的，视为投标人相互串通投标：</w:t>
            </w:r>
          </w:p>
          <w:p w14:paraId="6726A15E">
            <w:pPr>
              <w:autoSpaceDE w:val="0"/>
              <w:autoSpaceDN w:val="0"/>
              <w:adjustRightInd w:val="0"/>
              <w:spacing w:line="500" w:lineRule="exact"/>
              <w:ind w:firstLine="420" w:firstLineChars="200"/>
              <w:jc w:val="left"/>
              <w:rPr>
                <w:rFonts w:hint="eastAsia" w:ascii="宋体" w:hAnsi="宋体" w:eastAsia="宋体" w:cs="宋体"/>
                <w:kern w:val="0"/>
                <w:szCs w:val="32"/>
                <w:lang w:eastAsia="zh-CN"/>
              </w:rPr>
            </w:pPr>
            <w:r>
              <w:rPr>
                <w:rFonts w:hint="eastAsia" w:ascii="宋体" w:hAnsi="宋体" w:eastAsia="宋体" w:cs="宋体"/>
                <w:kern w:val="0"/>
                <w:szCs w:val="32"/>
                <w:lang w:eastAsia="zh-CN"/>
              </w:rPr>
              <w:t>a.不同投标人投标文件投标报价、项目管理成员等实质性内容存在一致；</w:t>
            </w:r>
          </w:p>
          <w:p w14:paraId="68C950F7">
            <w:pPr>
              <w:autoSpaceDE w:val="0"/>
              <w:autoSpaceDN w:val="0"/>
              <w:adjustRightInd w:val="0"/>
              <w:spacing w:line="500" w:lineRule="exact"/>
              <w:ind w:firstLine="420" w:firstLineChars="200"/>
              <w:jc w:val="left"/>
              <w:rPr>
                <w:rFonts w:hint="eastAsia" w:ascii="宋体" w:hAnsi="宋体" w:eastAsia="宋体" w:cs="宋体"/>
                <w:kern w:val="0"/>
                <w:szCs w:val="32"/>
                <w:lang w:eastAsia="zh-CN"/>
              </w:rPr>
            </w:pPr>
            <w:r>
              <w:rPr>
                <w:rFonts w:hint="eastAsia" w:ascii="宋体" w:hAnsi="宋体" w:eastAsia="宋体" w:cs="宋体"/>
                <w:kern w:val="0"/>
                <w:szCs w:val="32"/>
                <w:lang w:eastAsia="zh-CN"/>
              </w:rPr>
              <w:t>b.电子投标文件记录的MAC地址相同；</w:t>
            </w:r>
          </w:p>
          <w:p w14:paraId="7862605A">
            <w:pPr>
              <w:autoSpaceDE w:val="0"/>
              <w:autoSpaceDN w:val="0"/>
              <w:adjustRightInd w:val="0"/>
              <w:spacing w:line="500" w:lineRule="exact"/>
              <w:ind w:firstLine="420" w:firstLineChars="200"/>
              <w:jc w:val="left"/>
              <w:rPr>
                <w:rFonts w:hint="eastAsia" w:ascii="宋体" w:hAnsi="宋体" w:eastAsia="宋体" w:cs="宋体"/>
                <w:kern w:val="0"/>
                <w:szCs w:val="32"/>
                <w:lang w:eastAsia="zh-CN"/>
              </w:rPr>
            </w:pPr>
            <w:r>
              <w:rPr>
                <w:rFonts w:hint="eastAsia" w:ascii="宋体" w:hAnsi="宋体" w:eastAsia="宋体" w:cs="宋体"/>
                <w:kern w:val="0"/>
                <w:szCs w:val="32"/>
                <w:lang w:eastAsia="zh-CN"/>
              </w:rPr>
              <w:t>c.投标文件的下载、制作、记录、上传IP地址等信息出现任一相同情况；</w:t>
            </w:r>
          </w:p>
          <w:p w14:paraId="4B23C208">
            <w:pPr>
              <w:autoSpaceDE w:val="0"/>
              <w:autoSpaceDN w:val="0"/>
              <w:adjustRightInd w:val="0"/>
              <w:spacing w:line="500" w:lineRule="exact"/>
              <w:ind w:firstLine="420" w:firstLineChars="200"/>
              <w:jc w:val="left"/>
              <w:rPr>
                <w:rFonts w:hint="eastAsia" w:ascii="宋体" w:hAnsi="宋体" w:eastAsia="宋体" w:cs="宋体"/>
                <w:kern w:val="0"/>
                <w:szCs w:val="32"/>
                <w:lang w:eastAsia="zh-CN"/>
              </w:rPr>
            </w:pPr>
            <w:r>
              <w:rPr>
                <w:rFonts w:hint="eastAsia" w:ascii="宋体" w:hAnsi="宋体" w:eastAsia="宋体" w:cs="宋体"/>
                <w:kern w:val="0"/>
                <w:szCs w:val="32"/>
                <w:lang w:eastAsia="zh-CN"/>
              </w:rPr>
              <w:t>d.不同投标人的投标保证金来源为同一单位或者账户的；</w:t>
            </w:r>
          </w:p>
          <w:p w14:paraId="1491C9A0">
            <w:pPr>
              <w:autoSpaceDE w:val="0"/>
              <w:autoSpaceDN w:val="0"/>
              <w:adjustRightInd w:val="0"/>
              <w:spacing w:line="500" w:lineRule="exact"/>
              <w:ind w:firstLine="420" w:firstLineChars="200"/>
              <w:jc w:val="left"/>
              <w:rPr>
                <w:rFonts w:hint="eastAsia" w:ascii="宋体" w:hAnsi="宋体" w:eastAsia="宋体" w:cs="宋体"/>
                <w:kern w:val="0"/>
                <w:szCs w:val="32"/>
                <w:lang w:eastAsia="zh-CN"/>
              </w:rPr>
            </w:pPr>
            <w:r>
              <w:rPr>
                <w:rFonts w:hint="eastAsia" w:ascii="宋体" w:hAnsi="宋体" w:eastAsia="宋体" w:cs="宋体"/>
                <w:kern w:val="0"/>
                <w:szCs w:val="32"/>
                <w:lang w:eastAsia="zh-CN"/>
              </w:rPr>
              <w:t>e.投标人之间相互约定给予未中标的投标人费用补偿的；</w:t>
            </w:r>
          </w:p>
          <w:p w14:paraId="638C1227">
            <w:pPr>
              <w:autoSpaceDE w:val="0"/>
              <w:autoSpaceDN w:val="0"/>
              <w:adjustRightInd w:val="0"/>
              <w:spacing w:line="500" w:lineRule="exact"/>
              <w:ind w:firstLine="420" w:firstLineChars="200"/>
              <w:jc w:val="left"/>
              <w:rPr>
                <w:rFonts w:hint="eastAsia" w:ascii="宋体" w:hAnsi="宋体" w:eastAsia="宋体" w:cs="宋体"/>
                <w:kern w:val="0"/>
                <w:szCs w:val="32"/>
                <w:lang w:eastAsia="zh-CN"/>
              </w:rPr>
            </w:pPr>
            <w:r>
              <w:rPr>
                <w:rFonts w:hint="eastAsia" w:ascii="宋体" w:hAnsi="宋体" w:eastAsia="宋体" w:cs="宋体"/>
                <w:kern w:val="0"/>
                <w:szCs w:val="32"/>
                <w:lang w:eastAsia="zh-CN"/>
              </w:rPr>
              <w:t>f.不同投标人的CA数字证书混用的；</w:t>
            </w:r>
          </w:p>
          <w:p w14:paraId="1576655E">
            <w:pPr>
              <w:autoSpaceDE w:val="0"/>
              <w:autoSpaceDN w:val="0"/>
              <w:adjustRightInd w:val="0"/>
              <w:spacing w:line="500" w:lineRule="exact"/>
              <w:ind w:firstLine="420" w:firstLineChars="200"/>
              <w:jc w:val="left"/>
              <w:rPr>
                <w:rFonts w:hint="eastAsia" w:ascii="宋体" w:hAnsi="宋体" w:eastAsia="宋体" w:cs="宋体"/>
                <w:kern w:val="0"/>
                <w:szCs w:val="32"/>
                <w:lang w:eastAsia="zh-CN"/>
              </w:rPr>
            </w:pPr>
            <w:r>
              <w:rPr>
                <w:rFonts w:hint="eastAsia" w:ascii="宋体" w:hAnsi="宋体" w:eastAsia="宋体" w:cs="宋体"/>
                <w:kern w:val="0"/>
                <w:szCs w:val="32"/>
                <w:lang w:eastAsia="zh-CN"/>
              </w:rPr>
              <w:t>g.其他法律法规和相关规定被视为投标人相互串通投标的情形。</w:t>
            </w:r>
          </w:p>
          <w:p w14:paraId="24745C80">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（3）有下列情形之一的，属于招标人与投标人串通投标：</w:t>
            </w:r>
          </w:p>
          <w:p w14:paraId="1688898E">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a.招标人在开标前开启投标文件并将有关信息泄露给其他投标人;</w:t>
            </w:r>
          </w:p>
          <w:p w14:paraId="6AF1E479">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b.招标人直接或间接向投标人泄露标底、评标委员会成员等信息；</w:t>
            </w:r>
          </w:p>
          <w:p w14:paraId="3A5610B6">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c.招标人明示或暗示投标人压低或抬高投标报价；</w:t>
            </w:r>
          </w:p>
          <w:p w14:paraId="6332610A">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d.招标人授意投标人撤换、修改投标文件；</w:t>
            </w:r>
          </w:p>
          <w:p w14:paraId="13373A7A">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e.招标人明示或暗示投标人为特定投标人中标提供方便；</w:t>
            </w:r>
          </w:p>
          <w:p w14:paraId="175FD539">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f.招标人与投标人为谋求特定投标人中标而采取的其他串通行为。</w:t>
            </w:r>
          </w:p>
          <w:p w14:paraId="728D8AE8">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（4）投标人有下列情形之一的，属于弄虚作假的行为：</w:t>
            </w:r>
          </w:p>
          <w:p w14:paraId="33E73AC2">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a.使用通过受让或租借等方式获取的资格、资质证书投标；</w:t>
            </w:r>
          </w:p>
          <w:p w14:paraId="09E4ECE2">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b.使用伪造、变造的许可证件；</w:t>
            </w:r>
          </w:p>
          <w:p w14:paraId="1FD5BA3F">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c.提供虚假的财务状况或业绩；</w:t>
            </w:r>
          </w:p>
          <w:p w14:paraId="1D8C4357">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d.提供虚假的项目负责人或主要技术人员简历、劳动关系证明；</w:t>
            </w:r>
          </w:p>
          <w:p w14:paraId="5FE378D7">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e.提供虚假的信用状况；</w:t>
            </w:r>
          </w:p>
          <w:p w14:paraId="4BE12358">
            <w:pPr>
              <w:autoSpaceDE w:val="0"/>
              <w:autoSpaceDN w:val="0"/>
              <w:adjustRightInd w:val="0"/>
              <w:spacing w:line="500" w:lineRule="exact"/>
              <w:ind w:firstLine="420" w:firstLineChars="200"/>
              <w:jc w:val="left"/>
              <w:rPr>
                <w:rFonts w:hint="eastAsia" w:ascii="宋体" w:hAnsi="宋体" w:eastAsia="宋体" w:cs="宋体"/>
                <w:kern w:val="0"/>
                <w:szCs w:val="32"/>
              </w:rPr>
            </w:pPr>
            <w:r>
              <w:rPr>
                <w:rFonts w:hint="eastAsia" w:ascii="宋体" w:hAnsi="宋体" w:eastAsia="宋体" w:cs="宋体"/>
                <w:kern w:val="0"/>
                <w:szCs w:val="32"/>
              </w:rPr>
              <w:t>f.其他弄虚作假的行为。</w:t>
            </w:r>
          </w:p>
          <w:p w14:paraId="3A6735B3">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3.5.3（1）不同投标人间不得有下列情形：</w:t>
            </w:r>
          </w:p>
          <w:p w14:paraId="1FBE1011">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a.不同投标人投标文件投标报价、项目管理成员等实质性内容存在一致；</w:t>
            </w:r>
          </w:p>
          <w:p w14:paraId="03D4D34B">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b.电子投标文件记录的MAC地址相同；</w:t>
            </w:r>
          </w:p>
          <w:p w14:paraId="1BEB7BB5">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c.投标文件的下载、制作、记录、上传IP地址等信息出现任一相同情况；</w:t>
            </w:r>
          </w:p>
          <w:p w14:paraId="206783B2">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d.不同投标人的投标保证金来源为同一单位或者账户的；</w:t>
            </w:r>
          </w:p>
          <w:p w14:paraId="74F3C657">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e.投标人之间相互约定给予未中标的投标人费用补偿的；</w:t>
            </w:r>
          </w:p>
          <w:p w14:paraId="7A081934">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f.不同投标人的CA数字证书混用的；</w:t>
            </w:r>
          </w:p>
          <w:p w14:paraId="4A8C6CCB">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g.其他法律法规和相关规定被视为投标人相互串通投标的情形。</w:t>
            </w:r>
          </w:p>
          <w:p w14:paraId="5D8BD73B">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2）发现（1）所列情形的，评标委员会应当否决相应投标文件并详细记录至评标报告。因此导致有效投标不足3个使得投标明显缺乏竞争的，可以否决全部投标；未否决全部投标的，评标委员会应当在评标报告中阐明理由并推荐中标候选人。</w:t>
            </w:r>
          </w:p>
          <w:p w14:paraId="1E11EF70">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（3）发现（1）所列情形的，招标人在评标结束后，应就相关投标人是否涉嫌围标串标行为进行调查取证，形成明确认定意见，逐级备案至交通运输主管部门。</w:t>
            </w:r>
          </w:p>
          <w:p w14:paraId="094E6692">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3.6  投标文件的澄清和说明</w:t>
            </w:r>
          </w:p>
          <w:p w14:paraId="65C80E5F">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EF1E239">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3.6.2 澄清和说明不得超出投标文件的范围或改变投标文件的实质性内容（算术性错误修正的除外）。投标人的书面澄清、说明属于投标文件的组成部分。</w:t>
            </w:r>
          </w:p>
          <w:p w14:paraId="4153469B">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3.6.3 评标委员会不得暗示或诱导投标人作出澄清、说明，对投标人提交的澄清、说明有疑问的，可以要求投标人进一步澄清或说明，直至满足评标委员会的要求。</w:t>
            </w:r>
          </w:p>
          <w:p w14:paraId="5C9F89EA">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3.6.4凡超出招标文件规定的或给发包人带来未曾要求的利益的变化、偏差或其他因素在评标时不予考虑。</w:t>
            </w:r>
          </w:p>
          <w:p w14:paraId="41C491C0">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3.7  不得否决投标的情形</w:t>
            </w:r>
          </w:p>
          <w:p w14:paraId="1C6ECC1C">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投标文件存在第二章“投标人须知”第1.12.3项所列情形的，均视为细微偏差，评标委员会不得否决投标人的投标，应按照第二章“投标人须知”第1.12.4项规定的原则处理。</w:t>
            </w:r>
          </w:p>
          <w:p w14:paraId="53E7F953">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3.8   评标结果</w:t>
            </w:r>
          </w:p>
          <w:p w14:paraId="660CFCC7">
            <w:pPr>
              <w:autoSpaceDE w:val="0"/>
              <w:autoSpaceDN w:val="0"/>
              <w:adjustRightInd w:val="0"/>
              <w:spacing w:line="500" w:lineRule="exact"/>
              <w:jc w:val="left"/>
              <w:rPr>
                <w:rFonts w:hint="eastAsia" w:ascii="宋体" w:hAnsi="宋体" w:eastAsia="宋体" w:cs="宋体"/>
                <w:kern w:val="0"/>
                <w:szCs w:val="32"/>
              </w:rPr>
            </w:pPr>
            <w:r>
              <w:rPr>
                <w:rFonts w:hint="eastAsia" w:ascii="宋体" w:hAnsi="宋体" w:eastAsia="宋体" w:cs="宋体"/>
                <w:kern w:val="0"/>
                <w:szCs w:val="32"/>
              </w:rPr>
              <w:t>3.8.1 评标委员会根据投标人得分由高到低的顺序，依次推荐</w:t>
            </w:r>
            <w:r>
              <w:rPr>
                <w:rFonts w:hint="eastAsia" w:ascii="宋体" w:hAnsi="宋体" w:eastAsia="宋体" w:cs="宋体"/>
                <w:kern w:val="0"/>
                <w:szCs w:val="32"/>
                <w:lang w:val="en-US" w:eastAsia="zh-CN"/>
              </w:rPr>
              <w:t>3</w:t>
            </w:r>
            <w:r>
              <w:rPr>
                <w:rFonts w:hint="eastAsia" w:ascii="宋体" w:hAnsi="宋体" w:eastAsia="宋体" w:cs="宋体"/>
                <w:kern w:val="0"/>
                <w:szCs w:val="32"/>
              </w:rPr>
              <w:t>名中标候选人</w:t>
            </w:r>
            <w:r>
              <w:rPr>
                <w:rFonts w:hint="eastAsia" w:ascii="宋体" w:hAnsi="宋体" w:eastAsia="宋体" w:cs="宋体"/>
                <w:color w:val="auto"/>
                <w:kern w:val="0"/>
                <w:szCs w:val="21"/>
              </w:rPr>
              <w:t>（如不足3名，以实际通过的家数确定）</w:t>
            </w:r>
            <w:r>
              <w:rPr>
                <w:rFonts w:hint="eastAsia" w:ascii="宋体" w:hAnsi="宋体" w:eastAsia="宋体" w:cs="宋体"/>
                <w:kern w:val="0"/>
                <w:szCs w:val="32"/>
              </w:rPr>
              <w:t>。</w:t>
            </w:r>
          </w:p>
          <w:p w14:paraId="4D2B8247">
            <w:pPr>
              <w:autoSpaceDE w:val="0"/>
              <w:autoSpaceDN w:val="0"/>
              <w:adjustRightInd w:val="0"/>
              <w:spacing w:line="500" w:lineRule="exact"/>
              <w:jc w:val="left"/>
              <w:rPr>
                <w:rFonts w:hint="eastAsia" w:ascii="宋体" w:hAnsi="宋体" w:eastAsia="宋体" w:cs="宋体"/>
                <w:kern w:val="0"/>
                <w:szCs w:val="21"/>
              </w:rPr>
            </w:pPr>
            <w:r>
              <w:rPr>
                <w:rFonts w:hint="eastAsia" w:ascii="宋体" w:hAnsi="宋体" w:eastAsia="宋体" w:cs="宋体"/>
                <w:kern w:val="0"/>
                <w:szCs w:val="32"/>
              </w:rPr>
              <w:t>3.8.2 评标委员会完成评标后，应当向招标人提交评标报告并推荐中标候选人。</w:t>
            </w:r>
          </w:p>
        </w:tc>
      </w:tr>
    </w:tbl>
    <w:p w14:paraId="6251ECBB">
      <w:pPr>
        <w:pStyle w:val="5"/>
        <w:spacing w:line="360" w:lineRule="auto"/>
        <w:jc w:val="center"/>
        <w:rPr>
          <w:rFonts w:hint="default" w:cs="宋体"/>
          <w:b/>
          <w:color w:val="auto"/>
          <w:spacing w:val="-9"/>
          <w:sz w:val="28"/>
          <w:szCs w:val="28"/>
          <w:highlight w:val="none"/>
        </w:rPr>
      </w:pPr>
    </w:p>
    <w:p w14:paraId="4430A324">
      <w:pPr>
        <w:rPr>
          <w:rFonts w:hint="eastAsia" w:ascii="宋体" w:hAnsi="宋体" w:eastAsia="宋体" w:cs="宋体"/>
          <w:color w:val="auto"/>
          <w:spacing w:val="-6"/>
          <w:kern w:val="0"/>
          <w:sz w:val="52"/>
          <w:szCs w:val="52"/>
          <w:lang w:val="en-US" w:eastAsia="zh-CN"/>
        </w:rPr>
      </w:pPr>
      <w:r>
        <w:rPr>
          <w:rFonts w:hint="eastAsia" w:ascii="宋体" w:hAnsi="宋体" w:eastAsia="宋体" w:cs="宋体"/>
          <w:color w:val="auto"/>
          <w:spacing w:val="-6"/>
          <w:kern w:val="0"/>
          <w:sz w:val="52"/>
          <w:szCs w:val="52"/>
          <w:lang w:val="en-US" w:eastAsia="zh-CN"/>
        </w:rPr>
        <w:br w:type="page"/>
      </w:r>
    </w:p>
    <w:p w14:paraId="447AB8A0">
      <w:pPr>
        <w:widowControl/>
        <w:autoSpaceDE w:val="0"/>
        <w:autoSpaceDN w:val="0"/>
        <w:adjustRightInd w:val="0"/>
        <w:spacing w:line="360" w:lineRule="auto"/>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评标办法（双信封合理低价法）</w:t>
      </w:r>
    </w:p>
    <w:p w14:paraId="6C289737">
      <w:pPr>
        <w:widowControl/>
        <w:autoSpaceDE w:val="0"/>
        <w:autoSpaceDN w:val="0"/>
        <w:adjustRightInd w:val="0"/>
        <w:spacing w:line="480" w:lineRule="atLeast"/>
        <w:jc w:val="left"/>
        <w:rPr>
          <w:rFonts w:hint="eastAsia" w:ascii="宋体" w:hAnsi="宋体" w:eastAsia="宋体" w:cs="宋体"/>
          <w:b/>
          <w:bCs/>
          <w:spacing w:val="-2"/>
          <w:kern w:val="0"/>
          <w:sz w:val="21"/>
          <w:szCs w:val="21"/>
        </w:rPr>
      </w:pPr>
      <w:r>
        <w:rPr>
          <w:rFonts w:hint="eastAsia" w:ascii="宋体" w:hAnsi="宋体" w:eastAsia="宋体" w:cs="宋体"/>
          <w:b/>
          <w:bCs/>
          <w:spacing w:val="-2"/>
          <w:kern w:val="0"/>
          <w:sz w:val="21"/>
          <w:szCs w:val="21"/>
        </w:rPr>
        <w:t>1.评标办法</w:t>
      </w:r>
    </w:p>
    <w:p w14:paraId="5C3B12D3">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本次评标采用</w:t>
      </w:r>
      <w:r>
        <w:rPr>
          <w:rFonts w:hint="eastAsia" w:ascii="宋体" w:hAnsi="宋体" w:eastAsia="宋体" w:cs="宋体"/>
          <w:spacing w:val="-2"/>
          <w:kern w:val="0"/>
          <w:sz w:val="21"/>
          <w:szCs w:val="21"/>
          <w:lang w:val="en-US" w:eastAsia="zh-CN"/>
        </w:rPr>
        <w:t>双信封</w:t>
      </w:r>
      <w:r>
        <w:rPr>
          <w:rFonts w:hint="eastAsia" w:ascii="宋体" w:hAnsi="宋体" w:eastAsia="宋体" w:cs="宋体"/>
          <w:spacing w:val="-2"/>
          <w:kern w:val="0"/>
          <w:sz w:val="21"/>
          <w:szCs w:val="21"/>
        </w:rPr>
        <w:t>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235CB57C">
      <w:pPr>
        <w:widowControl/>
        <w:autoSpaceDE w:val="0"/>
        <w:autoSpaceDN w:val="0"/>
        <w:adjustRightInd w:val="0"/>
        <w:spacing w:line="480" w:lineRule="atLeast"/>
        <w:jc w:val="left"/>
        <w:rPr>
          <w:rFonts w:hint="eastAsia" w:ascii="宋体" w:hAnsi="宋体" w:eastAsia="宋体" w:cs="宋体"/>
          <w:b/>
          <w:bCs/>
          <w:spacing w:val="-2"/>
          <w:kern w:val="0"/>
          <w:sz w:val="21"/>
          <w:szCs w:val="21"/>
        </w:rPr>
      </w:pPr>
      <w:r>
        <w:rPr>
          <w:rFonts w:hint="eastAsia" w:ascii="宋体" w:hAnsi="宋体" w:eastAsia="宋体" w:cs="宋体"/>
          <w:b/>
          <w:bCs/>
          <w:spacing w:val="-2"/>
          <w:kern w:val="0"/>
          <w:sz w:val="21"/>
          <w:szCs w:val="21"/>
        </w:rPr>
        <w:t>2.评审标准</w:t>
      </w:r>
    </w:p>
    <w:p w14:paraId="5E50BFA0">
      <w:pPr>
        <w:autoSpaceDE w:val="0"/>
        <w:autoSpaceDN w:val="0"/>
        <w:adjustRightInd w:val="0"/>
        <w:spacing w:after="120" w:afterLines="50" w:line="480" w:lineRule="atLeast"/>
        <w:jc w:val="left"/>
        <w:rPr>
          <w:rFonts w:hint="eastAsia" w:ascii="宋体" w:hAnsi="宋体" w:eastAsia="宋体" w:cs="宋体"/>
          <w:b/>
          <w:spacing w:val="-2"/>
          <w:kern w:val="0"/>
          <w:sz w:val="21"/>
          <w:szCs w:val="21"/>
        </w:rPr>
      </w:pPr>
      <w:r>
        <w:rPr>
          <w:rFonts w:hint="eastAsia" w:ascii="宋体" w:hAnsi="宋体" w:eastAsia="宋体" w:cs="宋体"/>
          <w:b/>
          <w:spacing w:val="-2"/>
          <w:kern w:val="0"/>
          <w:sz w:val="21"/>
          <w:szCs w:val="21"/>
        </w:rPr>
        <w:t xml:space="preserve">2.1 </w:t>
      </w:r>
      <w:r>
        <w:rPr>
          <w:rFonts w:hint="eastAsia" w:ascii="宋体" w:hAnsi="宋体" w:eastAsia="宋体" w:cs="宋体"/>
          <w:b/>
          <w:bCs/>
          <w:spacing w:val="-2"/>
          <w:kern w:val="0"/>
          <w:sz w:val="21"/>
          <w:szCs w:val="21"/>
        </w:rPr>
        <w:t>初步评审标准</w:t>
      </w:r>
    </w:p>
    <w:p w14:paraId="6916C348">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2.1.1形式评审标准：见评标办法前附表。</w:t>
      </w:r>
    </w:p>
    <w:p w14:paraId="6EE35020">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2.1.2资格评审标准：见评标办法前附表。</w:t>
      </w:r>
    </w:p>
    <w:p w14:paraId="53A01AFD">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2.1.3响应性评审标准：见评标办法前附表。</w:t>
      </w:r>
    </w:p>
    <w:p w14:paraId="6DA0B4FF">
      <w:pPr>
        <w:autoSpaceDE w:val="0"/>
        <w:autoSpaceDN w:val="0"/>
        <w:adjustRightInd w:val="0"/>
        <w:spacing w:after="120" w:afterLines="50" w:line="480" w:lineRule="atLeast"/>
        <w:jc w:val="left"/>
        <w:rPr>
          <w:rFonts w:hint="eastAsia" w:ascii="宋体" w:hAnsi="宋体" w:eastAsia="宋体" w:cs="宋体"/>
          <w:b/>
          <w:spacing w:val="-2"/>
          <w:kern w:val="0"/>
          <w:sz w:val="21"/>
          <w:szCs w:val="21"/>
        </w:rPr>
      </w:pPr>
      <w:r>
        <w:rPr>
          <w:rFonts w:hint="eastAsia" w:ascii="宋体" w:hAnsi="宋体" w:eastAsia="宋体" w:cs="宋体"/>
          <w:b/>
          <w:spacing w:val="-2"/>
          <w:kern w:val="0"/>
          <w:sz w:val="21"/>
          <w:szCs w:val="21"/>
        </w:rPr>
        <w:t>2.2 分值构成与评分标准</w:t>
      </w:r>
    </w:p>
    <w:p w14:paraId="08CDB3CA">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2.2.1分值构成</w:t>
      </w:r>
    </w:p>
    <w:p w14:paraId="39F77D13">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评标价：见评标办法前附表。</w:t>
      </w:r>
    </w:p>
    <w:p w14:paraId="38418949">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2.2.2评标基准价计算</w:t>
      </w:r>
    </w:p>
    <w:p w14:paraId="59CF1288">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评标基准价计算方法：见评标办法前附表。</w:t>
      </w:r>
    </w:p>
    <w:p w14:paraId="6A4F172B">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2.2.3投标报价的偏差率计算</w:t>
      </w:r>
    </w:p>
    <w:p w14:paraId="11EDB324">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评标价的偏差率计算公式：见评标办法前附表。</w:t>
      </w:r>
    </w:p>
    <w:p w14:paraId="39F04069">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2.2.4评分标准</w:t>
      </w:r>
    </w:p>
    <w:p w14:paraId="78B1B585">
      <w:pPr>
        <w:autoSpaceDE w:val="0"/>
        <w:autoSpaceDN w:val="0"/>
        <w:adjustRightInd w:val="0"/>
        <w:spacing w:line="480" w:lineRule="atLeast"/>
        <w:ind w:firstLine="412" w:firstLineChars="200"/>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评标价评分标准：见评标办法前附表。</w:t>
      </w:r>
    </w:p>
    <w:p w14:paraId="04FE5AD5">
      <w:pPr>
        <w:widowControl/>
        <w:autoSpaceDE w:val="0"/>
        <w:autoSpaceDN w:val="0"/>
        <w:adjustRightInd w:val="0"/>
        <w:spacing w:line="480" w:lineRule="atLeast"/>
        <w:jc w:val="left"/>
        <w:rPr>
          <w:rFonts w:hint="eastAsia" w:ascii="宋体" w:hAnsi="宋体" w:eastAsia="宋体" w:cs="宋体"/>
          <w:b/>
          <w:bCs/>
          <w:spacing w:val="-2"/>
          <w:kern w:val="0"/>
          <w:sz w:val="21"/>
          <w:szCs w:val="21"/>
        </w:rPr>
      </w:pPr>
      <w:r>
        <w:rPr>
          <w:rFonts w:hint="eastAsia" w:ascii="宋体" w:hAnsi="宋体" w:eastAsia="宋体" w:cs="宋体"/>
          <w:b/>
          <w:bCs/>
          <w:spacing w:val="-2"/>
          <w:kern w:val="0"/>
          <w:sz w:val="21"/>
          <w:szCs w:val="21"/>
        </w:rPr>
        <w:t>3.评标程序</w:t>
      </w:r>
    </w:p>
    <w:p w14:paraId="5B467DC6">
      <w:pPr>
        <w:autoSpaceDE w:val="0"/>
        <w:autoSpaceDN w:val="0"/>
        <w:adjustRightInd w:val="0"/>
        <w:spacing w:after="120" w:afterLines="50" w:line="480" w:lineRule="atLeast"/>
        <w:jc w:val="left"/>
        <w:rPr>
          <w:rFonts w:hint="eastAsia" w:ascii="宋体" w:hAnsi="宋体" w:eastAsia="宋体" w:cs="宋体"/>
          <w:b/>
          <w:spacing w:val="-2"/>
          <w:kern w:val="0"/>
          <w:sz w:val="21"/>
          <w:szCs w:val="21"/>
        </w:rPr>
      </w:pPr>
      <w:r>
        <w:rPr>
          <w:rFonts w:hint="eastAsia" w:ascii="宋体" w:hAnsi="宋体" w:eastAsia="宋体" w:cs="宋体"/>
          <w:b/>
          <w:spacing w:val="-2"/>
          <w:kern w:val="0"/>
          <w:sz w:val="21"/>
          <w:szCs w:val="21"/>
        </w:rPr>
        <w:t>3.1第一个信封初步评审</w:t>
      </w:r>
    </w:p>
    <w:p w14:paraId="35B8F56C">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3.1.1评标委员会依据本章第2.1款规定的标准对投标文件第一个信封（商务及技术文件）进行初步评审。有一项不符合评审标准的，评标委员会应否决其投标。</w:t>
      </w:r>
    </w:p>
    <w:p w14:paraId="06CDA557">
      <w:pPr>
        <w:autoSpaceDE w:val="0"/>
        <w:autoSpaceDN w:val="0"/>
        <w:adjustRightInd w:val="0"/>
        <w:spacing w:line="480" w:lineRule="atLeast"/>
        <w:ind w:firstLine="105" w:firstLineChars="5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3.2第二个信封开标</w:t>
      </w:r>
    </w:p>
    <w:p w14:paraId="1D2A4B73">
      <w:pPr>
        <w:autoSpaceDE w:val="0"/>
        <w:autoSpaceDN w:val="0"/>
        <w:adjustRightInd w:val="0"/>
        <w:spacing w:line="480" w:lineRule="atLeast"/>
        <w:ind w:firstLine="105" w:firstLineChars="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第一个信封（商务及技术文件）评审结束后，招标人将按照第二章“投标人须知”第5.1款规定的时间和地点对通过第一个信封（商务及技术文件）评审的投标文件第二个信封（报价文件）进行开标。</w:t>
      </w:r>
    </w:p>
    <w:p w14:paraId="6E566379">
      <w:pPr>
        <w:autoSpaceDE w:val="0"/>
        <w:autoSpaceDN w:val="0"/>
        <w:adjustRightInd w:val="0"/>
        <w:spacing w:line="480" w:lineRule="atLeast"/>
        <w:ind w:firstLine="105" w:firstLineChars="5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 3 第二个信封初步评审</w:t>
      </w:r>
    </w:p>
    <w:p w14:paraId="40D2486F">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3.3.1 评标委员会依据本章第2.1.1项、第2.1.3项规定的评审标准对投标文件第二个信封（报价文件）进行初步评审。有一项不符合评审标准的，评标委员会应否决其投标。</w:t>
      </w:r>
    </w:p>
    <w:p w14:paraId="58E40001">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3.3.2  投标报价有算术错误的，评标委员会按以下原则对投标报价进行修正，修正的价格经投标人书面确认后具有约束力。投标人不接受修正价格的，评标委员会应否决其投标。</w:t>
      </w:r>
    </w:p>
    <w:p w14:paraId="353FB4DD">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（1）投标文件中的大写金额与小写金额不一致的，以大写金额为准；</w:t>
      </w:r>
    </w:p>
    <w:p w14:paraId="2CFECBBF">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（2）总价金额与依据单价计算出的结果不一致的，以单价金额为准修正总价，但单价金额小数点有明显错误的除外；</w:t>
      </w:r>
    </w:p>
    <w:p w14:paraId="2F221D82">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（3）当单价与数量相乘不等于合价时，以单价计算为准，如果单价有明显的小数点位置差错，应以标出的合价为准，同时对单价予以修正；</w:t>
      </w:r>
    </w:p>
    <w:p w14:paraId="60C3A2D2">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（4）当各子目的合价累计不等于总价时，应以各子目合价累计数为准，修正总价。</w:t>
      </w:r>
    </w:p>
    <w:p w14:paraId="621B0A01">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3.3.3 工程量清单中的投标报价有其他错误的，评标委员会按以下原则对投标报价进行修正，修正的价格经投标人书面确认后具有约束力。投标人不接受修正价格的，评标委员会应否决其投标。</w:t>
      </w:r>
    </w:p>
    <w:p w14:paraId="2246F86E">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9D410ED">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00A17D2F">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（3）当单价与数量的乘积与合价（金额）虽然一致，但投标人修改了该子目的工程数量，则其合价按招标人给定的工程数量乘以投标人所报单价予以修正。</w:t>
      </w:r>
    </w:p>
    <w:p w14:paraId="264FA201">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3.3.4 修正后的最终投标报价若超过最高投标限价（如有），评标委员会应否决其投标。</w:t>
      </w:r>
    </w:p>
    <w:p w14:paraId="05955742">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3.3.5 修正后的最终投标报价仅作为签订合同的一个依据，不参与评标价得分的计算。</w:t>
      </w:r>
    </w:p>
    <w:p w14:paraId="4E7226D7">
      <w:pPr>
        <w:autoSpaceDE w:val="0"/>
        <w:autoSpaceDN w:val="0"/>
        <w:adjustRightInd w:val="0"/>
        <w:spacing w:line="48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 4 第二个信封详细评审</w:t>
      </w:r>
    </w:p>
    <w:p w14:paraId="444C50FA">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3.4.1 评标委员会按本章第2.2款规定的量化因素和分值进行打分，并计算出综合评估得分（即评标价得分）。</w:t>
      </w:r>
    </w:p>
    <w:p w14:paraId="0B1A9D55">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3.4.2 投标人得分分值计算保留小数点后两位，小数点后第三位“四舍五入”。</w:t>
      </w:r>
    </w:p>
    <w:p w14:paraId="31EECEA3">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3.4.3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7322A05E">
      <w:pPr>
        <w:autoSpaceDE w:val="0"/>
        <w:autoSpaceDN w:val="0"/>
        <w:adjustRightInd w:val="0"/>
        <w:spacing w:line="48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3.5  投标文件相关信息的核查</w:t>
      </w:r>
    </w:p>
    <w:p w14:paraId="663A0E8A">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3.5.1 在评标过程中，评标委员会应查询规定，对投标人的资质、主要人员资历和目前在岗情况、信用等级等信息进行核实。若投标文件载明的信息与规定发布的信息不符，使得投标人的资格条件不符合招标文件规定的，评标委员会应否决其投标。</w:t>
      </w:r>
    </w:p>
    <w:p w14:paraId="22BB1375">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7A215EE9">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（1）有下列情形之一的，属于投标人相互串通投标：</w:t>
      </w:r>
    </w:p>
    <w:p w14:paraId="7E1E67B7">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a.投标人之间协商投标报价等投标文件的实质性内容；</w:t>
      </w:r>
    </w:p>
    <w:p w14:paraId="657EC6C3">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b.投标人之间约定中标人；</w:t>
      </w:r>
    </w:p>
    <w:p w14:paraId="635FF9D3">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c.投标人之间约定部分投标人放弃投标或中标；</w:t>
      </w:r>
    </w:p>
    <w:p w14:paraId="7A4B0513">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d.属于同一集团</w:t>
      </w:r>
      <w:bookmarkStart w:id="4" w:name="_GoBack"/>
      <w:bookmarkEnd w:id="4"/>
      <w:r>
        <w:rPr>
          <w:rFonts w:hint="eastAsia" w:ascii="宋体" w:hAnsi="宋体" w:eastAsia="宋体" w:cs="宋体"/>
          <w:kern w:val="0"/>
          <w:sz w:val="21"/>
          <w:szCs w:val="21"/>
        </w:rPr>
        <w:t>、协会、商会等组织成员的投标人按照该组织要求协同投标；</w:t>
      </w:r>
    </w:p>
    <w:p w14:paraId="6A2101FC">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e.投标人之间为谋取中标或排斥特定投标人而采取的其他联合行动。</w:t>
      </w:r>
    </w:p>
    <w:p w14:paraId="0B64864B">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（2）有下列情形之一的，视为投标人相互串通投标：</w:t>
      </w:r>
    </w:p>
    <w:p w14:paraId="48AB623F">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a.不同投标人投标文件投标报价、项目管理成员等实质性内容存在一致；</w:t>
      </w:r>
    </w:p>
    <w:p w14:paraId="54A8C9C1">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b.电子投标文件记录的MAC地址相同；</w:t>
      </w:r>
    </w:p>
    <w:p w14:paraId="23A05104">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c.投标文件的下载、制作、记录、上传IP地址等信息出现任一相同情况；</w:t>
      </w:r>
    </w:p>
    <w:p w14:paraId="42955E49">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d.不同投标人的投标保证金来源为同一单位或者账户的；</w:t>
      </w:r>
    </w:p>
    <w:p w14:paraId="71275205">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e.投标人之间相互约定给予未中标的投标人费用补偿的；</w:t>
      </w:r>
    </w:p>
    <w:p w14:paraId="77D5781B">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f.不同投标人的CA数字证书混用的；</w:t>
      </w:r>
    </w:p>
    <w:p w14:paraId="7336173E">
      <w:pPr>
        <w:autoSpaceDE w:val="0"/>
        <w:autoSpaceDN w:val="0"/>
        <w:adjustRightInd w:val="0"/>
        <w:spacing w:line="500" w:lineRule="exact"/>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g.其他法律法规和相关规定被视为投标人相互串通投标的情形。</w:t>
      </w:r>
    </w:p>
    <w:p w14:paraId="580BC7DA">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（3）有下列情形之一的，属于招标人与投标人串通投标：</w:t>
      </w:r>
    </w:p>
    <w:p w14:paraId="2C14E12C">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a.招标人在开标前开启投标文件并将有关信息泄露给其他投标人;</w:t>
      </w:r>
    </w:p>
    <w:p w14:paraId="480A0AD6">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b.招标人直接或间接向投标人泄露标底、评标委员会成员等信息；</w:t>
      </w:r>
    </w:p>
    <w:p w14:paraId="36B25AAE">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c.招标人明示或暗示投标人压低或抬高投标报价；</w:t>
      </w:r>
    </w:p>
    <w:p w14:paraId="72579668">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d.招标人授意投标人撤换、修改投标文件；</w:t>
      </w:r>
    </w:p>
    <w:p w14:paraId="0DFAF2B0">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e.招标人明示或暗示投标人为特定投标人中标提供方便；</w:t>
      </w:r>
    </w:p>
    <w:p w14:paraId="4AA8E63B">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f.招标人与投标人为谋求特定投标人中标而采取的其他串通行为。</w:t>
      </w:r>
    </w:p>
    <w:p w14:paraId="61668A1E">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（4）投标人有下列情形之一的，属于弄虚作假的行为：</w:t>
      </w:r>
    </w:p>
    <w:p w14:paraId="1FB3A2CF">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a.使用通过受让或租借等方式获取的资格、资质证书投标；</w:t>
      </w:r>
    </w:p>
    <w:p w14:paraId="3AF04244">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b.使用伪造、变造的许可证件；</w:t>
      </w:r>
    </w:p>
    <w:p w14:paraId="70D4C4AA">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c.提供虚假的财务状况或业绩；</w:t>
      </w:r>
    </w:p>
    <w:p w14:paraId="2CC752F4">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d.提供虚假的项目负责人或主要技术人员简历、劳动关系证明；</w:t>
      </w:r>
    </w:p>
    <w:p w14:paraId="19832295">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e.提供虚假的信用状况；</w:t>
      </w:r>
    </w:p>
    <w:p w14:paraId="3CD51778">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f.其他弄虚作假的行为。</w:t>
      </w:r>
    </w:p>
    <w:p w14:paraId="14916812">
      <w:pPr>
        <w:autoSpaceDE w:val="0"/>
        <w:autoSpaceDN w:val="0"/>
        <w:adjustRightInd w:val="0"/>
        <w:spacing w:line="48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 6 投标文件的澄清和说明</w:t>
      </w:r>
    </w:p>
    <w:p w14:paraId="4FD11E26">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4668F0AE">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3.6.2 澄清和说明不得超出投标文件的范围或改变投标文件的实质性内容（算术性错误修正的除外）。投标人的书面澄清、说明属于投标文件的组成部分。</w:t>
      </w:r>
    </w:p>
    <w:p w14:paraId="5DCD7F4C">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3.6.3 评标委员会不得暗示或诱导投标人作出澄清、说明，对投标人提交的澄清、说明有疑问的，可以要求投标人进一步澄清或说明，直至满足评标委员会的要求。</w:t>
      </w:r>
    </w:p>
    <w:p w14:paraId="3168C66D">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3.6.4凡超出招标文件规定的或给发包人带来未曾要求的利益的变化、偏差或其他因素在评标时不予考虑。</w:t>
      </w:r>
    </w:p>
    <w:p w14:paraId="1230D8D6">
      <w:pPr>
        <w:autoSpaceDE w:val="0"/>
        <w:autoSpaceDN w:val="0"/>
        <w:adjustRightInd w:val="0"/>
        <w:spacing w:line="48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3.7 不得否决投标的情形</w:t>
      </w:r>
    </w:p>
    <w:p w14:paraId="739C8294">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投标文件存在第二章“投标人须知”第1.12.3项所列情形的，均视为细微偏差，评标委员会不得否决投标人的投标，应按照第二章“投标人须知”第1.12.4项规定的原则处理。</w:t>
      </w:r>
    </w:p>
    <w:p w14:paraId="270D37B5">
      <w:pPr>
        <w:autoSpaceDE w:val="0"/>
        <w:autoSpaceDN w:val="0"/>
        <w:adjustRightInd w:val="0"/>
        <w:spacing w:line="48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3.8 评标结果</w:t>
      </w:r>
    </w:p>
    <w:p w14:paraId="0738AD95">
      <w:pPr>
        <w:autoSpaceDE w:val="0"/>
        <w:autoSpaceDN w:val="0"/>
        <w:adjustRightInd w:val="0"/>
        <w:spacing w:line="480" w:lineRule="atLeas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3.8.1 除第二章“投标人须知”前附表授权直接确定中标人外，评标委员会按照得分由高到低的顺序推荐中标候选人，并标明排序。</w:t>
      </w:r>
    </w:p>
    <w:p w14:paraId="1DCB638F">
      <w:pPr>
        <w:ind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rPr>
        <w:t>3.8.2 评标委员会完成评标后，应当向招标人提交评标报告。</w:t>
      </w:r>
    </w:p>
    <w:p w14:paraId="78B569B0">
      <w:pPr>
        <w:rPr>
          <w:rFonts w:hint="eastAsia" w:ascii="宋体" w:hAnsi="宋体" w:eastAsia="宋体" w:cs="宋体"/>
          <w:kern w:val="0"/>
          <w:sz w:val="21"/>
          <w:szCs w:val="21"/>
        </w:rPr>
      </w:pPr>
      <w:r>
        <w:rPr>
          <w:rFonts w:hint="eastAsia" w:ascii="宋体" w:hAnsi="宋体" w:eastAsia="宋体" w:cs="宋体"/>
          <w:kern w:val="0"/>
          <w:sz w:val="21"/>
          <w:szCs w:val="21"/>
        </w:rPr>
        <w:br w:type="page"/>
      </w:r>
    </w:p>
    <w:p w14:paraId="6BFA44A9">
      <w:pPr>
        <w:jc w:val="center"/>
        <w:rPr>
          <w:rFonts w:hint="eastAsia" w:ascii="宋体" w:hAnsi="宋体"/>
          <w:b/>
          <w:sz w:val="36"/>
          <w:szCs w:val="36"/>
          <w:highlight w:val="none"/>
          <w:lang w:val="en-US" w:eastAsia="zh-CN"/>
        </w:rPr>
      </w:pPr>
      <w:r>
        <w:rPr>
          <w:rFonts w:hint="eastAsia" w:ascii="宋体" w:hAnsi="宋体"/>
          <w:b/>
          <w:sz w:val="36"/>
          <w:szCs w:val="36"/>
          <w:highlight w:val="none"/>
          <w:lang w:val="en-US" w:eastAsia="zh-CN"/>
        </w:rPr>
        <w:t>其他公示内容</w:t>
      </w:r>
    </w:p>
    <w:p w14:paraId="115353ED">
      <w:pPr>
        <w:ind w:firstLine="482" w:firstLineChars="200"/>
        <w:jc w:val="center"/>
        <w:rPr>
          <w:rFonts w:hint="eastAsia" w:ascii="宋体" w:hAnsi="宋体" w:eastAsia="宋体" w:cs="宋体"/>
          <w:b/>
          <w:color w:val="auto"/>
          <w:kern w:val="0"/>
          <w:sz w:val="24"/>
          <w:szCs w:val="24"/>
          <w:vertAlign w:val="superscript"/>
        </w:rPr>
      </w:pPr>
      <w:r>
        <w:rPr>
          <w:rFonts w:hint="eastAsia" w:ascii="宋体" w:hAnsi="宋体" w:eastAsia="宋体" w:cs="宋体"/>
          <w:b/>
          <w:color w:val="auto"/>
          <w:kern w:val="0"/>
          <w:sz w:val="24"/>
          <w:szCs w:val="24"/>
        </w:rPr>
        <w:t>附录1    资格审查条件（资质最低要求）</w:t>
      </w:r>
    </w:p>
    <w:tbl>
      <w:tblPr>
        <w:tblStyle w:val="2"/>
        <w:tblpPr w:leftFromText="180" w:rightFromText="180" w:vertAnchor="text" w:horzAnchor="margin" w:tblpXSpec="center" w:tblpY="494"/>
        <w:tblW w:w="91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20"/>
      </w:tblGrid>
      <w:tr w14:paraId="566FA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120" w:type="dxa"/>
            <w:vAlign w:val="center"/>
          </w:tcPr>
          <w:p w14:paraId="71C77D46">
            <w:pPr>
              <w:autoSpaceDE w:val="0"/>
              <w:autoSpaceDN w:val="0"/>
              <w:adjustRightInd w:val="0"/>
              <w:spacing w:line="440" w:lineRule="exact"/>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企业资质等级要求</w:t>
            </w:r>
          </w:p>
        </w:tc>
      </w:tr>
      <w:tr w14:paraId="7E47A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79" w:hRule="atLeast"/>
          <w:jc w:val="center"/>
        </w:trPr>
        <w:tc>
          <w:tcPr>
            <w:tcW w:w="9120" w:type="dxa"/>
          </w:tcPr>
          <w:p w14:paraId="474206FC">
            <w:pPr>
              <w:autoSpaceDE w:val="0"/>
              <w:autoSpaceDN w:val="0"/>
              <w:adjustRightInd w:val="0"/>
              <w:spacing w:line="440" w:lineRule="exact"/>
              <w:ind w:firstLine="42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Cs w:val="21"/>
              </w:rPr>
              <w:t>本次招标要求投标人在中华人民共和国境内注册的独立法人资格，需具备</w:t>
            </w:r>
            <w:r>
              <w:rPr>
                <w:rFonts w:hint="eastAsia" w:ascii="宋体" w:hAnsi="宋体" w:eastAsia="宋体" w:cs="宋体"/>
                <w:color w:val="auto"/>
                <w:kern w:val="2"/>
                <w:szCs w:val="21"/>
              </w:rPr>
              <w:t>公路工程施工总承包</w:t>
            </w:r>
            <w:r>
              <w:rPr>
                <w:rFonts w:hint="eastAsia" w:ascii="宋体" w:hAnsi="宋体" w:eastAsia="宋体" w:cs="宋体"/>
                <w:color w:val="auto"/>
                <w:kern w:val="2"/>
                <w:szCs w:val="21"/>
                <w:lang w:val="en-US" w:eastAsia="zh-CN"/>
              </w:rPr>
              <w:t>贰</w:t>
            </w:r>
            <w:r>
              <w:rPr>
                <w:rFonts w:hint="eastAsia" w:ascii="宋体" w:hAnsi="宋体" w:eastAsia="宋体" w:cs="宋体"/>
                <w:color w:val="auto"/>
                <w:kern w:val="2"/>
                <w:szCs w:val="21"/>
              </w:rPr>
              <w:t>级及</w:t>
            </w:r>
            <w:r>
              <w:rPr>
                <w:rFonts w:hint="eastAsia" w:ascii="宋体" w:hAnsi="宋体" w:eastAsia="宋体" w:cs="宋体"/>
                <w:color w:val="auto"/>
                <w:kern w:val="2"/>
                <w:szCs w:val="21"/>
                <w:lang w:val="en-US" w:eastAsia="zh-CN"/>
              </w:rPr>
              <w:t>其</w:t>
            </w:r>
            <w:r>
              <w:rPr>
                <w:rFonts w:hint="eastAsia" w:ascii="宋体" w:hAnsi="宋体" w:eastAsia="宋体" w:cs="宋体"/>
                <w:color w:val="auto"/>
                <w:kern w:val="2"/>
                <w:szCs w:val="21"/>
              </w:rPr>
              <w:t>以上资质</w:t>
            </w:r>
            <w:r>
              <w:rPr>
                <w:rFonts w:hint="eastAsia" w:ascii="宋体" w:hAnsi="宋体" w:eastAsia="宋体" w:cs="宋体"/>
                <w:color w:val="auto"/>
                <w:kern w:val="0"/>
                <w:szCs w:val="21"/>
              </w:rPr>
              <w:t>和公路交通工程专业承包</w:t>
            </w:r>
            <w:r>
              <w:rPr>
                <w:rFonts w:hint="eastAsia" w:ascii="宋体" w:hAnsi="宋体" w:eastAsia="宋体" w:cs="宋体"/>
                <w:color w:val="auto"/>
                <w:kern w:val="0"/>
                <w:szCs w:val="21"/>
                <w:lang w:val="en-US" w:eastAsia="zh-CN"/>
              </w:rPr>
              <w:t>贰</w:t>
            </w:r>
            <w:r>
              <w:rPr>
                <w:rFonts w:hint="eastAsia" w:ascii="宋体" w:hAnsi="宋体" w:eastAsia="宋体" w:cs="宋体"/>
                <w:color w:val="auto"/>
                <w:kern w:val="0"/>
                <w:szCs w:val="21"/>
              </w:rPr>
              <w:t>级资质(公路安全设施分项)</w:t>
            </w:r>
            <w:r>
              <w:rPr>
                <w:rFonts w:hint="eastAsia" w:ascii="宋体" w:hAnsi="宋体" w:eastAsia="宋体" w:cs="宋体"/>
                <w:color w:val="auto"/>
                <w:kern w:val="2"/>
                <w:szCs w:val="21"/>
              </w:rPr>
              <w:t>及</w:t>
            </w:r>
            <w:r>
              <w:rPr>
                <w:rFonts w:hint="eastAsia" w:ascii="宋体" w:hAnsi="宋体" w:eastAsia="宋体" w:cs="宋体"/>
                <w:color w:val="auto"/>
                <w:kern w:val="2"/>
                <w:szCs w:val="21"/>
                <w:lang w:val="en-US" w:eastAsia="zh-CN"/>
              </w:rPr>
              <w:t>其</w:t>
            </w:r>
            <w:r>
              <w:rPr>
                <w:rFonts w:hint="eastAsia" w:ascii="宋体" w:hAnsi="宋体" w:eastAsia="宋体" w:cs="宋体"/>
                <w:color w:val="auto"/>
                <w:kern w:val="2"/>
                <w:szCs w:val="21"/>
              </w:rPr>
              <w:t>以上资质</w:t>
            </w:r>
            <w:r>
              <w:rPr>
                <w:rFonts w:hint="eastAsia" w:ascii="宋体" w:hAnsi="宋体" w:eastAsia="宋体" w:cs="宋体"/>
                <w:color w:val="auto"/>
                <w:kern w:val="0"/>
                <w:szCs w:val="21"/>
                <w:highlight w:val="none"/>
              </w:rPr>
              <w:t>，有效的建设行政主管部门颁发的安全生产许可证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并在人员、设备、资金等方面具有相应的施工能力；</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w:t>
            </w:r>
            <w:r>
              <w:rPr>
                <w:rFonts w:hint="eastAsia" w:ascii="宋体" w:hAnsi="宋体" w:eastAsia="宋体" w:cs="宋体"/>
                <w:kern w:val="0"/>
                <w:szCs w:val="21"/>
              </w:rPr>
              <w:t>公路工程施工总承包一级及以上资质的投标人，应进入交通运输部“全国公路建设市场监督管理系统（https://hwdms.mot.gov.cn/）”中的公路工程施工资质企业名录，且投标人名称和资质与该名录中的相应企业名称和资质完全一致</w:t>
            </w:r>
            <w:r>
              <w:rPr>
                <w:rFonts w:hint="eastAsia" w:ascii="宋体" w:hAnsi="宋体" w:eastAsia="宋体" w:cs="宋体"/>
                <w:kern w:val="0"/>
                <w:szCs w:val="21"/>
                <w:lang w:eastAsia="zh-CN"/>
              </w:rPr>
              <w:t>。</w:t>
            </w:r>
          </w:p>
        </w:tc>
      </w:tr>
    </w:tbl>
    <w:p w14:paraId="6C0072D2">
      <w:pPr>
        <w:autoSpaceDE w:val="0"/>
        <w:autoSpaceDN w:val="0"/>
        <w:adjustRightInd w:val="0"/>
        <w:spacing w:line="440" w:lineRule="exact"/>
        <w:jc w:val="center"/>
        <w:rPr>
          <w:rFonts w:hint="eastAsia" w:ascii="宋体" w:hAnsi="宋体" w:eastAsia="宋体" w:cs="宋体"/>
          <w:b/>
          <w:color w:val="auto"/>
          <w:kern w:val="0"/>
          <w:sz w:val="24"/>
          <w:szCs w:val="24"/>
        </w:rPr>
      </w:pPr>
    </w:p>
    <w:p w14:paraId="321032FB">
      <w:pPr>
        <w:autoSpaceDE w:val="0"/>
        <w:autoSpaceDN w:val="0"/>
        <w:adjustRightInd w:val="0"/>
        <w:spacing w:line="440" w:lineRule="exact"/>
        <w:jc w:val="center"/>
        <w:rPr>
          <w:rFonts w:hint="eastAsia" w:ascii="宋体" w:hAnsi="宋体" w:eastAsia="宋体" w:cs="宋体"/>
          <w:b/>
          <w:color w:val="auto"/>
          <w:kern w:val="0"/>
          <w:sz w:val="24"/>
          <w:szCs w:val="24"/>
        </w:rPr>
      </w:pPr>
    </w:p>
    <w:p w14:paraId="15D7BB55">
      <w:pPr>
        <w:autoSpaceDE w:val="0"/>
        <w:autoSpaceDN w:val="0"/>
        <w:adjustRightInd w:val="0"/>
        <w:spacing w:line="440" w:lineRule="exact"/>
        <w:jc w:val="center"/>
        <w:rPr>
          <w:rFonts w:hint="eastAsia" w:ascii="宋体" w:hAnsi="宋体" w:eastAsia="宋体" w:cs="宋体"/>
          <w:b/>
          <w:color w:val="auto"/>
          <w:kern w:val="0"/>
          <w:sz w:val="24"/>
          <w:szCs w:val="24"/>
        </w:rPr>
      </w:pPr>
    </w:p>
    <w:p w14:paraId="34D3BFEA">
      <w:pPr>
        <w:autoSpaceDE w:val="0"/>
        <w:autoSpaceDN w:val="0"/>
        <w:adjustRightInd w:val="0"/>
        <w:spacing w:line="440" w:lineRule="exact"/>
        <w:jc w:val="center"/>
        <w:rPr>
          <w:rFonts w:hint="eastAsia" w:ascii="宋体" w:hAnsi="宋体" w:eastAsia="宋体" w:cs="宋体"/>
          <w:b/>
          <w:color w:val="auto"/>
          <w:kern w:val="0"/>
          <w:sz w:val="24"/>
          <w:szCs w:val="24"/>
        </w:rPr>
      </w:pPr>
    </w:p>
    <w:p w14:paraId="79575B43">
      <w:pPr>
        <w:autoSpaceDE w:val="0"/>
        <w:autoSpaceDN w:val="0"/>
        <w:adjustRightInd w:val="0"/>
        <w:spacing w:line="440" w:lineRule="exact"/>
        <w:jc w:val="both"/>
        <w:rPr>
          <w:rFonts w:hint="eastAsia" w:ascii="宋体" w:hAnsi="宋体" w:eastAsia="宋体" w:cs="宋体"/>
          <w:b/>
          <w:color w:val="auto"/>
          <w:kern w:val="0"/>
          <w:sz w:val="24"/>
          <w:szCs w:val="24"/>
        </w:rPr>
      </w:pPr>
    </w:p>
    <w:p w14:paraId="2B2FD0A2">
      <w:pPr>
        <w:autoSpaceDE w:val="0"/>
        <w:autoSpaceDN w:val="0"/>
        <w:adjustRightInd w:val="0"/>
        <w:spacing w:line="440" w:lineRule="exact"/>
        <w:jc w:val="center"/>
        <w:rPr>
          <w:rFonts w:hint="eastAsia" w:ascii="宋体" w:hAnsi="宋体" w:eastAsia="宋体" w:cs="宋体"/>
          <w:b/>
          <w:color w:val="auto"/>
          <w:kern w:val="0"/>
          <w:sz w:val="24"/>
          <w:szCs w:val="24"/>
        </w:rPr>
      </w:pPr>
    </w:p>
    <w:tbl>
      <w:tblPr>
        <w:tblStyle w:val="2"/>
        <w:tblpPr w:leftFromText="180" w:rightFromText="180" w:vertAnchor="text" w:horzAnchor="margin" w:tblpXSpec="center" w:tblpY="527"/>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60"/>
      </w:tblGrid>
      <w:tr w14:paraId="47C2D4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9060" w:type="dxa"/>
            <w:vAlign w:val="center"/>
          </w:tcPr>
          <w:p w14:paraId="1AD7E287">
            <w:pPr>
              <w:autoSpaceDE w:val="0"/>
              <w:autoSpaceDN w:val="0"/>
              <w:adjustRightInd w:val="0"/>
              <w:spacing w:line="440" w:lineRule="exact"/>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财 务 要 求</w:t>
            </w:r>
          </w:p>
        </w:tc>
      </w:tr>
      <w:tr w14:paraId="4C8AB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946" w:hRule="atLeast"/>
          <w:jc w:val="center"/>
        </w:trPr>
        <w:tc>
          <w:tcPr>
            <w:tcW w:w="9060" w:type="dxa"/>
          </w:tcPr>
          <w:p w14:paraId="740BDB9E">
            <w:pPr>
              <w:autoSpaceDE w:val="0"/>
              <w:autoSpaceDN w:val="0"/>
              <w:adjustRightInd w:val="0"/>
              <w:spacing w:before="120" w:beforeLines="50" w:line="500" w:lineRule="exact"/>
              <w:ind w:firstLine="42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Cs w:val="21"/>
              </w:rPr>
              <w:t>投标人202</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年</w:t>
            </w:r>
            <w:r>
              <w:rPr>
                <w:rFonts w:hint="eastAsia" w:ascii="宋体" w:hAnsi="宋体" w:eastAsia="宋体" w:cs="宋体"/>
                <w:color w:val="auto"/>
                <w:kern w:val="0"/>
                <w:szCs w:val="21"/>
                <w:lang w:val="en-US" w:eastAsia="zh-CN"/>
              </w:rPr>
              <w:t>的</w:t>
            </w:r>
            <w:r>
              <w:rPr>
                <w:rFonts w:hint="eastAsia" w:ascii="宋体" w:hAnsi="宋体" w:eastAsia="宋体" w:cs="宋体"/>
                <w:color w:val="auto"/>
                <w:kern w:val="0"/>
                <w:szCs w:val="21"/>
              </w:rPr>
              <w:t>年末流动资产合计与流动负债合计的比率大于1。</w:t>
            </w:r>
          </w:p>
        </w:tc>
      </w:tr>
    </w:tbl>
    <w:p w14:paraId="76DB7997">
      <w:pPr>
        <w:autoSpaceDE w:val="0"/>
        <w:autoSpaceDN w:val="0"/>
        <w:adjustRightInd w:val="0"/>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附录2    资格审查条件（财务最低要求）</w:t>
      </w:r>
    </w:p>
    <w:p w14:paraId="05A14D58">
      <w:pPr>
        <w:autoSpaceDE w:val="0"/>
        <w:autoSpaceDN w:val="0"/>
        <w:adjustRightInd w:val="0"/>
        <w:spacing w:line="440" w:lineRule="exact"/>
        <w:jc w:val="center"/>
        <w:rPr>
          <w:rFonts w:hint="eastAsia" w:ascii="宋体" w:hAnsi="宋体" w:eastAsia="宋体" w:cs="宋体"/>
          <w:b/>
          <w:color w:val="auto"/>
          <w:kern w:val="0"/>
          <w:sz w:val="24"/>
          <w:szCs w:val="24"/>
        </w:rPr>
      </w:pPr>
    </w:p>
    <w:p w14:paraId="0CF22DB3">
      <w:pPr>
        <w:autoSpaceDE w:val="0"/>
        <w:autoSpaceDN w:val="0"/>
        <w:bidi w:val="0"/>
        <w:adjustRightInd w:val="0"/>
        <w:spacing w:line="315" w:lineRule="atLeast"/>
        <w:jc w:val="left"/>
        <w:rPr>
          <w:rFonts w:hint="eastAsia" w:ascii="宋体" w:hAnsi="宋体" w:eastAsia="宋体" w:cs="宋体"/>
          <w:kern w:val="0"/>
          <w:sz w:val="21"/>
          <w:szCs w:val="20"/>
          <w:lang w:val="en-US" w:eastAsia="zh-CN" w:bidi="ar-SA"/>
        </w:rPr>
      </w:pPr>
    </w:p>
    <w:p w14:paraId="7F036EEF">
      <w:pPr>
        <w:autoSpaceDE w:val="0"/>
        <w:autoSpaceDN w:val="0"/>
        <w:bidi w:val="0"/>
        <w:adjustRightInd w:val="0"/>
        <w:spacing w:line="315" w:lineRule="atLeast"/>
        <w:jc w:val="left"/>
        <w:rPr>
          <w:rFonts w:hint="eastAsia" w:ascii="宋体" w:hAnsi="宋体" w:eastAsia="宋体" w:cs="宋体"/>
          <w:kern w:val="0"/>
          <w:szCs w:val="20"/>
          <w:lang w:val="en-US" w:eastAsia="zh-CN"/>
        </w:rPr>
      </w:pPr>
    </w:p>
    <w:p w14:paraId="472E4937">
      <w:pPr>
        <w:autoSpaceDE w:val="0"/>
        <w:autoSpaceDN w:val="0"/>
        <w:bidi w:val="0"/>
        <w:adjustRightInd w:val="0"/>
        <w:spacing w:line="315" w:lineRule="atLeast"/>
        <w:jc w:val="left"/>
        <w:rPr>
          <w:rFonts w:hint="eastAsia" w:ascii="宋体" w:hAnsi="宋体" w:eastAsia="宋体" w:cs="宋体"/>
          <w:kern w:val="0"/>
          <w:szCs w:val="20"/>
          <w:lang w:val="en-US" w:eastAsia="zh-CN"/>
        </w:rPr>
      </w:pPr>
    </w:p>
    <w:p w14:paraId="4BE51255">
      <w:pPr>
        <w:autoSpaceDE w:val="0"/>
        <w:autoSpaceDN w:val="0"/>
        <w:bidi w:val="0"/>
        <w:adjustRightInd w:val="0"/>
        <w:spacing w:line="315" w:lineRule="atLeast"/>
        <w:jc w:val="left"/>
        <w:rPr>
          <w:rFonts w:hint="eastAsia" w:ascii="宋体" w:hAnsi="宋体" w:eastAsia="宋体" w:cs="宋体"/>
          <w:kern w:val="0"/>
          <w:szCs w:val="20"/>
          <w:lang w:val="en-US" w:eastAsia="zh-CN"/>
        </w:rPr>
      </w:pPr>
    </w:p>
    <w:p w14:paraId="6213C08A">
      <w:pPr>
        <w:autoSpaceDE w:val="0"/>
        <w:autoSpaceDN w:val="0"/>
        <w:bidi w:val="0"/>
        <w:adjustRightInd w:val="0"/>
        <w:spacing w:line="315" w:lineRule="atLeast"/>
        <w:jc w:val="left"/>
        <w:rPr>
          <w:rFonts w:hint="eastAsia" w:ascii="宋体" w:hAnsi="宋体" w:eastAsia="宋体" w:cs="宋体"/>
          <w:kern w:val="0"/>
          <w:szCs w:val="20"/>
          <w:lang w:val="en-US" w:eastAsia="zh-CN"/>
        </w:rPr>
      </w:pPr>
    </w:p>
    <w:p w14:paraId="0E831154">
      <w:pPr>
        <w:pageBreakBefore/>
        <w:autoSpaceDE w:val="0"/>
        <w:autoSpaceDN w:val="0"/>
        <w:adjustRightInd w:val="0"/>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附录3    资格审查条件（业绩最低要求）</w:t>
      </w:r>
    </w:p>
    <w:tbl>
      <w:tblPr>
        <w:tblStyle w:val="2"/>
        <w:tblpPr w:leftFromText="180" w:rightFromText="180" w:vertAnchor="page" w:horzAnchor="page" w:tblpX="1874" w:tblpY="2094"/>
        <w:tblW w:w="870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00"/>
      </w:tblGrid>
      <w:tr w14:paraId="5A072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 w:hRule="atLeast"/>
        </w:trPr>
        <w:tc>
          <w:tcPr>
            <w:tcW w:w="8700" w:type="dxa"/>
            <w:vAlign w:val="center"/>
          </w:tcPr>
          <w:p w14:paraId="0E1666F0">
            <w:pPr>
              <w:autoSpaceDE w:val="0"/>
              <w:autoSpaceDN w:val="0"/>
              <w:adjustRightInd w:val="0"/>
              <w:spacing w:line="440" w:lineRule="exact"/>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 绩 要 求</w:t>
            </w:r>
          </w:p>
        </w:tc>
      </w:tr>
      <w:tr w14:paraId="357E3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77" w:hRule="atLeast"/>
        </w:trPr>
        <w:tc>
          <w:tcPr>
            <w:tcW w:w="8700" w:type="dxa"/>
          </w:tcPr>
          <w:p w14:paraId="5D1544BE">
            <w:pPr>
              <w:autoSpaceDE w:val="0"/>
              <w:autoSpaceDN w:val="0"/>
              <w:adjustRightIn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近五年（2020年</w:t>
            </w:r>
            <w:r>
              <w:rPr>
                <w:rFonts w:hint="eastAsia" w:ascii="宋体" w:hAnsi="宋体" w:eastAsia="宋体" w:cs="宋体"/>
                <w:color w:val="auto"/>
                <w:kern w:val="0"/>
                <w:szCs w:val="21"/>
                <w:lang w:val="en-US" w:eastAsia="zh-CN"/>
              </w:rPr>
              <w:t>12</w:t>
            </w:r>
            <w:r>
              <w:rPr>
                <w:rFonts w:hint="eastAsia" w:ascii="宋体" w:hAnsi="宋体" w:eastAsia="宋体" w:cs="宋体"/>
                <w:color w:val="auto"/>
                <w:kern w:val="0"/>
                <w:szCs w:val="21"/>
              </w:rPr>
              <w:t>月01日至投标截止时间通过交工或竣工验收，以</w:t>
            </w:r>
            <w:r>
              <w:rPr>
                <w:rFonts w:hint="eastAsia" w:ascii="宋体" w:hAnsi="宋体" w:eastAsia="宋体" w:cs="宋体"/>
                <w:color w:val="auto"/>
                <w:kern w:val="0"/>
                <w:szCs w:val="21"/>
                <w:lang w:val="en-US" w:eastAsia="zh-CN"/>
              </w:rPr>
              <w:t>交</w:t>
            </w:r>
            <w:r>
              <w:rPr>
                <w:rFonts w:hint="eastAsia" w:ascii="宋体" w:hAnsi="宋体" w:eastAsia="宋体" w:cs="宋体"/>
                <w:color w:val="auto"/>
                <w:kern w:val="0"/>
                <w:szCs w:val="21"/>
              </w:rPr>
              <w:t>（竣）工验收报告时间为准）至少</w:t>
            </w:r>
            <w:r>
              <w:rPr>
                <w:rFonts w:hint="eastAsia" w:ascii="宋体" w:hAnsi="宋体" w:eastAsia="宋体" w:cs="宋体"/>
                <w:color w:val="auto"/>
                <w:kern w:val="0"/>
                <w:szCs w:val="21"/>
                <w:lang w:val="en-US" w:eastAsia="zh-CN"/>
              </w:rPr>
              <w:t>独立完成</w:t>
            </w:r>
            <w:r>
              <w:rPr>
                <w:rFonts w:hint="eastAsia" w:ascii="宋体" w:hAnsi="宋体" w:eastAsia="宋体" w:cs="宋体"/>
                <w:color w:val="auto"/>
                <w:kern w:val="0"/>
                <w:szCs w:val="21"/>
              </w:rPr>
              <w:t>过1项</w:t>
            </w:r>
            <w:r>
              <w:rPr>
                <w:rFonts w:hint="eastAsia" w:ascii="宋体" w:hAnsi="宋体" w:eastAsia="宋体" w:cs="宋体"/>
                <w:color w:val="auto"/>
                <w:kern w:val="0"/>
                <w:szCs w:val="21"/>
                <w:lang w:val="en-US" w:eastAsia="zh-CN"/>
              </w:rPr>
              <w:t>二</w:t>
            </w:r>
            <w:r>
              <w:rPr>
                <w:rFonts w:hint="eastAsia" w:ascii="宋体" w:hAnsi="宋体" w:eastAsia="宋体" w:cs="宋体"/>
                <w:color w:val="auto"/>
                <w:kern w:val="0"/>
                <w:szCs w:val="21"/>
              </w:rPr>
              <w:t>级及以上公路新（改、扩）建公路工程（含大桥）施工业绩和1项</w:t>
            </w:r>
            <w:r>
              <w:rPr>
                <w:rFonts w:hint="eastAsia" w:ascii="宋体" w:hAnsi="宋体" w:eastAsia="宋体" w:cs="宋体"/>
                <w:color w:val="auto"/>
                <w:kern w:val="0"/>
                <w:szCs w:val="21"/>
                <w:lang w:val="en-US" w:eastAsia="zh-CN"/>
              </w:rPr>
              <w:t>二</w:t>
            </w:r>
            <w:r>
              <w:rPr>
                <w:rFonts w:hint="eastAsia" w:ascii="宋体" w:hAnsi="宋体" w:eastAsia="宋体" w:cs="宋体"/>
                <w:color w:val="auto"/>
                <w:kern w:val="0"/>
                <w:szCs w:val="21"/>
              </w:rPr>
              <w:t>级及以上公路新（改、扩）建公路安全设施施工业绩；</w:t>
            </w:r>
          </w:p>
          <w:p w14:paraId="39EF9D80">
            <w:pPr>
              <w:autoSpaceDE w:val="0"/>
              <w:autoSpaceDN w:val="0"/>
              <w:adjustRightInd w:val="0"/>
              <w:spacing w:line="500" w:lineRule="exact"/>
              <w:ind w:firstLine="42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2"/>
                <w:szCs w:val="21"/>
                <w:lang w:val="en-US" w:eastAsia="zh-CN"/>
              </w:rPr>
              <w:t>注：同一业绩满足上述要求，分别给予认定。</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（企业业绩信息以“全国公路建设市场监督管理系统 ”或“山西省公路水运市场管理平台”查询结果或为准）。</w:t>
            </w:r>
          </w:p>
        </w:tc>
      </w:tr>
    </w:tbl>
    <w:p w14:paraId="24818ADA">
      <w:pPr>
        <w:autoSpaceDE w:val="0"/>
        <w:autoSpaceDN w:val="0"/>
        <w:adjustRightInd w:val="0"/>
        <w:spacing w:line="440" w:lineRule="exact"/>
        <w:jc w:val="center"/>
        <w:rPr>
          <w:rFonts w:hint="eastAsia" w:ascii="宋体" w:hAnsi="宋体" w:eastAsia="宋体" w:cs="宋体"/>
          <w:b/>
          <w:color w:val="auto"/>
          <w:kern w:val="0"/>
          <w:sz w:val="24"/>
          <w:szCs w:val="24"/>
        </w:rPr>
      </w:pPr>
    </w:p>
    <w:p w14:paraId="03F00D73">
      <w:pPr>
        <w:autoSpaceDE w:val="0"/>
        <w:autoSpaceDN w:val="0"/>
        <w:adjustRightInd w:val="0"/>
        <w:spacing w:line="440" w:lineRule="exact"/>
        <w:jc w:val="center"/>
        <w:rPr>
          <w:rFonts w:hint="eastAsia" w:ascii="宋体" w:hAnsi="宋体" w:eastAsia="宋体" w:cs="宋体"/>
          <w:b/>
          <w:color w:val="auto"/>
          <w:kern w:val="0"/>
          <w:sz w:val="24"/>
          <w:szCs w:val="24"/>
        </w:rPr>
      </w:pPr>
    </w:p>
    <w:p w14:paraId="34BF4CAC">
      <w:pPr>
        <w:autoSpaceDE w:val="0"/>
        <w:autoSpaceDN w:val="0"/>
        <w:adjustRightInd w:val="0"/>
        <w:spacing w:line="440" w:lineRule="exact"/>
        <w:jc w:val="center"/>
        <w:rPr>
          <w:rFonts w:hint="eastAsia" w:ascii="宋体" w:hAnsi="宋体" w:eastAsia="宋体" w:cs="宋体"/>
          <w:b/>
          <w:color w:val="auto"/>
          <w:kern w:val="0"/>
          <w:sz w:val="24"/>
          <w:szCs w:val="24"/>
        </w:rPr>
      </w:pPr>
    </w:p>
    <w:p w14:paraId="55D52C9A">
      <w:pPr>
        <w:autoSpaceDE w:val="0"/>
        <w:autoSpaceDN w:val="0"/>
        <w:adjustRightInd w:val="0"/>
        <w:spacing w:line="440" w:lineRule="exact"/>
        <w:jc w:val="center"/>
        <w:rPr>
          <w:rFonts w:hint="eastAsia" w:ascii="宋体" w:hAnsi="宋体" w:eastAsia="宋体" w:cs="宋体"/>
          <w:b/>
          <w:color w:val="auto"/>
          <w:kern w:val="0"/>
          <w:sz w:val="24"/>
          <w:szCs w:val="24"/>
        </w:rPr>
      </w:pPr>
    </w:p>
    <w:p w14:paraId="459F689B">
      <w:pPr>
        <w:autoSpaceDE w:val="0"/>
        <w:autoSpaceDN w:val="0"/>
        <w:adjustRightInd w:val="0"/>
        <w:spacing w:line="440" w:lineRule="exact"/>
        <w:jc w:val="center"/>
        <w:rPr>
          <w:rFonts w:hint="eastAsia" w:ascii="宋体" w:hAnsi="宋体" w:eastAsia="宋体" w:cs="宋体"/>
          <w:b/>
          <w:color w:val="auto"/>
          <w:kern w:val="0"/>
          <w:sz w:val="24"/>
          <w:szCs w:val="24"/>
        </w:rPr>
      </w:pPr>
    </w:p>
    <w:p w14:paraId="1503F9C5">
      <w:pPr>
        <w:autoSpaceDE w:val="0"/>
        <w:autoSpaceDN w:val="0"/>
        <w:adjustRightInd w:val="0"/>
        <w:spacing w:line="440" w:lineRule="exact"/>
        <w:jc w:val="center"/>
        <w:rPr>
          <w:rFonts w:hint="eastAsia" w:ascii="宋体" w:hAnsi="宋体" w:eastAsia="宋体" w:cs="宋体"/>
          <w:b/>
          <w:color w:val="auto"/>
          <w:kern w:val="0"/>
          <w:sz w:val="24"/>
          <w:szCs w:val="24"/>
        </w:rPr>
      </w:pPr>
    </w:p>
    <w:p w14:paraId="4830708B">
      <w:pPr>
        <w:autoSpaceDE w:val="0"/>
        <w:autoSpaceDN w:val="0"/>
        <w:adjustRightInd w:val="0"/>
        <w:spacing w:line="440" w:lineRule="exact"/>
        <w:jc w:val="center"/>
        <w:rPr>
          <w:rFonts w:hint="eastAsia" w:ascii="宋体" w:hAnsi="宋体" w:eastAsia="宋体" w:cs="宋体"/>
          <w:b/>
          <w:color w:val="auto"/>
          <w:kern w:val="0"/>
          <w:sz w:val="24"/>
          <w:szCs w:val="24"/>
        </w:rPr>
      </w:pPr>
    </w:p>
    <w:p w14:paraId="21111D93">
      <w:pPr>
        <w:autoSpaceDE w:val="0"/>
        <w:autoSpaceDN w:val="0"/>
        <w:adjustRightInd w:val="0"/>
        <w:spacing w:line="440" w:lineRule="exact"/>
        <w:jc w:val="center"/>
        <w:rPr>
          <w:rFonts w:hint="eastAsia" w:ascii="宋体" w:hAnsi="宋体" w:eastAsia="宋体" w:cs="宋体"/>
          <w:b/>
          <w:color w:val="auto"/>
          <w:kern w:val="0"/>
          <w:sz w:val="24"/>
          <w:szCs w:val="24"/>
        </w:rPr>
      </w:pPr>
    </w:p>
    <w:p w14:paraId="3BD80AA3">
      <w:pPr>
        <w:autoSpaceDE w:val="0"/>
        <w:autoSpaceDN w:val="0"/>
        <w:adjustRightInd w:val="0"/>
        <w:spacing w:line="440" w:lineRule="exact"/>
        <w:jc w:val="center"/>
        <w:rPr>
          <w:rFonts w:hint="eastAsia" w:ascii="宋体" w:hAnsi="宋体" w:eastAsia="宋体" w:cs="宋体"/>
          <w:b/>
          <w:color w:val="auto"/>
          <w:kern w:val="0"/>
          <w:sz w:val="24"/>
          <w:szCs w:val="24"/>
        </w:rPr>
      </w:pPr>
    </w:p>
    <w:p w14:paraId="6F6C0A93">
      <w:pPr>
        <w:autoSpaceDE w:val="0"/>
        <w:autoSpaceDN w:val="0"/>
        <w:adjustRightInd w:val="0"/>
        <w:spacing w:line="440" w:lineRule="exact"/>
        <w:jc w:val="center"/>
        <w:rPr>
          <w:rFonts w:hint="eastAsia" w:ascii="宋体" w:hAnsi="宋体" w:eastAsia="宋体" w:cs="宋体"/>
          <w:b/>
          <w:color w:val="auto"/>
          <w:kern w:val="0"/>
          <w:sz w:val="24"/>
          <w:szCs w:val="24"/>
        </w:rPr>
      </w:pPr>
    </w:p>
    <w:p w14:paraId="247E790C">
      <w:pPr>
        <w:tabs>
          <w:tab w:val="left" w:pos="1761"/>
        </w:tabs>
        <w:autoSpaceDE w:val="0"/>
        <w:autoSpaceDN w:val="0"/>
        <w:adjustRightInd w:val="0"/>
        <w:spacing w:line="440" w:lineRule="exact"/>
        <w:jc w:val="left"/>
        <w:rPr>
          <w:rFonts w:hint="eastAsia" w:ascii="宋体" w:hAnsi="宋体" w:eastAsia="宋体" w:cs="宋体"/>
          <w:b/>
          <w:color w:val="auto"/>
          <w:kern w:val="0"/>
          <w:sz w:val="24"/>
          <w:szCs w:val="24"/>
          <w:lang w:eastAsia="zh-CN"/>
        </w:rPr>
      </w:pPr>
    </w:p>
    <w:p w14:paraId="4FCCC48F">
      <w:pPr>
        <w:autoSpaceDE w:val="0"/>
        <w:autoSpaceDN w:val="0"/>
        <w:adjustRightInd w:val="0"/>
        <w:spacing w:line="440" w:lineRule="exact"/>
        <w:jc w:val="center"/>
        <w:rPr>
          <w:rFonts w:hint="eastAsia" w:ascii="宋体" w:hAnsi="宋体" w:eastAsia="宋体" w:cs="宋体"/>
          <w:b/>
          <w:color w:val="auto"/>
          <w:kern w:val="0"/>
          <w:sz w:val="24"/>
          <w:szCs w:val="24"/>
        </w:rPr>
      </w:pPr>
    </w:p>
    <w:p w14:paraId="3E9619B1">
      <w:pP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3FF5593C">
      <w:pPr>
        <w:autoSpaceDE w:val="0"/>
        <w:autoSpaceDN w:val="0"/>
        <w:adjustRightInd w:val="0"/>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附录4    资格审查条件（信誉最低要求）</w:t>
      </w:r>
    </w:p>
    <w:tbl>
      <w:tblPr>
        <w:tblStyle w:val="2"/>
        <w:tblW w:w="8748"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748"/>
      </w:tblGrid>
      <w:tr w14:paraId="63E4C0C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748" w:type="dxa"/>
            <w:vAlign w:val="center"/>
          </w:tcPr>
          <w:p w14:paraId="3C277AAF">
            <w:pPr>
              <w:autoSpaceDE w:val="0"/>
              <w:autoSpaceDN w:val="0"/>
              <w:adjustRightInd w:val="0"/>
              <w:spacing w:line="440" w:lineRule="exact"/>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信 誉 要 求</w:t>
            </w:r>
          </w:p>
        </w:tc>
      </w:tr>
      <w:tr w14:paraId="75FB145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57" w:hRule="atLeast"/>
          <w:jc w:val="center"/>
        </w:trPr>
        <w:tc>
          <w:tcPr>
            <w:tcW w:w="8748" w:type="dxa"/>
          </w:tcPr>
          <w:p w14:paraId="2F77BBFB">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（1）未被省级及以上交通运输主管部门取消招标项目所在地的投标资格且处于有效期内；</w:t>
            </w:r>
          </w:p>
          <w:p w14:paraId="5E1937EA">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（2）未被责令停业，暂扣或吊销执照，或吊销资质证书；</w:t>
            </w:r>
          </w:p>
          <w:p w14:paraId="19E07E56">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（3）未进入清算程序，或未被宣告破产，或没有其他丧失履约能力的情形；</w:t>
            </w:r>
          </w:p>
          <w:p w14:paraId="6FABCA83">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（4）在国家企业信用信息公示系统（</w:t>
            </w:r>
            <w:r>
              <w:rPr>
                <w:rFonts w:hint="eastAsia" w:ascii="宋体" w:hAnsi="宋体" w:eastAsia="宋体" w:cs="宋体"/>
                <w:color w:val="auto"/>
                <w:sz w:val="24"/>
                <w:szCs w:val="24"/>
                <w:lang w:val="en-US" w:eastAsia="zh-CN" w:bidi="ar-SA"/>
              </w:rPr>
              <w:fldChar w:fldCharType="begin"/>
            </w:r>
            <w:r>
              <w:rPr>
                <w:rFonts w:hint="eastAsia" w:ascii="宋体" w:hAnsi="宋体" w:eastAsia="宋体" w:cs="宋体"/>
                <w:color w:val="auto"/>
                <w:sz w:val="24"/>
                <w:szCs w:val="24"/>
                <w:lang w:val="en-US" w:eastAsia="zh-CN" w:bidi="ar-SA"/>
              </w:rPr>
              <w:instrText xml:space="preserve"> HYPERLINK "http://www.gsxt.gov.cn/" </w:instrText>
            </w:r>
            <w:r>
              <w:rPr>
                <w:rFonts w:hint="eastAsia" w:ascii="宋体" w:hAnsi="宋体" w:eastAsia="宋体" w:cs="宋体"/>
                <w:color w:val="auto"/>
                <w:sz w:val="24"/>
                <w:szCs w:val="24"/>
                <w:lang w:val="en-US" w:eastAsia="zh-CN" w:bidi="ar-SA"/>
              </w:rPr>
              <w:fldChar w:fldCharType="separate"/>
            </w:r>
            <w:r>
              <w:rPr>
                <w:rFonts w:hint="eastAsia" w:ascii="宋体" w:hAnsi="宋体" w:eastAsia="宋体" w:cs="宋体"/>
                <w:color w:val="auto"/>
                <w:sz w:val="21"/>
                <w:szCs w:val="21"/>
                <w:lang w:val="en-US" w:eastAsia="zh-CN" w:bidi="ar-SA"/>
              </w:rPr>
              <w:t>http://www.gsxt.gov.cn/</w:t>
            </w:r>
            <w:r>
              <w:rPr>
                <w:rFonts w:hint="eastAsia" w:ascii="宋体" w:hAnsi="宋体" w:eastAsia="宋体" w:cs="宋体"/>
                <w:color w:val="auto"/>
                <w:sz w:val="21"/>
                <w:szCs w:val="21"/>
                <w:lang w:val="en-US" w:eastAsia="zh-CN" w:bidi="ar-SA"/>
              </w:rPr>
              <w:fldChar w:fldCharType="end"/>
            </w:r>
            <w:r>
              <w:rPr>
                <w:rFonts w:hint="eastAsia" w:ascii="宋体" w:hAnsi="宋体" w:eastAsia="宋体" w:cs="宋体"/>
                <w:color w:val="auto"/>
                <w:sz w:val="21"/>
                <w:szCs w:val="21"/>
                <w:lang w:val="en-US" w:eastAsia="zh-CN" w:bidi="ar-SA"/>
              </w:rPr>
              <w:t>）中未被列入严重违法失信企业名单；</w:t>
            </w:r>
          </w:p>
          <w:p w14:paraId="5BDE2F6A">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（5）在“信用中国”网站（</w:t>
            </w:r>
            <w:r>
              <w:rPr>
                <w:rFonts w:hint="eastAsia" w:ascii="宋体" w:hAnsi="宋体" w:eastAsia="宋体" w:cs="宋体"/>
                <w:color w:val="auto"/>
                <w:sz w:val="21"/>
                <w:szCs w:val="21"/>
                <w:lang w:val="en-US" w:eastAsia="zh-CN" w:bidi="ar-SA"/>
              </w:rPr>
              <w:fldChar w:fldCharType="begin"/>
            </w:r>
            <w:r>
              <w:rPr>
                <w:rFonts w:hint="eastAsia" w:ascii="宋体" w:hAnsi="宋体" w:eastAsia="宋体" w:cs="宋体"/>
                <w:color w:val="auto"/>
                <w:sz w:val="21"/>
                <w:szCs w:val="21"/>
                <w:lang w:val="en-US" w:eastAsia="zh-CN" w:bidi="ar-SA"/>
              </w:rPr>
              <w:instrText xml:space="preserve"> HYPERLINK "http://www.creditchina.gov.cn/" </w:instrText>
            </w:r>
            <w:r>
              <w:rPr>
                <w:rFonts w:hint="eastAsia" w:ascii="宋体" w:hAnsi="宋体" w:eastAsia="宋体" w:cs="宋体"/>
                <w:color w:val="auto"/>
                <w:sz w:val="21"/>
                <w:szCs w:val="21"/>
                <w:lang w:val="en-US" w:eastAsia="zh-CN" w:bidi="ar-SA"/>
              </w:rPr>
              <w:fldChar w:fldCharType="separate"/>
            </w:r>
            <w:r>
              <w:rPr>
                <w:rFonts w:hint="eastAsia" w:ascii="宋体" w:hAnsi="宋体" w:eastAsia="宋体" w:cs="宋体"/>
                <w:color w:val="auto"/>
                <w:sz w:val="21"/>
                <w:szCs w:val="21"/>
                <w:lang w:val="en-US" w:eastAsia="zh-CN" w:bidi="ar-SA"/>
              </w:rPr>
              <w:t>http://www.creditchina.gov.cn/</w:t>
            </w:r>
            <w:r>
              <w:rPr>
                <w:rFonts w:hint="eastAsia" w:ascii="宋体" w:hAnsi="宋体" w:eastAsia="宋体" w:cs="宋体"/>
                <w:color w:val="auto"/>
                <w:sz w:val="21"/>
                <w:szCs w:val="21"/>
                <w:lang w:val="en-US" w:eastAsia="zh-CN" w:bidi="ar-SA"/>
              </w:rPr>
              <w:fldChar w:fldCharType="end"/>
            </w:r>
            <w:r>
              <w:rPr>
                <w:rFonts w:hint="eastAsia" w:ascii="宋体" w:hAnsi="宋体" w:eastAsia="宋体" w:cs="宋体"/>
                <w:color w:val="auto"/>
                <w:sz w:val="21"/>
                <w:szCs w:val="21"/>
                <w:lang w:val="en-US" w:eastAsia="zh-CN" w:bidi="ar-SA"/>
              </w:rPr>
              <w:t>）中未被列入“严重失信主体名单”；</w:t>
            </w:r>
          </w:p>
          <w:p w14:paraId="62969C46">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 投标人及其法定代表人、拟委任的项目经理和项目总工在近三年内 （2022年12月1 日至今）无行贿犯罪行为；</w:t>
            </w:r>
          </w:p>
          <w:p w14:paraId="4EFE3730">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（7）法律法规或投标人须知前附表规定的其他情形</w:t>
            </w:r>
            <w:r>
              <w:rPr>
                <w:rFonts w:hint="eastAsia" w:ascii="宋体" w:hAnsi="宋体" w:eastAsia="宋体" w:cs="宋体"/>
                <w:color w:val="auto"/>
                <w:sz w:val="21"/>
                <w:szCs w:val="21"/>
                <w:highlight w:val="none"/>
                <w:lang w:val="en-US" w:eastAsia="zh-CN" w:bidi="ar-SA"/>
              </w:rPr>
              <w:t>；</w:t>
            </w:r>
          </w:p>
          <w:p w14:paraId="4584CD8C">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（8）投标人在近三年（2022年12月1日至今）内在交通工程建设领域未发生重大及以上工程质量事故或安全事故；</w:t>
            </w:r>
          </w:p>
          <w:p w14:paraId="35C0DE7E">
            <w:pPr>
              <w:widowControl/>
              <w:overflowPunct w:val="0"/>
              <w:autoSpaceDE w:val="0"/>
              <w:autoSpaceDN w:val="0"/>
              <w:adjustRightInd w:val="0"/>
              <w:spacing w:line="360" w:lineRule="auto"/>
              <w:ind w:firstLine="420" w:firstLineChars="200"/>
              <w:jc w:val="both"/>
              <w:textAlignment w:val="baseline"/>
              <w:outlineLvl w:val="1"/>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（9）投标人在山西省公路建设市场没有重大违约问题。</w:t>
            </w:r>
          </w:p>
          <w:p w14:paraId="26A66ACA">
            <w:pPr>
              <w:autoSpaceDE w:val="0"/>
              <w:autoSpaceDN w:val="0"/>
              <w:adjustRightInd w:val="0"/>
              <w:spacing w:line="500" w:lineRule="exact"/>
              <w:ind w:firstLine="42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Cs w:val="21"/>
              </w:rPr>
              <w:t>（投标人如未如实填报，一经查实，取消其投标资格）</w:t>
            </w:r>
          </w:p>
        </w:tc>
      </w:tr>
    </w:tbl>
    <w:p w14:paraId="2789854E">
      <w:pPr>
        <w:autoSpaceDE w:val="0"/>
        <w:autoSpaceDN w:val="0"/>
        <w:adjustRightInd w:val="0"/>
        <w:spacing w:line="440" w:lineRule="exact"/>
        <w:ind w:firstLine="482" w:firstLineChars="200"/>
        <w:jc w:val="both"/>
        <w:rPr>
          <w:rFonts w:hint="eastAsia" w:ascii="宋体" w:hAnsi="宋体" w:eastAsia="宋体" w:cs="宋体"/>
          <w:b/>
          <w:color w:val="auto"/>
          <w:kern w:val="0"/>
          <w:sz w:val="24"/>
          <w:szCs w:val="24"/>
          <w:highlight w:val="red"/>
          <w:lang w:eastAsia="zh-CN"/>
        </w:rPr>
      </w:pPr>
    </w:p>
    <w:p w14:paraId="22BF7D3B">
      <w:pPr>
        <w:pageBreakBefore/>
        <w:autoSpaceDE w:val="0"/>
        <w:autoSpaceDN w:val="0"/>
        <w:adjustRightInd w:val="0"/>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附录5   资格审查条件（项目经理、项目总工最低要求）</w:t>
      </w:r>
    </w:p>
    <w:p w14:paraId="7C19841B">
      <w:pPr>
        <w:widowControl w:val="0"/>
        <w:autoSpaceDE w:val="0"/>
        <w:autoSpaceDN w:val="0"/>
        <w:adjustRightInd w:val="0"/>
        <w:spacing w:line="315" w:lineRule="atLeast"/>
        <w:rPr>
          <w:rFonts w:hint="eastAsia" w:ascii="宋体" w:hAnsi="宋体" w:eastAsia="宋体" w:cs="宋体"/>
          <w:color w:val="auto"/>
          <w:sz w:val="24"/>
          <w:szCs w:val="24"/>
          <w:lang w:val="en-US" w:eastAsia="zh-CN" w:bidi="ar-SA"/>
        </w:rPr>
      </w:pPr>
    </w:p>
    <w:tbl>
      <w:tblPr>
        <w:tblStyle w:val="2"/>
        <w:tblW w:w="915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821"/>
        <w:gridCol w:w="5466"/>
        <w:gridCol w:w="1538"/>
      </w:tblGrid>
      <w:tr w14:paraId="1E388CC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1333" w:type="dxa"/>
            <w:vAlign w:val="center"/>
          </w:tcPr>
          <w:p w14:paraId="06C4DB70">
            <w:pPr>
              <w:autoSpaceDE w:val="0"/>
              <w:autoSpaceDN w:val="0"/>
              <w:adjustRightInd w:val="0"/>
              <w:spacing w:line="315"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人员</w:t>
            </w:r>
          </w:p>
        </w:tc>
        <w:tc>
          <w:tcPr>
            <w:tcW w:w="821" w:type="dxa"/>
            <w:vAlign w:val="center"/>
          </w:tcPr>
          <w:p w14:paraId="5925DCBA">
            <w:pPr>
              <w:autoSpaceDE w:val="0"/>
              <w:autoSpaceDN w:val="0"/>
              <w:adjustRightInd w:val="0"/>
              <w:spacing w:line="315"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5466" w:type="dxa"/>
            <w:vAlign w:val="center"/>
          </w:tcPr>
          <w:p w14:paraId="19183F6C">
            <w:pPr>
              <w:autoSpaceDE w:val="0"/>
              <w:autoSpaceDN w:val="0"/>
              <w:adjustRightInd w:val="0"/>
              <w:spacing w:line="315"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资格要求</w:t>
            </w:r>
          </w:p>
        </w:tc>
        <w:tc>
          <w:tcPr>
            <w:tcW w:w="1538" w:type="dxa"/>
            <w:tcBorders>
              <w:bottom w:val="single" w:color="auto" w:sz="4" w:space="0"/>
            </w:tcBorders>
            <w:vAlign w:val="center"/>
          </w:tcPr>
          <w:p w14:paraId="589A43BF">
            <w:pPr>
              <w:widowControl/>
              <w:autoSpaceDE w:val="0"/>
              <w:autoSpaceDN w:val="0"/>
              <w:adjustRightInd w:val="0"/>
              <w:spacing w:line="315"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在岗要求</w:t>
            </w:r>
          </w:p>
        </w:tc>
      </w:tr>
      <w:tr w14:paraId="6DD545E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524" w:hRule="atLeast"/>
          <w:jc w:val="center"/>
        </w:trPr>
        <w:tc>
          <w:tcPr>
            <w:tcW w:w="1333" w:type="dxa"/>
            <w:vAlign w:val="center"/>
          </w:tcPr>
          <w:p w14:paraId="614CD9E5">
            <w:pPr>
              <w:autoSpaceDE w:val="0"/>
              <w:autoSpaceDN w:val="0"/>
              <w:adjustRightInd w:val="0"/>
              <w:spacing w:line="315"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项目经理</w:t>
            </w:r>
          </w:p>
        </w:tc>
        <w:tc>
          <w:tcPr>
            <w:tcW w:w="821" w:type="dxa"/>
            <w:vAlign w:val="center"/>
          </w:tcPr>
          <w:p w14:paraId="14C49EEB">
            <w:pPr>
              <w:autoSpaceDE w:val="0"/>
              <w:autoSpaceDN w:val="0"/>
              <w:adjustRightInd w:val="0"/>
              <w:spacing w:line="315"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5466" w:type="dxa"/>
            <w:vAlign w:val="center"/>
          </w:tcPr>
          <w:p w14:paraId="28FA2E52">
            <w:pPr>
              <w:autoSpaceDE w:val="0"/>
              <w:autoSpaceDN w:val="0"/>
              <w:adjustRightInd w:val="0"/>
              <w:spacing w:line="315"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拟任项目经理须具有工程师及以上职称（公路工程相关专业），并持有本单位注册的公路工程专业一级建造师注册证书及交通主管部门颁发的安全生产考核合格证书（B证）；作为项目经理至少完成过1项</w:t>
            </w:r>
            <w:r>
              <w:rPr>
                <w:rFonts w:hint="eastAsia" w:ascii="宋体" w:hAnsi="宋体" w:eastAsia="宋体" w:cs="宋体"/>
                <w:color w:val="auto"/>
                <w:kern w:val="0"/>
                <w:szCs w:val="21"/>
                <w:lang w:val="en-US" w:eastAsia="zh-CN"/>
              </w:rPr>
              <w:t>二</w:t>
            </w:r>
            <w:r>
              <w:rPr>
                <w:rFonts w:hint="eastAsia" w:ascii="宋体" w:hAnsi="宋体" w:eastAsia="宋体" w:cs="宋体"/>
                <w:color w:val="auto"/>
                <w:kern w:val="0"/>
                <w:szCs w:val="21"/>
              </w:rPr>
              <w:t>级及以上公路新（改、扩）建公路工程（含大桥）施工业绩。</w:t>
            </w:r>
          </w:p>
        </w:tc>
        <w:tc>
          <w:tcPr>
            <w:tcW w:w="1538" w:type="dxa"/>
            <w:vMerge w:val="restart"/>
            <w:tcBorders>
              <w:top w:val="single" w:color="auto" w:sz="4" w:space="0"/>
            </w:tcBorders>
            <w:vAlign w:val="center"/>
          </w:tcPr>
          <w:p w14:paraId="3F888333">
            <w:pPr>
              <w:autoSpaceDE w:val="0"/>
              <w:autoSpaceDN w:val="0"/>
              <w:adjustRightInd w:val="0"/>
              <w:spacing w:line="315" w:lineRule="atLeast"/>
              <w:jc w:val="both"/>
              <w:rPr>
                <w:rFonts w:hint="eastAsia" w:ascii="宋体" w:hAnsi="宋体" w:eastAsia="宋体" w:cs="宋体"/>
                <w:color w:val="auto"/>
                <w:kern w:val="0"/>
                <w:szCs w:val="21"/>
              </w:rPr>
            </w:pPr>
            <w:r>
              <w:rPr>
                <w:rFonts w:hint="eastAsia" w:ascii="宋体" w:hAnsi="宋体" w:eastAsia="宋体" w:cs="宋体"/>
                <w:color w:val="auto"/>
                <w:kern w:val="0"/>
                <w:szCs w:val="20"/>
              </w:rPr>
              <w:t>无在岗项目（指目前未在其他项目上任职，或虽在其他项目上任职但须承诺本项目中标后能够从该项目撤离，需提供承诺。）</w:t>
            </w:r>
          </w:p>
        </w:tc>
      </w:tr>
      <w:tr w14:paraId="27DFEC3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377" w:hRule="atLeast"/>
          <w:jc w:val="center"/>
        </w:trPr>
        <w:tc>
          <w:tcPr>
            <w:tcW w:w="1333" w:type="dxa"/>
            <w:vAlign w:val="center"/>
          </w:tcPr>
          <w:p w14:paraId="285B20BE">
            <w:pPr>
              <w:autoSpaceDE w:val="0"/>
              <w:autoSpaceDN w:val="0"/>
              <w:adjustRightInd w:val="0"/>
              <w:spacing w:line="315"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项目总工</w:t>
            </w:r>
          </w:p>
        </w:tc>
        <w:tc>
          <w:tcPr>
            <w:tcW w:w="821" w:type="dxa"/>
            <w:vAlign w:val="center"/>
          </w:tcPr>
          <w:p w14:paraId="0183D241">
            <w:pPr>
              <w:autoSpaceDE w:val="0"/>
              <w:autoSpaceDN w:val="0"/>
              <w:adjustRightInd w:val="0"/>
              <w:spacing w:line="315"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5466" w:type="dxa"/>
            <w:vAlign w:val="center"/>
          </w:tcPr>
          <w:p w14:paraId="1B40D29B">
            <w:pPr>
              <w:autoSpaceDE w:val="0"/>
              <w:autoSpaceDN w:val="0"/>
              <w:adjustRightInd w:val="0"/>
              <w:spacing w:line="315"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项目总工须具有高级工程师及以上职称（公路工程相关专业），并持有交通主管部门颁发的安全生产考核合格证书（B证）</w:t>
            </w:r>
            <w:r>
              <w:rPr>
                <w:rFonts w:hint="eastAsia" w:ascii="宋体" w:hAnsi="宋体" w:eastAsia="宋体" w:cs="宋体"/>
                <w:color w:val="auto"/>
                <w:kern w:val="2"/>
                <w:szCs w:val="21"/>
              </w:rPr>
              <w:t>；</w:t>
            </w:r>
            <w:r>
              <w:rPr>
                <w:rFonts w:hint="eastAsia" w:ascii="宋体" w:hAnsi="宋体" w:eastAsia="宋体" w:cs="宋体"/>
                <w:color w:val="auto"/>
                <w:kern w:val="2"/>
                <w:szCs w:val="21"/>
                <w:lang w:val="en-US" w:eastAsia="zh-CN"/>
              </w:rPr>
              <w:t>作为项目总工</w:t>
            </w:r>
            <w:r>
              <w:rPr>
                <w:rFonts w:hint="eastAsia" w:ascii="宋体" w:hAnsi="宋体" w:eastAsia="宋体" w:cs="宋体"/>
                <w:color w:val="auto"/>
                <w:kern w:val="0"/>
                <w:szCs w:val="21"/>
              </w:rPr>
              <w:t>至少完成过1项</w:t>
            </w:r>
            <w:r>
              <w:rPr>
                <w:rFonts w:hint="eastAsia" w:ascii="宋体" w:hAnsi="宋体" w:eastAsia="宋体" w:cs="宋体"/>
                <w:color w:val="auto"/>
                <w:kern w:val="0"/>
                <w:szCs w:val="21"/>
                <w:lang w:val="en-US" w:eastAsia="zh-CN"/>
              </w:rPr>
              <w:t>二</w:t>
            </w:r>
            <w:r>
              <w:rPr>
                <w:rFonts w:hint="eastAsia" w:ascii="宋体" w:hAnsi="宋体" w:eastAsia="宋体" w:cs="宋体"/>
                <w:color w:val="auto"/>
                <w:kern w:val="0"/>
                <w:szCs w:val="21"/>
              </w:rPr>
              <w:t>级及以上公路新（改、扩）建公路工程（含大桥）施工业绩。</w:t>
            </w:r>
          </w:p>
        </w:tc>
        <w:tc>
          <w:tcPr>
            <w:tcW w:w="1538" w:type="dxa"/>
            <w:vMerge w:val="continue"/>
          </w:tcPr>
          <w:p w14:paraId="454EE648">
            <w:pPr>
              <w:widowControl/>
              <w:autoSpaceDE w:val="0"/>
              <w:autoSpaceDN w:val="0"/>
              <w:adjustRightInd w:val="0"/>
              <w:spacing w:line="315" w:lineRule="atLeast"/>
              <w:jc w:val="left"/>
              <w:rPr>
                <w:rFonts w:hint="eastAsia" w:ascii="宋体" w:hAnsi="宋体" w:eastAsia="宋体" w:cs="宋体"/>
                <w:color w:val="auto"/>
                <w:kern w:val="0"/>
                <w:szCs w:val="21"/>
              </w:rPr>
            </w:pPr>
          </w:p>
        </w:tc>
      </w:tr>
    </w:tbl>
    <w:p w14:paraId="2CD4FD35">
      <w:pPr>
        <w:ind w:firstLine="723" w:firstLineChars="200"/>
        <w:jc w:val="center"/>
        <w:rPr>
          <w:rFonts w:hint="eastAsia" w:ascii="宋体" w:hAnsi="宋体"/>
          <w:b/>
          <w:sz w:val="36"/>
          <w:szCs w:val="36"/>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84062"/>
    <w:rsid w:val="097910BB"/>
    <w:rsid w:val="17D42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Default"/>
    <w:qFormat/>
    <w:uiPriority w:val="0"/>
    <w:pPr>
      <w:widowControl w:val="0"/>
    </w:pPr>
    <w:rPr>
      <w:rFonts w:hint="eastAsia" w:ascii="Times New Roman" w:hAnsi="宋体" w:eastAsia="宋体" w:cs="Times New Roman"/>
      <w:color w:val="000000"/>
      <w:kern w:val="2"/>
      <w:sz w:val="24"/>
      <w:szCs w:val="24"/>
      <w:lang w:val="en-US" w:eastAsia="zh-CN" w:bidi="ar-SA"/>
    </w:rPr>
  </w:style>
  <w:style w:type="paragraph" w:customStyle="1" w:styleId="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4013</Words>
  <Characters>4589</Characters>
  <Lines>0</Lines>
  <Paragraphs>0</Paragraphs>
  <TotalTime>0</TotalTime>
  <ScaleCrop>false</ScaleCrop>
  <LinksUpToDate>false</LinksUpToDate>
  <CharactersWithSpaces>4653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2025-12-08T00:50:00Z</dcterms:created>
  <dc:creator>徐！</dc:creator>
  <cp:lastModifiedBy>徐！</cp:lastModifiedBy>
  <dcterms:modified xsi:type="dcterms:W3CDTF">2025-12-09T02:13:37Z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14C5BE974E214B93BFF255F2879FE827_11</vt:lpwstr>
  </property>
  <property fmtid="{D5CDD505-2E9C-101B-9397-08002B2CF9AE}" pid="4" name="KSOTemplateDocerSaveRecord">
    <vt:lpwstr>eyJoZGlkIjoiNDQ1YTdmNDkwNjdiMDU1YTllZGNmOWYxY2UxNDc2YjgiLCJ1c2VySWQiOiIxMDA3ODYyODA4In0=</vt:lpwstr>
  </property>
</Properties>
</file>