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121F6">
      <w:pPr>
        <w:pStyle w:val="8"/>
        <w:widowControl w:val="0"/>
        <w:spacing w:before="0" w:beforeAutospacing="0" w:after="0" w:afterAutospacing="0" w:line="360" w:lineRule="auto"/>
        <w:jc w:val="center"/>
        <w:rPr>
          <w:rFonts w:hint="eastAsia" w:ascii="宋体" w:hAnsi="宋体" w:eastAsia="宋体" w:cs="宋体"/>
          <w:b/>
          <w:bCs/>
          <w:color w:val="auto"/>
          <w:kern w:val="2"/>
          <w:sz w:val="30"/>
          <w:szCs w:val="30"/>
          <w:highlight w:val="none"/>
          <w:lang w:val="en-US" w:eastAsia="zh-CN"/>
        </w:rPr>
      </w:pPr>
      <w:r>
        <w:rPr>
          <w:rFonts w:hint="eastAsia" w:ascii="宋体" w:hAnsi="宋体" w:eastAsia="宋体" w:cs="宋体"/>
          <w:b/>
          <w:bCs/>
          <w:color w:val="auto"/>
          <w:kern w:val="2"/>
          <w:sz w:val="30"/>
          <w:szCs w:val="30"/>
          <w:highlight w:val="none"/>
          <w:lang w:val="en-US" w:eastAsia="zh-CN"/>
        </w:rPr>
        <w:t>山西交通控股集团有限公司2026-2027年政府还贷高速公路养护工程监理服务</w:t>
      </w:r>
    </w:p>
    <w:p w14:paraId="66EABCE4">
      <w:pPr>
        <w:pStyle w:val="8"/>
        <w:widowControl w:val="0"/>
        <w:spacing w:before="0" w:beforeAutospacing="0" w:after="0" w:afterAutospacing="0" w:line="360" w:lineRule="auto"/>
        <w:jc w:val="center"/>
        <w:rPr>
          <w:rFonts w:hint="eastAsia" w:ascii="宋体" w:hAnsi="宋体" w:eastAsia="宋体" w:cs="宋体"/>
          <w:b/>
          <w:bCs/>
          <w:color w:val="auto"/>
          <w:kern w:val="2"/>
          <w:sz w:val="30"/>
          <w:szCs w:val="30"/>
          <w:highlight w:val="none"/>
          <w:lang w:val="en-US" w:eastAsia="zh-CN"/>
        </w:rPr>
      </w:pPr>
      <w:r>
        <w:rPr>
          <w:rFonts w:hint="eastAsia" w:ascii="宋体" w:hAnsi="宋体" w:eastAsia="宋体" w:cs="宋体"/>
          <w:b/>
          <w:bCs/>
          <w:color w:val="auto"/>
          <w:kern w:val="2"/>
          <w:sz w:val="30"/>
          <w:szCs w:val="30"/>
          <w:highlight w:val="none"/>
          <w:lang w:val="en-US" w:eastAsia="zh-CN"/>
        </w:rPr>
        <w:t>关键内容公开</w:t>
      </w:r>
    </w:p>
    <w:p w14:paraId="488E2D96">
      <w:pPr>
        <w:keepNext w:val="0"/>
        <w:keepLines w:val="0"/>
        <w:pageBreakBefore w:val="0"/>
        <w:widowControl w:val="0"/>
        <w:kinsoku/>
        <w:wordWrap/>
        <w:overflowPunct/>
        <w:topLinePunct w:val="0"/>
        <w:autoSpaceDE/>
        <w:autoSpaceDN/>
        <w:bidi w:val="0"/>
        <w:adjustRightInd/>
        <w:snapToGrid/>
        <w:spacing w:after="167" w:afterLines="50" w:line="36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交控集团招采认证编号：JKJT-JKJT-2025-QTBXZB-FW-338784</w:t>
      </w:r>
      <w:r>
        <w:rPr>
          <w:rFonts w:hint="eastAsia" w:ascii="宋体" w:hAnsi="宋体" w:eastAsia="宋体" w:cs="宋体"/>
          <w:b/>
          <w:bCs/>
          <w:color w:val="auto"/>
          <w:sz w:val="24"/>
          <w:highlight w:val="none"/>
        </w:rPr>
        <w:t>）</w:t>
      </w:r>
    </w:p>
    <w:p w14:paraId="6C89A0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bookmarkStart w:id="0" w:name="_Toc8909"/>
      <w:r>
        <w:rPr>
          <w:rFonts w:hint="eastAsia" w:ascii="仿宋" w:hAnsi="仿宋" w:eastAsia="仿宋" w:cs="仿宋"/>
          <w:b/>
          <w:bCs/>
          <w:color w:val="auto"/>
          <w:sz w:val="24"/>
          <w:szCs w:val="24"/>
          <w:highlight w:val="none"/>
          <w:lang w:val="en-US" w:eastAsia="zh-CN"/>
        </w:rPr>
        <w:t xml:space="preserve">招标项目所在地区：山西省 </w:t>
      </w:r>
    </w:p>
    <w:p w14:paraId="7FDA3D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1、招标条件</w:t>
      </w:r>
    </w:p>
    <w:p w14:paraId="42D42F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本招标项目</w:t>
      </w:r>
      <w:r>
        <w:rPr>
          <w:rFonts w:hint="eastAsia" w:ascii="仿宋" w:hAnsi="仿宋" w:eastAsia="仿宋" w:cs="仿宋"/>
          <w:color w:val="auto"/>
          <w:sz w:val="24"/>
          <w:szCs w:val="24"/>
          <w:highlight w:val="none"/>
          <w:u w:val="single"/>
          <w:lang w:val="en-US" w:eastAsia="zh-CN"/>
        </w:rPr>
        <w:t>山西交通控股集团有限公司2026-2027年政府还贷高速公路养护工程监理服务</w:t>
      </w:r>
      <w:r>
        <w:rPr>
          <w:rFonts w:hint="eastAsia" w:ascii="仿宋" w:hAnsi="仿宋" w:eastAsia="仿宋" w:cs="仿宋"/>
          <w:color w:val="auto"/>
          <w:sz w:val="24"/>
          <w:szCs w:val="24"/>
          <w:lang w:val="en-US" w:eastAsia="zh-CN"/>
        </w:rPr>
        <w:t>，已由</w:t>
      </w:r>
      <w:r>
        <w:rPr>
          <w:rFonts w:hint="eastAsia" w:ascii="仿宋" w:hAnsi="仿宋" w:eastAsia="仿宋" w:cs="仿宋"/>
          <w:color w:val="auto"/>
          <w:sz w:val="24"/>
          <w:szCs w:val="24"/>
          <w:u w:val="single"/>
          <w:lang w:val="en-US" w:eastAsia="zh-CN"/>
        </w:rPr>
        <w:t>山西</w:t>
      </w:r>
      <w:r>
        <w:rPr>
          <w:rFonts w:hint="eastAsia" w:ascii="仿宋" w:hAnsi="仿宋" w:eastAsia="仿宋" w:cs="仿宋"/>
          <w:color w:val="auto"/>
          <w:sz w:val="24"/>
          <w:szCs w:val="24"/>
          <w:highlight w:val="none"/>
          <w:u w:val="single"/>
          <w:lang w:val="en-US" w:eastAsia="zh-CN"/>
        </w:rPr>
        <w:t>交通控股集团有限公</w:t>
      </w:r>
      <w:r>
        <w:rPr>
          <w:rFonts w:hint="eastAsia" w:ascii="仿宋" w:hAnsi="仿宋" w:eastAsia="仿宋" w:cs="仿宋"/>
          <w:color w:val="auto"/>
          <w:sz w:val="24"/>
          <w:szCs w:val="24"/>
          <w:u w:val="single"/>
          <w:lang w:val="en-US" w:eastAsia="zh-CN"/>
        </w:rPr>
        <w:t>司第16号总经理办公会议纪要</w:t>
      </w:r>
      <w:r>
        <w:rPr>
          <w:rFonts w:hint="eastAsia" w:ascii="仿宋" w:hAnsi="仿宋" w:eastAsia="仿宋" w:cs="仿宋"/>
          <w:color w:val="auto"/>
          <w:sz w:val="24"/>
          <w:szCs w:val="24"/>
          <w:lang w:val="en-US" w:eastAsia="zh-CN"/>
        </w:rPr>
        <w:t>通过批准，</w:t>
      </w:r>
      <w:r>
        <w:rPr>
          <w:rFonts w:hint="eastAsia" w:ascii="方正仿宋_GB2312" w:hAnsi="方正仿宋_GB2312" w:eastAsia="方正仿宋_GB2312" w:cs="方正仿宋_GB2312"/>
          <w:color w:val="auto"/>
          <w:sz w:val="24"/>
          <w:highlight w:val="none"/>
        </w:rPr>
        <w:t>项目资金来源为</w:t>
      </w:r>
      <w:r>
        <w:rPr>
          <w:rFonts w:hint="eastAsia" w:ascii="方正仿宋_GB2312" w:hAnsi="方正仿宋_GB2312" w:eastAsia="方正仿宋_GB2312" w:cs="方正仿宋_GB2312"/>
          <w:color w:val="auto"/>
          <w:sz w:val="24"/>
          <w:highlight w:val="none"/>
          <w:u w:val="single"/>
          <w:lang w:val="en-US" w:eastAsia="zh-CN"/>
        </w:rPr>
        <w:t>企业自有</w:t>
      </w:r>
      <w:r>
        <w:rPr>
          <w:rFonts w:hint="eastAsia" w:ascii="仿宋" w:hAnsi="仿宋" w:eastAsia="仿宋" w:cs="仿宋"/>
          <w:color w:val="auto"/>
          <w:sz w:val="24"/>
          <w:szCs w:val="24"/>
          <w:lang w:val="en-US" w:eastAsia="zh-CN"/>
        </w:rPr>
        <w:t>，招标人为</w:t>
      </w:r>
      <w:r>
        <w:rPr>
          <w:rFonts w:hint="eastAsia" w:ascii="仿宋" w:hAnsi="仿宋" w:eastAsia="仿宋" w:cs="仿宋"/>
          <w:color w:val="auto"/>
          <w:sz w:val="24"/>
          <w:szCs w:val="24"/>
          <w:u w:val="single"/>
          <w:lang w:val="en-US" w:eastAsia="zh-CN"/>
        </w:rPr>
        <w:t>山西交通控股集团有限公司</w:t>
      </w:r>
      <w:r>
        <w:rPr>
          <w:rFonts w:hint="eastAsia" w:ascii="仿宋" w:hAnsi="仿宋" w:eastAsia="仿宋" w:cs="仿宋"/>
          <w:color w:val="auto"/>
          <w:sz w:val="24"/>
          <w:szCs w:val="24"/>
          <w:lang w:val="en-US" w:eastAsia="zh-CN"/>
        </w:rPr>
        <w:t>。项目已具备招标条件，现对该项目进行公开招标。</w:t>
      </w:r>
    </w:p>
    <w:p w14:paraId="0AB2CE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2、项目概况与招标范围</w:t>
      </w:r>
    </w:p>
    <w:p w14:paraId="662494AF">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 项目概况：用于集团统筹实施或管理公司主导实施的所有需开展专业监理的养护工程项目（单独招采监理服务的项目的除外），包含2026-2027年集团公司所辖政府还贷高速公路范围内的各类（土建、机电、房建等）养护工程项目的监理服务及其他相关后续服务。</w:t>
      </w:r>
    </w:p>
    <w:p w14:paraId="570A364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 招标内容与范围：本项目共划分1个标段。</w:t>
      </w:r>
    </w:p>
    <w:p w14:paraId="3D570F46">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001标段：山西交通控股集团有限公司2026-2027年政府还贷高速公路养护工程监理服务。</w:t>
      </w:r>
    </w:p>
    <w:p w14:paraId="0537635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 服务地点：山西省内招标人指定地点。</w:t>
      </w:r>
    </w:p>
    <w:p w14:paraId="6441511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 监理服务期限：2026年1月1日至2027年12月31日，具体按照项目任务单确定的工期为准（如个别项目建设工期超出总服务期，以项目任务单确定的工期为准）；</w:t>
      </w:r>
    </w:p>
    <w:p w14:paraId="05978D2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施工准备阶段：0.5-1个月；监理服务期：以实际工期确定监理服务期；缺陷责任期：6-12个月。</w:t>
      </w:r>
    </w:p>
    <w:p w14:paraId="2A0CF85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2.5质量要求：交工验收的工程质量目标：合格；竣工验收的工程质量目标：合格。</w:t>
      </w:r>
    </w:p>
    <w:p w14:paraId="5F26A3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3、投标人资格要求</w:t>
      </w:r>
      <w:r>
        <w:rPr>
          <w:rFonts w:hint="eastAsia" w:ascii="仿宋" w:hAnsi="仿宋" w:eastAsia="仿宋" w:cs="仿宋"/>
          <w:b/>
          <w:bCs/>
          <w:color w:val="auto"/>
          <w:sz w:val="24"/>
          <w:szCs w:val="24"/>
          <w:highlight w:val="none"/>
          <w:lang w:val="en-US" w:eastAsia="zh-CN"/>
        </w:rPr>
        <w:tab/>
      </w:r>
    </w:p>
    <w:p w14:paraId="059F3DD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bookmarkStart w:id="1" w:name="_bookmark5"/>
      <w:bookmarkEnd w:id="1"/>
      <w:r>
        <w:rPr>
          <w:rFonts w:hint="eastAsia" w:ascii="仿宋" w:hAnsi="仿宋" w:eastAsia="仿宋" w:cs="仿宋"/>
          <w:color w:val="auto"/>
          <w:kern w:val="2"/>
          <w:sz w:val="24"/>
          <w:szCs w:val="24"/>
          <w:highlight w:val="none"/>
          <w:lang w:val="en-US" w:eastAsia="zh-CN" w:bidi="ar-SA"/>
        </w:rPr>
        <w:t>3.1 本次招标要求投标人在中华人民共和国境内依法登记注册，具有独立法人资格，持有有效的营业执照，并在人员、设备、资金、信誉等方面具有相应的服务能力。</w:t>
      </w:r>
    </w:p>
    <w:p w14:paraId="488644B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 资质要求：投标人须同时具备①交通运输主管部门颁发的有效的公路工程甲级监理资质②交通运输主管部门颁发的有效的公路工程机电专项监理资质③建设行政主管部门颁发的工程监理综合资质或房屋建筑工程专业乙级及以上监理资质。</w:t>
      </w:r>
    </w:p>
    <w:p w14:paraId="72CD01FB">
      <w:pPr>
        <w:ind w:firstLine="442" w:firstLineChars="200"/>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注：如为联合体投标，承担监理任务的各成员单位可累计满足上述条件且各成员单位均应独立满足①或②其中1条。</w:t>
      </w:r>
    </w:p>
    <w:p w14:paraId="1FB22A1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 业绩要求：投标人近五年内（2020年11月1日至投标文件递交截止日，以交工或竣工验收时间为准）至少完成过1项高速公路养护工程监理工作（监理内容须包含路基、路面、桥梁、隧道、交安；可提供多项业绩，予以累计认定）。</w:t>
      </w:r>
    </w:p>
    <w:p w14:paraId="0DAF7849">
      <w:pPr>
        <w:ind w:firstLine="442" w:firstLineChars="200"/>
        <w:rPr>
          <w:rFonts w:hint="default"/>
          <w:lang w:val="en-US" w:eastAsia="zh-CN"/>
        </w:rPr>
      </w:pPr>
      <w:r>
        <w:rPr>
          <w:rFonts w:hint="eastAsia" w:ascii="仿宋" w:hAnsi="仿宋" w:eastAsia="仿宋" w:cs="仿宋"/>
          <w:b/>
          <w:bCs/>
          <w:color w:val="auto"/>
          <w:kern w:val="2"/>
          <w:sz w:val="22"/>
          <w:szCs w:val="22"/>
          <w:highlight w:val="none"/>
          <w:lang w:val="en-US" w:eastAsia="zh-CN" w:bidi="ar-SA"/>
        </w:rPr>
        <w:t>注：如为联合体投标，联合体各成员单位可累计满足上述条件。</w:t>
      </w:r>
    </w:p>
    <w:p w14:paraId="7C0B215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 总监理工程师：1名，高级工程师或以上职称（公路工程相关专业），持有交通运输部或人社部和交通运输部联合颁发的监理工程师资格证书且在投标人单位注册登记；作为总监理工程师近五年内（2020年11月1日至投标文件递交截止日，以交工或竣工验收时间为准）至少完成过1项高速公路养护工程施工监理业绩；</w:t>
      </w:r>
    </w:p>
    <w:p w14:paraId="2B0DE05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3.5财务要求：投标人(如为联合体形式投标，指联合体各成员)2024年度（年末）流动资产与流动负债的比率大于1。</w:t>
      </w:r>
    </w:p>
    <w:p w14:paraId="7E804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3.6信誉要求：投标人(如为联合体形式投标，指联合体各成员)如存在下列不良状况或不良信用记录，则不得参与本项目的投标：</w:t>
      </w:r>
    </w:p>
    <w:p w14:paraId="38613F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（1）凡被交通运输部或山西省交通运输厅取消投标资格或禁止进入建设市场的施工监理企业；</w:t>
      </w:r>
    </w:p>
    <w:p w14:paraId="69A24F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（2）被责令停业，暂扣或吊销执照，或吊销资质证书；</w:t>
      </w:r>
    </w:p>
    <w:p w14:paraId="3C0FA7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（3）进入清算程序，或被宣告破产，或其他丧失履约能力的情形；</w:t>
      </w:r>
    </w:p>
    <w:p w14:paraId="245807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（4）投标人在“信用中国”网站（https://www.creditchina.gov.cn/）被列入“严重失信主体名单”。</w:t>
      </w:r>
    </w:p>
    <w:p w14:paraId="49D74B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（5）投标人在“国家企业信用信息公示系统”中被列入严重违法失信名单（黑名单）。</w:t>
      </w:r>
    </w:p>
    <w:p w14:paraId="31250F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（6）投标人及其法定代表人、拟任总监理工程师在近三年内（2022年11月至今）有行贿犯罪行为。</w:t>
      </w:r>
    </w:p>
    <w:p w14:paraId="4D52730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szCs w:val="24"/>
          <w:highlight w:val="none"/>
          <w:lang w:val="en-US" w:eastAsia="zh-CN"/>
        </w:rPr>
        <w:t>投标人在“山西交通控股集团有限公司电子招投标采购交易平台”中被列入供应商黑名单。</w:t>
      </w:r>
    </w:p>
    <w:p w14:paraId="591EA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3.7与招标人存在利害关系且可能影响招标公正性的单位，不得参加投标。投标人具有下列情况之一的，不得同时参与本项目的投标，否则其投标均无效（不包括同一联合体各成员之间）：</w:t>
      </w:r>
    </w:p>
    <w:p w14:paraId="416A14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（1）单位负责人为同一人或者存在控股、管理关系的不同单位；</w:t>
      </w:r>
    </w:p>
    <w:p w14:paraId="3D133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（2）对招投标造成影响的具有投资参股关系的关联企业；</w:t>
      </w:r>
    </w:p>
    <w:p w14:paraId="7A720E7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（3）董事、监事、总经理、副总经理和财务负责人相互兼职的关联企业；</w:t>
      </w:r>
    </w:p>
    <w:p w14:paraId="58862C3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（4）法律法规规章规定的其他行为。</w:t>
      </w:r>
    </w:p>
    <w:p w14:paraId="672EED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3.8本次招标接受联合体投标；联合体投标的，应满足下列要求：</w:t>
      </w:r>
    </w:p>
    <w:p w14:paraId="1DFFD9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bookmarkStart w:id="2" w:name="OLE_LINK76"/>
      <w:r>
        <w:rPr>
          <w:rFonts w:hint="eastAsia" w:ascii="仿宋" w:hAnsi="仿宋" w:eastAsia="仿宋" w:cs="仿宋"/>
          <w:color w:val="auto"/>
          <w:kern w:val="2"/>
          <w:sz w:val="24"/>
          <w:szCs w:val="24"/>
          <w:highlight w:val="none"/>
          <w:lang w:val="en-US" w:eastAsia="zh-CN" w:bidi="ar-SA"/>
        </w:rPr>
        <w:t>①联合体所有成员单位数量不得超过3家；</w:t>
      </w:r>
      <w:bookmarkEnd w:id="2"/>
      <w:r>
        <w:rPr>
          <w:rFonts w:hint="eastAsia" w:ascii="仿宋" w:hAnsi="仿宋" w:eastAsia="仿宋" w:cs="仿宋"/>
          <w:color w:val="auto"/>
          <w:kern w:val="2"/>
          <w:sz w:val="24"/>
          <w:szCs w:val="24"/>
          <w:highlight w:val="none"/>
          <w:lang w:val="en-US" w:eastAsia="zh-CN" w:bidi="ar-SA"/>
        </w:rPr>
        <w:t>总监理工程师由联合体牵头人提供。</w:t>
      </w:r>
    </w:p>
    <w:p w14:paraId="35731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联合体成员之间分工相同的，按照资质等级较低的单位确定资质等级；分工不同的，按各自资质业务许可范围核定资格；联合体各方不得再以自己名义单独或加入其他联合体参加本次招标项目同一标段的投标，否则相关投标均无效；</w:t>
      </w:r>
    </w:p>
    <w:p w14:paraId="42E3A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③联合体中标后，联合体各方应当共同与招标人签订合同，为履行合同向招标人承担连带责任；</w:t>
      </w:r>
    </w:p>
    <w:p w14:paraId="7E659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④联合体协议书中应明确联合体所有成员方的有关责任与义务并就合同条款共同分担合同的义务。</w:t>
      </w:r>
    </w:p>
    <w:p w14:paraId="0F2CFE15">
      <w:pPr>
        <w:widowControl w:val="0"/>
        <w:kinsoku/>
        <w:autoSpaceDE/>
        <w:autoSpaceDN/>
        <w:spacing w:line="360" w:lineRule="auto"/>
        <w:ind w:firstLine="480" w:firstLineChars="200"/>
        <w:textAlignment w:val="auto"/>
        <w:rPr>
          <w:rFonts w:hint="default" w:ascii="宋体" w:hAnsi="宋体" w:eastAsia="宋体" w:cs="宋体"/>
          <w:color w:val="auto"/>
          <w:sz w:val="24"/>
          <w:highlight w:val="none"/>
          <w:lang w:val="en-US" w:eastAsia="zh-CN"/>
        </w:rPr>
      </w:pPr>
    </w:p>
    <w:bookmarkEnd w:id="0"/>
    <w:p w14:paraId="2EEA9E37"/>
    <w:p w14:paraId="6FAEEA17">
      <w:pPr>
        <w:rPr>
          <w:rFonts w:hint="eastAsia" w:ascii="仿宋" w:hAnsi="仿宋" w:eastAsia="仿宋" w:cs="仿宋"/>
          <w:b/>
          <w:color w:val="auto"/>
          <w:sz w:val="24"/>
          <w:szCs w:val="24"/>
        </w:rPr>
      </w:pPr>
      <w:r>
        <w:rPr>
          <w:rFonts w:hint="eastAsia" w:ascii="宋体" w:hAnsi="宋体" w:eastAsia="宋体" w:cs="宋体"/>
          <w:b/>
          <w:color w:val="auto"/>
          <w:sz w:val="36"/>
          <w:szCs w:val="36"/>
          <w:highlight w:val="none"/>
        </w:rPr>
        <w:br w:type="page"/>
      </w:r>
      <w:bookmarkStart w:id="3" w:name="_Toc456359991"/>
    </w:p>
    <w:p w14:paraId="51721D49">
      <w:pPr>
        <w:keepNext w:val="0"/>
        <w:keepLines w:val="0"/>
        <w:pageBreakBefore w:val="0"/>
        <w:widowControl w:val="0"/>
        <w:kinsoku/>
        <w:wordWrap/>
        <w:overflowPunct/>
        <w:topLinePunct w:val="0"/>
        <w:autoSpaceDE/>
        <w:autoSpaceDN/>
        <w:bidi w:val="0"/>
        <w:adjustRightInd/>
        <w:snapToGrid/>
        <w:spacing w:before="181" w:beforeLines="50" w:after="181" w:afterLines="50"/>
        <w:jc w:val="center"/>
        <w:textAlignment w:val="auto"/>
        <w:rPr>
          <w:rFonts w:hint="eastAsia" w:ascii="仿宋" w:hAnsi="仿宋" w:eastAsia="仿宋" w:cs="仿宋"/>
          <w:b/>
          <w:bCs/>
          <w:color w:val="auto"/>
          <w:sz w:val="32"/>
          <w:szCs w:val="28"/>
          <w:lang w:val="en-US" w:eastAsia="zh-CN"/>
        </w:rPr>
      </w:pPr>
      <w:r>
        <w:rPr>
          <w:rFonts w:hint="eastAsia" w:ascii="仿宋" w:hAnsi="仿宋" w:eastAsia="仿宋" w:cs="仿宋"/>
          <w:b/>
          <w:bCs/>
          <w:color w:val="auto"/>
          <w:sz w:val="32"/>
          <w:szCs w:val="28"/>
          <w:lang w:val="en-US" w:eastAsia="zh-CN"/>
        </w:rPr>
        <w:t>第三章  评标办法（综合评分法）</w:t>
      </w:r>
    </w:p>
    <w:p w14:paraId="0F6A97AE">
      <w:pPr>
        <w:spacing w:line="440" w:lineRule="exact"/>
        <w:rPr>
          <w:rFonts w:hint="eastAsia" w:ascii="仿宋" w:hAnsi="仿宋" w:eastAsia="仿宋" w:cs="仿宋"/>
          <w:color w:val="auto"/>
          <w:lang w:val="en-US" w:eastAsia="zh-CN"/>
        </w:rPr>
      </w:pPr>
      <w:r>
        <w:rPr>
          <w:rFonts w:hint="eastAsia" w:ascii="仿宋" w:hAnsi="仿宋" w:eastAsia="仿宋" w:cs="仿宋"/>
          <w:b/>
          <w:color w:val="auto"/>
          <w:sz w:val="24"/>
          <w:szCs w:val="24"/>
        </w:rPr>
        <w:t>评标办法前附表</w:t>
      </w:r>
    </w:p>
    <w:tbl>
      <w:tblPr>
        <w:tblStyle w:val="10"/>
        <w:tblW w:w="100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64"/>
        <w:gridCol w:w="1774"/>
        <w:gridCol w:w="7316"/>
      </w:tblGrid>
      <w:tr w14:paraId="30D11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jc w:val="center"/>
        </w:trPr>
        <w:tc>
          <w:tcPr>
            <w:tcW w:w="2738" w:type="dxa"/>
            <w:gridSpan w:val="2"/>
            <w:tcBorders>
              <w:tl2br w:val="nil"/>
              <w:tr2bl w:val="nil"/>
            </w:tcBorders>
            <w:vAlign w:val="center"/>
          </w:tcPr>
          <w:p w14:paraId="5732A262">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b/>
                <w:color w:val="auto"/>
                <w:szCs w:val="21"/>
              </w:rPr>
            </w:pPr>
            <w:r>
              <w:rPr>
                <w:rFonts w:hint="eastAsia" w:ascii="仿宋" w:hAnsi="仿宋" w:eastAsia="仿宋" w:cs="仿宋"/>
                <w:b/>
                <w:color w:val="auto"/>
                <w:szCs w:val="21"/>
              </w:rPr>
              <w:t>条款号</w:t>
            </w:r>
          </w:p>
        </w:tc>
        <w:tc>
          <w:tcPr>
            <w:tcW w:w="7316" w:type="dxa"/>
            <w:tcBorders>
              <w:tl2br w:val="nil"/>
              <w:tr2bl w:val="nil"/>
            </w:tcBorders>
            <w:vAlign w:val="center"/>
          </w:tcPr>
          <w:p w14:paraId="1453F466">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b/>
                <w:color w:val="auto"/>
                <w:szCs w:val="21"/>
              </w:rPr>
            </w:pPr>
            <w:r>
              <w:rPr>
                <w:rFonts w:hint="eastAsia" w:ascii="仿宋" w:hAnsi="仿宋" w:eastAsia="仿宋" w:cs="仿宋"/>
                <w:b/>
                <w:color w:val="auto"/>
                <w:szCs w:val="21"/>
              </w:rPr>
              <w:t>评审因素与评审标准</w:t>
            </w:r>
          </w:p>
        </w:tc>
      </w:tr>
      <w:tr w14:paraId="545D1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075CCB75">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1</w:t>
            </w:r>
          </w:p>
        </w:tc>
        <w:tc>
          <w:tcPr>
            <w:tcW w:w="1774" w:type="dxa"/>
            <w:tcBorders>
              <w:tl2br w:val="nil"/>
              <w:tr2bl w:val="nil"/>
            </w:tcBorders>
            <w:vAlign w:val="center"/>
          </w:tcPr>
          <w:p w14:paraId="38DE884E">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评标方法</w:t>
            </w:r>
          </w:p>
        </w:tc>
        <w:tc>
          <w:tcPr>
            <w:tcW w:w="7316" w:type="dxa"/>
            <w:tcBorders>
              <w:tl2br w:val="nil"/>
              <w:tr2bl w:val="nil"/>
            </w:tcBorders>
            <w:vAlign w:val="center"/>
          </w:tcPr>
          <w:p w14:paraId="7C5BE523">
            <w:pPr>
              <w:keepNext w:val="0"/>
              <w:keepLines w:val="0"/>
              <w:pageBreakBefore w:val="0"/>
              <w:widowControl w:val="0"/>
              <w:kinsoku/>
              <w:wordWrap/>
              <w:overflowPunct/>
              <w:topLinePunct w:val="0"/>
              <w:bidi w:val="0"/>
              <w:snapToGrid/>
              <w:spacing w:line="400" w:lineRule="exact"/>
              <w:ind w:left="0" w:leftChars="0" w:right="105" w:rightChars="50" w:firstLine="42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综合评分相等时，评标委员会依次按照以下优先顺序推荐中标候选人：</w:t>
            </w:r>
          </w:p>
          <w:p w14:paraId="6538D784">
            <w:pPr>
              <w:keepNext w:val="0"/>
              <w:keepLines w:val="0"/>
              <w:pageBreakBefore w:val="0"/>
              <w:widowControl w:val="0"/>
              <w:kinsoku/>
              <w:wordWrap/>
              <w:overflowPunct/>
              <w:topLinePunct w:val="0"/>
              <w:bidi w:val="0"/>
              <w:snapToGrid/>
              <w:spacing w:line="400" w:lineRule="exact"/>
              <w:ind w:left="0" w:leftChars="0" w:right="105" w:rightChars="50" w:firstLine="210" w:firstLineChars="100"/>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w:t>
            </w:r>
            <w:r>
              <w:rPr>
                <w:rFonts w:hint="eastAsia" w:ascii="仿宋" w:hAnsi="仿宋" w:eastAsia="仿宋" w:cs="仿宋"/>
                <w:color w:val="auto"/>
                <w:szCs w:val="21"/>
              </w:rPr>
              <w:t>评标价低的投标人优先；</w:t>
            </w:r>
          </w:p>
          <w:p w14:paraId="5DEB8126">
            <w:pPr>
              <w:keepNext w:val="0"/>
              <w:keepLines w:val="0"/>
              <w:pageBreakBefore w:val="0"/>
              <w:widowControl w:val="0"/>
              <w:kinsoku/>
              <w:wordWrap/>
              <w:overflowPunct/>
              <w:topLinePunct w:val="0"/>
              <w:bidi w:val="0"/>
              <w:snapToGrid/>
              <w:spacing w:line="400" w:lineRule="exact"/>
              <w:ind w:left="0" w:leftChars="0" w:right="105" w:rightChars="50" w:firstLine="210" w:firstLineChars="100"/>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w:t>
            </w:r>
            <w:r>
              <w:rPr>
                <w:rFonts w:hint="eastAsia" w:ascii="仿宋" w:hAnsi="仿宋" w:eastAsia="仿宋" w:cs="仿宋"/>
                <w:color w:val="auto"/>
                <w:kern w:val="0"/>
                <w:szCs w:val="21"/>
              </w:rPr>
              <w:t>商务</w:t>
            </w:r>
            <w:r>
              <w:rPr>
                <w:rFonts w:hint="eastAsia" w:ascii="仿宋" w:hAnsi="仿宋" w:eastAsia="仿宋" w:cs="仿宋"/>
                <w:color w:val="auto"/>
                <w:kern w:val="0"/>
                <w:szCs w:val="21"/>
                <w:lang w:val="en-US" w:eastAsia="zh-CN"/>
              </w:rPr>
              <w:t>和技术</w:t>
            </w:r>
            <w:r>
              <w:rPr>
                <w:rFonts w:hint="eastAsia" w:ascii="仿宋" w:hAnsi="仿宋" w:eastAsia="仿宋" w:cs="仿宋"/>
                <w:color w:val="auto"/>
                <w:kern w:val="0"/>
                <w:szCs w:val="21"/>
              </w:rPr>
              <w:t>得分较高的投标人优先</w:t>
            </w:r>
            <w:r>
              <w:rPr>
                <w:rFonts w:hint="eastAsia" w:ascii="仿宋" w:hAnsi="仿宋" w:eastAsia="仿宋" w:cs="仿宋"/>
                <w:color w:val="auto"/>
                <w:szCs w:val="21"/>
              </w:rPr>
              <w:t>；</w:t>
            </w:r>
          </w:p>
          <w:p w14:paraId="4AC73C30">
            <w:pPr>
              <w:keepNext w:val="0"/>
              <w:keepLines w:val="0"/>
              <w:pageBreakBefore w:val="0"/>
              <w:widowControl w:val="0"/>
              <w:kinsoku/>
              <w:wordWrap/>
              <w:overflowPunct/>
              <w:topLinePunct w:val="0"/>
              <w:bidi w:val="0"/>
              <w:snapToGrid/>
              <w:spacing w:line="400" w:lineRule="exact"/>
              <w:ind w:left="0" w:leftChars="0" w:right="105" w:rightChars="50" w:firstLine="210" w:firstLineChars="100"/>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被</w:t>
            </w:r>
            <w:r>
              <w:rPr>
                <w:rFonts w:hint="eastAsia" w:ascii="仿宋" w:hAnsi="仿宋" w:eastAsia="仿宋" w:cs="仿宋"/>
                <w:color w:val="auto"/>
                <w:szCs w:val="21"/>
                <w:u w:val="none"/>
                <w:lang w:val="en-US" w:eastAsia="zh-CN"/>
              </w:rPr>
              <w:t>山西省交通运输主管部门评为较高</w:t>
            </w:r>
            <w:r>
              <w:rPr>
                <w:rFonts w:hint="eastAsia" w:ascii="仿宋" w:hAnsi="仿宋" w:eastAsia="仿宋" w:cs="仿宋"/>
                <w:color w:val="auto"/>
                <w:szCs w:val="21"/>
              </w:rPr>
              <w:t>信用等级</w:t>
            </w:r>
            <w:r>
              <w:rPr>
                <w:rFonts w:hint="eastAsia" w:ascii="仿宋" w:hAnsi="仿宋" w:eastAsia="仿宋" w:cs="仿宋"/>
                <w:color w:val="auto"/>
                <w:szCs w:val="21"/>
                <w:lang w:val="en-US" w:eastAsia="zh-CN"/>
              </w:rPr>
              <w:t>的投标人</w:t>
            </w:r>
            <w:r>
              <w:rPr>
                <w:rFonts w:hint="eastAsia" w:ascii="仿宋" w:hAnsi="仿宋" w:eastAsia="仿宋" w:cs="仿宋"/>
                <w:color w:val="auto"/>
                <w:szCs w:val="21"/>
              </w:rPr>
              <w:t>优先；</w:t>
            </w:r>
          </w:p>
          <w:p w14:paraId="552B1F8F">
            <w:pPr>
              <w:keepNext w:val="0"/>
              <w:keepLines w:val="0"/>
              <w:pageBreakBefore w:val="0"/>
              <w:widowControl w:val="0"/>
              <w:kinsoku/>
              <w:wordWrap/>
              <w:overflowPunct/>
              <w:topLinePunct w:val="0"/>
              <w:bidi w:val="0"/>
              <w:snapToGrid/>
              <w:spacing w:line="400" w:lineRule="exact"/>
              <w:ind w:left="0" w:leftChars="0" w:right="105" w:rightChars="50" w:firstLine="210" w:firstLineChars="100"/>
              <w:textAlignment w:val="auto"/>
              <w:rPr>
                <w:rFonts w:hint="eastAsia" w:ascii="仿宋" w:hAnsi="仿宋" w:eastAsia="仿宋" w:cs="仿宋"/>
                <w:color w:val="auto"/>
                <w:szCs w:val="21"/>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w:t>
            </w:r>
            <w:r>
              <w:rPr>
                <w:rFonts w:hint="eastAsia" w:ascii="仿宋" w:hAnsi="仿宋" w:eastAsia="仿宋" w:cs="仿宋"/>
                <w:color w:val="auto"/>
                <w:szCs w:val="21"/>
              </w:rPr>
              <w:t>按规定上传电子投标文件较早的投标人优先。</w:t>
            </w:r>
          </w:p>
        </w:tc>
      </w:tr>
      <w:tr w14:paraId="7BAF8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7474D676">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2.1.1</w:t>
            </w:r>
          </w:p>
          <w:p w14:paraId="55A91E31">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2.1.3</w:t>
            </w:r>
          </w:p>
        </w:tc>
        <w:tc>
          <w:tcPr>
            <w:tcW w:w="1774" w:type="dxa"/>
            <w:tcBorders>
              <w:tl2br w:val="nil"/>
              <w:tr2bl w:val="nil"/>
            </w:tcBorders>
            <w:vAlign w:val="center"/>
          </w:tcPr>
          <w:p w14:paraId="56BC218D">
            <w:pPr>
              <w:keepNext w:val="0"/>
              <w:keepLines w:val="0"/>
              <w:pageBreakBefore w:val="0"/>
              <w:widowControl w:val="0"/>
              <w:kinsoku/>
              <w:wordWrap/>
              <w:overflowPunct/>
              <w:topLinePunct w:val="0"/>
              <w:bidi w:val="0"/>
              <w:snapToGrid w:val="0"/>
              <w:spacing w:line="400" w:lineRule="exact"/>
              <w:ind w:left="0" w:leftChars="0" w:right="0" w:rightChars="0"/>
              <w:contextualSpacing/>
              <w:jc w:val="center"/>
              <w:textAlignment w:val="auto"/>
              <w:rPr>
                <w:rFonts w:hint="eastAsia" w:ascii="仿宋" w:hAnsi="仿宋" w:eastAsia="仿宋" w:cs="仿宋"/>
                <w:color w:val="auto"/>
                <w:szCs w:val="21"/>
              </w:rPr>
            </w:pPr>
            <w:r>
              <w:rPr>
                <w:rFonts w:hint="eastAsia" w:ascii="仿宋" w:hAnsi="仿宋" w:eastAsia="仿宋" w:cs="仿宋"/>
                <w:color w:val="auto"/>
                <w:szCs w:val="21"/>
              </w:rPr>
              <w:t>形式评审与响应性评审标准</w:t>
            </w:r>
          </w:p>
        </w:tc>
        <w:tc>
          <w:tcPr>
            <w:tcW w:w="7316" w:type="dxa"/>
            <w:tcBorders>
              <w:tl2br w:val="nil"/>
              <w:tr2bl w:val="nil"/>
            </w:tcBorders>
            <w:vAlign w:val="center"/>
          </w:tcPr>
          <w:p w14:paraId="73CF5DF8">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b/>
                <w:bCs/>
                <w:color w:val="auto"/>
              </w:rPr>
            </w:pPr>
            <w:r>
              <w:rPr>
                <w:rFonts w:hint="eastAsia" w:ascii="仿宋" w:hAnsi="仿宋" w:eastAsia="仿宋" w:cs="仿宋"/>
                <w:b/>
                <w:bCs/>
                <w:color w:val="auto"/>
              </w:rPr>
              <w:t>第一个信封（商务及技术文件）评审标准：</w:t>
            </w:r>
          </w:p>
          <w:p w14:paraId="6C85FC97">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rPr>
              <w:t>投标文件按照招标文件规定的格式、内容填写，字迹清晰可辨：</w:t>
            </w:r>
          </w:p>
          <w:p w14:paraId="3FCAB35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rPr>
              <w:t>a.投标函按招标文件规定填报了项目名称、标段号、补遗书编号（如有）、总监理工程师、监理服务</w:t>
            </w:r>
            <w:r>
              <w:rPr>
                <w:rFonts w:hint="eastAsia" w:ascii="仿宋" w:hAnsi="仿宋" w:eastAsia="仿宋" w:cs="仿宋"/>
                <w:color w:val="auto"/>
                <w:lang w:val="en-US" w:eastAsia="zh-CN"/>
              </w:rPr>
              <w:t>期限</w:t>
            </w:r>
            <w:r>
              <w:rPr>
                <w:rFonts w:hint="eastAsia" w:ascii="仿宋" w:hAnsi="仿宋" w:eastAsia="仿宋" w:cs="仿宋"/>
                <w:color w:val="auto"/>
              </w:rPr>
              <w:t>、质量</w:t>
            </w:r>
            <w:r>
              <w:rPr>
                <w:rFonts w:hint="eastAsia" w:ascii="仿宋" w:hAnsi="仿宋" w:eastAsia="仿宋" w:cs="仿宋"/>
                <w:color w:val="auto"/>
                <w:lang w:val="en-US" w:eastAsia="zh-CN"/>
              </w:rPr>
              <w:t>要求</w:t>
            </w:r>
            <w:r>
              <w:rPr>
                <w:rFonts w:hint="eastAsia" w:ascii="仿宋" w:hAnsi="仿宋" w:eastAsia="仿宋" w:cs="仿宋"/>
                <w:color w:val="auto"/>
              </w:rPr>
              <w:t>、安全目标；</w:t>
            </w:r>
          </w:p>
          <w:p w14:paraId="46823D2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rPr>
              <w:t>b．投标文件组成齐全完整，内容均按规定填写</w:t>
            </w:r>
            <w:r>
              <w:rPr>
                <w:rFonts w:hint="eastAsia" w:ascii="仿宋" w:hAnsi="仿宋" w:eastAsia="仿宋" w:cs="仿宋"/>
                <w:color w:val="auto"/>
                <w:lang w:eastAsia="zh-CN"/>
              </w:rPr>
              <w:t>。</w:t>
            </w:r>
          </w:p>
          <w:p w14:paraId="2656D9E6">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rPr>
              <w:t>投标文件上法定代表人的电子签名章、投标人的单位电子公章盖章齐全，符合招标文件规定</w:t>
            </w:r>
            <w:r>
              <w:rPr>
                <w:rFonts w:hint="eastAsia" w:ascii="仿宋" w:hAnsi="仿宋" w:eastAsia="仿宋" w:cs="仿宋"/>
                <w:color w:val="auto"/>
                <w:lang w:eastAsia="zh-CN"/>
              </w:rPr>
              <w:t>。</w:t>
            </w:r>
          </w:p>
          <w:p w14:paraId="4C28E201">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w:t>
            </w:r>
            <w:r>
              <w:rPr>
                <w:rFonts w:hint="eastAsia" w:ascii="仿宋" w:hAnsi="仿宋" w:eastAsia="仿宋" w:cs="仿宋"/>
                <w:color w:val="auto"/>
              </w:rPr>
              <w:t>提供了法定代表人身份证明，且法定代表人身份证明符合招标文件规定</w:t>
            </w:r>
            <w:r>
              <w:rPr>
                <w:rFonts w:hint="eastAsia" w:ascii="仿宋" w:hAnsi="仿宋" w:eastAsia="仿宋" w:cs="仿宋"/>
                <w:color w:val="auto"/>
                <w:lang w:eastAsia="zh-CN"/>
              </w:rPr>
              <w:t>。</w:t>
            </w:r>
          </w:p>
          <w:p w14:paraId="19C59788">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4</w:t>
            </w:r>
            <w:r>
              <w:rPr>
                <w:rFonts w:hint="eastAsia" w:ascii="仿宋" w:hAnsi="仿宋" w:eastAsia="仿宋" w:cs="仿宋"/>
                <w:color w:val="auto"/>
                <w:lang w:eastAsia="zh-CN"/>
              </w:rPr>
              <w:t>）投标人按照招标文件的规定提供了投标保证金：</w:t>
            </w:r>
          </w:p>
          <w:p w14:paraId="03CC38C7">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lang w:eastAsia="zh-CN"/>
              </w:rPr>
              <w:t>a.投标保证金金额符合招标文件规定的金额，且投标保证金有效期不少于投标有效期；</w:t>
            </w:r>
          </w:p>
          <w:p w14:paraId="72F18836">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lang w:eastAsia="zh-CN"/>
              </w:rPr>
              <w:t>b.若投标保证金采用现金或支票形式提交，投标人应在递交投标文件截止时间之前，将投标保证金由投标人的基本账户转入招标人指定账户；</w:t>
            </w:r>
          </w:p>
          <w:p w14:paraId="70FB6751">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lang w:eastAsia="zh-CN"/>
              </w:rPr>
              <w:t>c.若投标保证金采用投标保函形式提交，保函的</w:t>
            </w:r>
            <w:r>
              <w:rPr>
                <w:rFonts w:hint="eastAsia" w:ascii="仿宋" w:hAnsi="仿宋" w:eastAsia="仿宋" w:cs="仿宋"/>
                <w:color w:val="auto"/>
                <w:lang w:val="en-US" w:eastAsia="zh-CN"/>
              </w:rPr>
              <w:t>内容</w:t>
            </w:r>
            <w:r>
              <w:rPr>
                <w:rFonts w:hint="eastAsia" w:ascii="仿宋" w:hAnsi="仿宋" w:eastAsia="仿宋" w:cs="仿宋"/>
                <w:color w:val="auto"/>
                <w:lang w:eastAsia="zh-CN"/>
              </w:rPr>
              <w:t>、开具保函的机构均满足招标文件要求。</w:t>
            </w:r>
          </w:p>
          <w:p w14:paraId="3AAA203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w:t>
            </w:r>
            <w:r>
              <w:rPr>
                <w:rFonts w:hint="eastAsia" w:ascii="仿宋" w:hAnsi="仿宋" w:eastAsia="仿宋" w:cs="仿宋"/>
                <w:color w:val="auto"/>
              </w:rPr>
              <w:t>同一投标人未提交两个以上不同的投标文件，但招标文件要求提交备选投标的除外。</w:t>
            </w:r>
          </w:p>
          <w:p w14:paraId="13E3EF68">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w:t>
            </w:r>
            <w:r>
              <w:rPr>
                <w:rFonts w:hint="eastAsia" w:ascii="仿宋" w:hAnsi="仿宋" w:eastAsia="仿宋" w:cs="仿宋"/>
                <w:color w:val="auto"/>
              </w:rPr>
              <w:t>投标文件中未出现有关投标报价的内容。</w:t>
            </w:r>
          </w:p>
          <w:p w14:paraId="3945068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val="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rPr>
              <w:t>投标文件载明的招标项目完成期限符合招标文件规定</w:t>
            </w:r>
            <w:r>
              <w:rPr>
                <w:rFonts w:hint="eastAsia" w:ascii="仿宋" w:hAnsi="仿宋" w:eastAsia="仿宋" w:cs="仿宋"/>
                <w:color w:val="auto"/>
                <w:lang w:val="zh-CN"/>
              </w:rPr>
              <w:t>。</w:t>
            </w:r>
          </w:p>
          <w:p w14:paraId="6CF9977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val="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8</w:t>
            </w:r>
            <w:r>
              <w:rPr>
                <w:rFonts w:hint="eastAsia" w:ascii="仿宋" w:hAnsi="仿宋" w:eastAsia="仿宋" w:cs="仿宋"/>
                <w:color w:val="auto"/>
                <w:lang w:eastAsia="zh-CN"/>
              </w:rPr>
              <w:t>）</w:t>
            </w:r>
            <w:r>
              <w:rPr>
                <w:rFonts w:hint="eastAsia" w:ascii="仿宋" w:hAnsi="仿宋" w:eastAsia="仿宋" w:cs="仿宋"/>
                <w:color w:val="auto"/>
                <w:lang w:val="zh-CN"/>
              </w:rPr>
              <w:t>投标文件对招标文件的实质性要求和条件作出响应。</w:t>
            </w:r>
          </w:p>
          <w:p w14:paraId="5587F5C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val="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9</w:t>
            </w:r>
            <w:r>
              <w:rPr>
                <w:rFonts w:hint="eastAsia" w:ascii="仿宋" w:hAnsi="仿宋" w:eastAsia="仿宋" w:cs="仿宋"/>
                <w:color w:val="auto"/>
                <w:lang w:eastAsia="zh-CN"/>
              </w:rPr>
              <w:t>）</w:t>
            </w:r>
            <w:r>
              <w:rPr>
                <w:rFonts w:hint="eastAsia" w:ascii="仿宋" w:hAnsi="仿宋" w:eastAsia="仿宋" w:cs="仿宋"/>
                <w:color w:val="auto"/>
              </w:rPr>
              <w:t>权利义务符合招标文件规定：</w:t>
            </w:r>
          </w:p>
          <w:p w14:paraId="2FAF683D">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rPr>
              <w:t xml:space="preserve">a.投标人应接受招标文件规定的风险划分原则，未提出新的风险划分办法； </w:t>
            </w:r>
          </w:p>
          <w:p w14:paraId="641C13B9">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rPr>
              <w:t xml:space="preserve">b.投标人未增加委托人的责任范围，或减少投标人义务； </w:t>
            </w:r>
          </w:p>
          <w:p w14:paraId="5C0478E5">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rPr>
              <w:t xml:space="preserve">c.投标人未提出不同的支付办法； </w:t>
            </w:r>
          </w:p>
          <w:p w14:paraId="50158E7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rPr>
              <w:t xml:space="preserve">d.投标人对合同纠纷、事故处理办法未提出异议； </w:t>
            </w:r>
          </w:p>
          <w:p w14:paraId="1AB6D872">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rPr>
              <w:t xml:space="preserve">e.投标人在投标活动中无欺诈行为； </w:t>
            </w:r>
          </w:p>
          <w:p w14:paraId="60602858">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rPr>
              <w:t xml:space="preserve">f.投标人未对合同条款有重要保留。 </w:t>
            </w:r>
          </w:p>
          <w:p w14:paraId="5EFB4832">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10</w:t>
            </w:r>
            <w:r>
              <w:rPr>
                <w:rFonts w:hint="eastAsia" w:ascii="仿宋" w:hAnsi="仿宋" w:eastAsia="仿宋" w:cs="仿宋"/>
                <w:color w:val="auto"/>
                <w:lang w:eastAsia="zh-CN"/>
              </w:rPr>
              <w:t>）</w:t>
            </w:r>
            <w:r>
              <w:rPr>
                <w:rFonts w:hint="eastAsia" w:ascii="仿宋" w:hAnsi="仿宋" w:eastAsia="仿宋" w:cs="仿宋"/>
                <w:color w:val="auto"/>
                <w:lang w:val="en-US" w:eastAsia="zh-CN"/>
              </w:rPr>
              <w:t>未存在投标人须知前附表10.6所列情形</w:t>
            </w:r>
            <w:r>
              <w:rPr>
                <w:rFonts w:hint="eastAsia" w:ascii="仿宋" w:hAnsi="仿宋" w:eastAsia="仿宋" w:cs="仿宋"/>
                <w:color w:val="auto"/>
                <w:lang w:eastAsia="zh-CN"/>
              </w:rPr>
              <w:t>。</w:t>
            </w:r>
          </w:p>
          <w:p w14:paraId="6989108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11</w:t>
            </w:r>
            <w:r>
              <w:rPr>
                <w:rFonts w:hint="eastAsia" w:ascii="仿宋" w:hAnsi="仿宋" w:eastAsia="仿宋" w:cs="仿宋"/>
                <w:color w:val="auto"/>
                <w:lang w:eastAsia="zh-CN"/>
              </w:rPr>
              <w:t>）</w:t>
            </w:r>
            <w:r>
              <w:rPr>
                <w:rFonts w:hint="eastAsia" w:ascii="仿宋" w:hAnsi="仿宋" w:eastAsia="仿宋" w:cs="仿宋"/>
                <w:color w:val="auto"/>
              </w:rPr>
              <w:t>电子投标文件符合招标文件电子招标规定。</w:t>
            </w:r>
          </w:p>
          <w:p w14:paraId="1557F1AA">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12</w:t>
            </w:r>
            <w:r>
              <w:rPr>
                <w:rFonts w:hint="eastAsia" w:ascii="仿宋" w:hAnsi="仿宋" w:eastAsia="仿宋" w:cs="仿宋"/>
                <w:color w:val="auto"/>
                <w:lang w:eastAsia="zh-CN"/>
              </w:rPr>
              <w:t>）</w:t>
            </w:r>
            <w:r>
              <w:rPr>
                <w:rFonts w:hint="eastAsia" w:ascii="仿宋" w:hAnsi="仿宋" w:eastAsia="仿宋" w:cs="仿宋"/>
                <w:color w:val="auto"/>
              </w:rPr>
              <w:t>投标文件没有附有招标人不能接受的其它条件。</w:t>
            </w:r>
          </w:p>
        </w:tc>
      </w:tr>
      <w:tr w14:paraId="63361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18D7A5A9">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2.1.2</w:t>
            </w:r>
          </w:p>
        </w:tc>
        <w:tc>
          <w:tcPr>
            <w:tcW w:w="1774" w:type="dxa"/>
            <w:tcBorders>
              <w:tl2br w:val="nil"/>
              <w:tr2bl w:val="nil"/>
            </w:tcBorders>
            <w:vAlign w:val="center"/>
          </w:tcPr>
          <w:p w14:paraId="7A6EA2E8">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资格评审标准</w:t>
            </w:r>
          </w:p>
          <w:p w14:paraId="0B9AB72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p>
        </w:tc>
        <w:tc>
          <w:tcPr>
            <w:tcW w:w="7316" w:type="dxa"/>
            <w:tcBorders>
              <w:tl2br w:val="nil"/>
              <w:tr2bl w:val="nil"/>
            </w:tcBorders>
            <w:vAlign w:val="center"/>
          </w:tcPr>
          <w:p w14:paraId="08E8EA76">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rPr>
              <w:t>投标人具备有效的营业执照、资质证书、基本账户开户许可证或基本存款账户信息</w:t>
            </w:r>
            <w:r>
              <w:rPr>
                <w:rFonts w:hint="eastAsia" w:ascii="仿宋" w:hAnsi="仿宋" w:eastAsia="仿宋" w:cs="仿宋"/>
                <w:color w:val="auto"/>
                <w:lang w:val="en-US" w:eastAsia="zh-CN"/>
              </w:rPr>
              <w:t>。</w:t>
            </w:r>
          </w:p>
          <w:p w14:paraId="3D69F5E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rPr>
              <w:t>（2）投标人的资质等级符合</w:t>
            </w:r>
            <w:r>
              <w:rPr>
                <w:rFonts w:hint="eastAsia" w:ascii="仿宋" w:hAnsi="仿宋" w:eastAsia="仿宋" w:cs="仿宋"/>
                <w:color w:val="auto"/>
                <w:lang w:val="en-US" w:eastAsia="zh-CN"/>
              </w:rPr>
              <w:t>招标文件</w:t>
            </w:r>
            <w:r>
              <w:rPr>
                <w:rFonts w:hint="eastAsia" w:ascii="仿宋" w:hAnsi="仿宋" w:eastAsia="仿宋" w:cs="仿宋"/>
                <w:color w:val="auto"/>
              </w:rPr>
              <w:t>第二章“投标人须知”附录1规定</w:t>
            </w:r>
            <w:r>
              <w:rPr>
                <w:rFonts w:hint="eastAsia" w:ascii="仿宋" w:hAnsi="仿宋" w:eastAsia="仿宋" w:cs="仿宋"/>
                <w:color w:val="auto"/>
                <w:lang w:val="en-US" w:eastAsia="zh-CN"/>
              </w:rPr>
              <w:t>。</w:t>
            </w:r>
          </w:p>
          <w:p w14:paraId="44A0C92B">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）投标人的</w:t>
            </w:r>
            <w:r>
              <w:rPr>
                <w:rFonts w:hint="eastAsia" w:ascii="仿宋" w:hAnsi="仿宋" w:eastAsia="仿宋" w:cs="仿宋"/>
                <w:color w:val="auto"/>
                <w:lang w:val="en-US" w:eastAsia="zh-CN"/>
              </w:rPr>
              <w:t>财务</w:t>
            </w:r>
            <w:r>
              <w:rPr>
                <w:rFonts w:hint="eastAsia" w:ascii="仿宋" w:hAnsi="仿宋" w:eastAsia="仿宋" w:cs="仿宋"/>
                <w:color w:val="auto"/>
              </w:rPr>
              <w:t>符合</w:t>
            </w:r>
            <w:r>
              <w:rPr>
                <w:rFonts w:hint="eastAsia" w:ascii="仿宋" w:hAnsi="仿宋" w:eastAsia="仿宋" w:cs="仿宋"/>
                <w:color w:val="auto"/>
                <w:lang w:val="en-US" w:eastAsia="zh-CN"/>
              </w:rPr>
              <w:t>招标文件</w:t>
            </w:r>
            <w:r>
              <w:rPr>
                <w:rFonts w:hint="eastAsia" w:ascii="仿宋" w:hAnsi="仿宋" w:eastAsia="仿宋" w:cs="仿宋"/>
                <w:color w:val="auto"/>
              </w:rPr>
              <w:t>第二章“投标人须知”附录</w:t>
            </w:r>
            <w:r>
              <w:rPr>
                <w:rFonts w:hint="eastAsia" w:ascii="仿宋" w:hAnsi="仿宋" w:eastAsia="仿宋" w:cs="仿宋"/>
                <w:color w:val="auto"/>
                <w:lang w:val="en-US" w:eastAsia="zh-CN"/>
              </w:rPr>
              <w:t>2</w:t>
            </w:r>
            <w:r>
              <w:rPr>
                <w:rFonts w:hint="eastAsia" w:ascii="仿宋" w:hAnsi="仿宋" w:eastAsia="仿宋" w:cs="仿宋"/>
                <w:color w:val="auto"/>
              </w:rPr>
              <w:t>规定</w:t>
            </w:r>
            <w:r>
              <w:rPr>
                <w:rFonts w:hint="eastAsia" w:ascii="仿宋" w:hAnsi="仿宋" w:eastAsia="仿宋" w:cs="仿宋"/>
                <w:color w:val="auto"/>
                <w:lang w:eastAsia="zh-CN"/>
              </w:rPr>
              <w:t>。</w:t>
            </w:r>
          </w:p>
          <w:p w14:paraId="7F30DB73">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rPr>
              <w:t>（</w:t>
            </w:r>
            <w:r>
              <w:rPr>
                <w:rFonts w:hint="eastAsia" w:ascii="仿宋" w:hAnsi="仿宋" w:eastAsia="仿宋" w:cs="仿宋"/>
                <w:color w:val="auto"/>
                <w:lang w:val="en-US" w:eastAsia="zh-CN"/>
              </w:rPr>
              <w:t>4</w:t>
            </w:r>
            <w:r>
              <w:rPr>
                <w:rFonts w:hint="eastAsia" w:ascii="仿宋" w:hAnsi="仿宋" w:eastAsia="仿宋" w:cs="仿宋"/>
                <w:color w:val="auto"/>
              </w:rPr>
              <w:t>）投标人的类似项目业绩符合</w:t>
            </w:r>
            <w:r>
              <w:rPr>
                <w:rFonts w:hint="eastAsia" w:ascii="仿宋" w:hAnsi="仿宋" w:eastAsia="仿宋" w:cs="仿宋"/>
                <w:color w:val="auto"/>
                <w:lang w:val="en-US" w:eastAsia="zh-CN"/>
              </w:rPr>
              <w:t>招标文件</w:t>
            </w:r>
            <w:r>
              <w:rPr>
                <w:rFonts w:hint="eastAsia" w:ascii="仿宋" w:hAnsi="仿宋" w:eastAsia="仿宋" w:cs="仿宋"/>
                <w:color w:val="auto"/>
              </w:rPr>
              <w:t>第二章“投标人须知”附录</w:t>
            </w:r>
            <w:r>
              <w:rPr>
                <w:rFonts w:hint="eastAsia" w:ascii="仿宋" w:hAnsi="仿宋" w:eastAsia="仿宋" w:cs="仿宋"/>
                <w:color w:val="auto"/>
                <w:lang w:val="en-US" w:eastAsia="zh-CN"/>
              </w:rPr>
              <w:t>3</w:t>
            </w:r>
            <w:r>
              <w:rPr>
                <w:rFonts w:hint="eastAsia" w:ascii="仿宋" w:hAnsi="仿宋" w:eastAsia="仿宋" w:cs="仿宋"/>
                <w:color w:val="auto"/>
              </w:rPr>
              <w:t>规定</w:t>
            </w:r>
            <w:r>
              <w:rPr>
                <w:rFonts w:hint="eastAsia" w:ascii="仿宋" w:hAnsi="仿宋" w:eastAsia="仿宋" w:cs="仿宋"/>
                <w:color w:val="auto"/>
                <w:lang w:eastAsia="zh-CN"/>
              </w:rPr>
              <w:t>。</w:t>
            </w:r>
          </w:p>
          <w:p w14:paraId="3AE1B08E">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rPr>
              <w:t>（</w:t>
            </w:r>
            <w:r>
              <w:rPr>
                <w:rFonts w:hint="eastAsia" w:ascii="仿宋" w:hAnsi="仿宋" w:eastAsia="仿宋" w:cs="仿宋"/>
                <w:color w:val="auto"/>
                <w:lang w:val="en-US" w:eastAsia="zh-CN"/>
              </w:rPr>
              <w:t>5</w:t>
            </w:r>
            <w:r>
              <w:rPr>
                <w:rFonts w:hint="eastAsia" w:ascii="仿宋" w:hAnsi="仿宋" w:eastAsia="仿宋" w:cs="仿宋"/>
                <w:color w:val="auto"/>
              </w:rPr>
              <w:t>）投标人的信誉符合</w:t>
            </w:r>
            <w:r>
              <w:rPr>
                <w:rFonts w:hint="eastAsia" w:ascii="仿宋" w:hAnsi="仿宋" w:eastAsia="仿宋" w:cs="仿宋"/>
                <w:color w:val="auto"/>
                <w:lang w:val="en-US" w:eastAsia="zh-CN"/>
              </w:rPr>
              <w:t>招标文件</w:t>
            </w:r>
            <w:r>
              <w:rPr>
                <w:rFonts w:hint="eastAsia" w:ascii="仿宋" w:hAnsi="仿宋" w:eastAsia="仿宋" w:cs="仿宋"/>
                <w:color w:val="auto"/>
              </w:rPr>
              <w:t>第二章“投标人须知”附录</w:t>
            </w:r>
            <w:r>
              <w:rPr>
                <w:rFonts w:hint="eastAsia" w:ascii="仿宋" w:hAnsi="仿宋" w:eastAsia="仿宋" w:cs="仿宋"/>
                <w:color w:val="auto"/>
                <w:lang w:val="en-US" w:eastAsia="zh-CN"/>
              </w:rPr>
              <w:t>4</w:t>
            </w:r>
            <w:r>
              <w:rPr>
                <w:rFonts w:hint="eastAsia" w:ascii="仿宋" w:hAnsi="仿宋" w:eastAsia="仿宋" w:cs="仿宋"/>
                <w:color w:val="auto"/>
              </w:rPr>
              <w:t>规定</w:t>
            </w:r>
            <w:r>
              <w:rPr>
                <w:rFonts w:hint="eastAsia" w:ascii="仿宋" w:hAnsi="仿宋" w:eastAsia="仿宋" w:cs="仿宋"/>
                <w:color w:val="auto"/>
                <w:lang w:eastAsia="zh-CN"/>
              </w:rPr>
              <w:t>。</w:t>
            </w:r>
          </w:p>
          <w:p w14:paraId="792FB0FF">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）投标人的总监理工程师资格符合</w:t>
            </w:r>
            <w:r>
              <w:rPr>
                <w:rFonts w:hint="eastAsia" w:ascii="仿宋" w:hAnsi="仿宋" w:eastAsia="仿宋" w:cs="仿宋"/>
                <w:color w:val="auto"/>
                <w:lang w:val="en-US" w:eastAsia="zh-CN"/>
              </w:rPr>
              <w:t>招标文件</w:t>
            </w:r>
            <w:r>
              <w:rPr>
                <w:rFonts w:hint="eastAsia" w:ascii="仿宋" w:hAnsi="仿宋" w:eastAsia="仿宋" w:cs="仿宋"/>
                <w:color w:val="auto"/>
              </w:rPr>
              <w:t>第二章“投标人须知”附录</w:t>
            </w:r>
            <w:r>
              <w:rPr>
                <w:rFonts w:hint="eastAsia" w:ascii="仿宋" w:hAnsi="仿宋" w:eastAsia="仿宋" w:cs="仿宋"/>
                <w:color w:val="auto"/>
                <w:lang w:val="en-US" w:eastAsia="zh-CN"/>
              </w:rPr>
              <w:t>5</w:t>
            </w:r>
            <w:r>
              <w:rPr>
                <w:rFonts w:hint="eastAsia" w:ascii="仿宋" w:hAnsi="仿宋" w:eastAsia="仿宋" w:cs="仿宋"/>
                <w:color w:val="auto"/>
              </w:rPr>
              <w:t>规定</w:t>
            </w:r>
            <w:r>
              <w:rPr>
                <w:rFonts w:hint="eastAsia" w:ascii="仿宋" w:hAnsi="仿宋" w:eastAsia="仿宋" w:cs="仿宋"/>
                <w:color w:val="auto"/>
                <w:lang w:eastAsia="zh-CN"/>
              </w:rPr>
              <w:t>。</w:t>
            </w:r>
          </w:p>
          <w:p w14:paraId="79675EDC">
            <w:pPr>
              <w:keepNext w:val="0"/>
              <w:keepLines w:val="0"/>
              <w:pageBreakBefore w:val="0"/>
              <w:widowControl w:val="0"/>
              <w:kinsoku/>
              <w:wordWrap/>
              <w:overflowPunct/>
              <w:topLinePunct w:val="0"/>
              <w:autoSpaceDE w:val="0"/>
              <w:autoSpaceDN w:val="0"/>
              <w:bidi w:val="0"/>
              <w:adjustRightInd w:val="0"/>
              <w:snapToGrid/>
              <w:spacing w:line="400" w:lineRule="exact"/>
              <w:ind w:left="105" w:leftChars="50" w:right="105" w:rightChars="50" w:firstLine="0" w:firstLineChars="0"/>
              <w:textAlignment w:val="auto"/>
              <w:rPr>
                <w:rFonts w:hint="eastAsia" w:ascii="仿宋" w:hAnsi="仿宋" w:eastAsia="仿宋" w:cs="仿宋"/>
                <w:color w:val="auto"/>
                <w:lang w:eastAsia="zh-CN"/>
              </w:rPr>
            </w:pPr>
            <w:r>
              <w:rPr>
                <w:rFonts w:hint="eastAsia" w:ascii="仿宋" w:hAnsi="仿宋" w:eastAsia="仿宋" w:cs="仿宋"/>
                <w:color w:val="auto"/>
              </w:rPr>
              <w:t>（</w:t>
            </w:r>
            <w:r>
              <w:rPr>
                <w:rFonts w:hint="eastAsia" w:ascii="仿宋" w:hAnsi="仿宋" w:eastAsia="仿宋" w:cs="仿宋"/>
                <w:color w:val="auto"/>
                <w:lang w:val="en-US" w:eastAsia="zh-CN"/>
              </w:rPr>
              <w:t>7</w:t>
            </w:r>
            <w:r>
              <w:rPr>
                <w:rFonts w:hint="eastAsia" w:ascii="仿宋" w:hAnsi="仿宋" w:eastAsia="仿宋" w:cs="仿宋"/>
                <w:color w:val="auto"/>
              </w:rPr>
              <w:t>）投标人不存在第二章“投标人须知”第1.4.3项或1.4.4项规定的任何一种情形</w:t>
            </w:r>
            <w:r>
              <w:rPr>
                <w:rFonts w:hint="eastAsia" w:ascii="仿宋" w:hAnsi="仿宋" w:eastAsia="仿宋" w:cs="仿宋"/>
                <w:color w:val="auto"/>
                <w:lang w:eastAsia="zh-CN"/>
              </w:rPr>
              <w:t>。</w:t>
            </w:r>
          </w:p>
        </w:tc>
      </w:tr>
      <w:tr w14:paraId="7361A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64" w:type="dxa"/>
            <w:tcBorders>
              <w:tl2br w:val="nil"/>
              <w:tr2bl w:val="nil"/>
            </w:tcBorders>
            <w:vAlign w:val="center"/>
          </w:tcPr>
          <w:p w14:paraId="424831D4">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2.1.1</w:t>
            </w:r>
          </w:p>
          <w:p w14:paraId="6C90C259">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2.1.3</w:t>
            </w:r>
          </w:p>
        </w:tc>
        <w:tc>
          <w:tcPr>
            <w:tcW w:w="1774" w:type="dxa"/>
            <w:tcBorders>
              <w:tl2br w:val="nil"/>
              <w:tr2bl w:val="nil"/>
            </w:tcBorders>
            <w:vAlign w:val="center"/>
          </w:tcPr>
          <w:p w14:paraId="4B2B37E9">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形式评审与响应性评审标准</w:t>
            </w:r>
          </w:p>
        </w:tc>
        <w:tc>
          <w:tcPr>
            <w:tcW w:w="7316" w:type="dxa"/>
            <w:tcBorders>
              <w:tl2br w:val="nil"/>
              <w:tr2bl w:val="nil"/>
            </w:tcBorders>
            <w:vAlign w:val="center"/>
          </w:tcPr>
          <w:p w14:paraId="551DD7FE">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rPr>
              <w:t>第二个</w:t>
            </w:r>
            <w:r>
              <w:rPr>
                <w:rFonts w:hint="eastAsia" w:ascii="仿宋" w:hAnsi="仿宋" w:eastAsia="仿宋" w:cs="仿宋"/>
                <w:color w:val="auto"/>
                <w:lang w:val="en-US" w:eastAsia="zh-CN"/>
              </w:rPr>
              <w:t>信封（报价文件）评审标准：</w:t>
            </w:r>
          </w:p>
          <w:p w14:paraId="4616B382">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（1）投标文件按照招标文件规定的格式、内容填写，字迹清晰可辨，内容齐全完整：</w:t>
            </w:r>
          </w:p>
          <w:p w14:paraId="170AB824">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a．投标函按招标文件规定填报了项目名称、标段号、补遗书编号（如有）、投标价（折扣系数）；</w:t>
            </w:r>
          </w:p>
          <w:p w14:paraId="14F41E09">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b．投标文件组成齐全完整，内容均按规定填写。</w:t>
            </w:r>
          </w:p>
          <w:p w14:paraId="076F287C">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（2）投标文件上法定代表人的电子签名章、投标人的单位电子公章盖章齐全，符合招标文件规定。</w:t>
            </w:r>
          </w:p>
          <w:p w14:paraId="2D85076C">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（3）投标报价未超过招标文件设定的最终最高投标限价。</w:t>
            </w:r>
          </w:p>
          <w:p w14:paraId="0D437317">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（4）投标报价（折扣系数）的大写金额能够确定具体数值。</w:t>
            </w:r>
          </w:p>
          <w:p w14:paraId="7446FDDA">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（5）同一投标人未提交两个以上不同的投标报价，但招标文件要求提交备选投标的除外。</w:t>
            </w:r>
          </w:p>
          <w:p w14:paraId="1D16A0C3">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（6）未存在投标人须知前附表10.6所列情形。</w:t>
            </w:r>
          </w:p>
          <w:p w14:paraId="0D98E4F6">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（7）电子投标文件符合招标文件电子招标规定。</w:t>
            </w:r>
          </w:p>
          <w:p w14:paraId="45C985B8">
            <w:pPr>
              <w:keepNext w:val="0"/>
              <w:keepLines w:val="0"/>
              <w:pageBreakBefore w:val="0"/>
              <w:widowControl w:val="0"/>
              <w:kinsoku/>
              <w:wordWrap/>
              <w:overflowPunct/>
              <w:topLinePunct w:val="0"/>
              <w:autoSpaceDE/>
              <w:autoSpaceDN/>
              <w:bidi w:val="0"/>
              <w:adjustRightInd/>
              <w:snapToGrid/>
              <w:spacing w:line="380" w:lineRule="exact"/>
              <w:ind w:left="105" w:leftChars="50" w:right="105" w:rightChars="50" w:firstLine="0" w:firstLineChars="0"/>
              <w:textAlignment w:val="auto"/>
              <w:rPr>
                <w:rFonts w:hint="eastAsia" w:ascii="仿宋" w:hAnsi="仿宋" w:eastAsia="仿宋" w:cs="仿宋"/>
                <w:color w:val="auto"/>
              </w:rPr>
            </w:pPr>
            <w:r>
              <w:rPr>
                <w:rFonts w:hint="eastAsia" w:ascii="仿宋" w:hAnsi="仿宋" w:eastAsia="仿宋" w:cs="仿宋"/>
                <w:color w:val="auto"/>
                <w:lang w:val="en-US" w:eastAsia="zh-CN"/>
              </w:rPr>
              <w:t>（8）投标文件没有附有招标人不能接受的其它条件。</w:t>
            </w:r>
          </w:p>
        </w:tc>
      </w:tr>
    </w:tbl>
    <w:p w14:paraId="0292CE57">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br w:type="page"/>
      </w:r>
    </w:p>
    <w:tbl>
      <w:tblPr>
        <w:tblStyle w:val="10"/>
        <w:tblW w:w="100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64"/>
        <w:gridCol w:w="1774"/>
        <w:gridCol w:w="7316"/>
      </w:tblGrid>
      <w:tr w14:paraId="41435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476939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pacing w:val="-1"/>
                <w:sz w:val="21"/>
                <w:szCs w:val="21"/>
                <w:lang w:val="en-US" w:eastAsia="zh-CN"/>
              </w:rPr>
              <w:t>条款号</w:t>
            </w:r>
          </w:p>
        </w:tc>
        <w:tc>
          <w:tcPr>
            <w:tcW w:w="1774" w:type="dxa"/>
            <w:tcBorders>
              <w:tl2br w:val="nil"/>
              <w:tr2bl w:val="nil"/>
            </w:tcBorders>
            <w:vAlign w:val="center"/>
          </w:tcPr>
          <w:p w14:paraId="066F7F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pacing w:val="-1"/>
                <w:sz w:val="21"/>
                <w:szCs w:val="21"/>
                <w:lang w:val="en-US" w:eastAsia="zh-CN"/>
              </w:rPr>
              <w:t>条款内容</w:t>
            </w:r>
          </w:p>
        </w:tc>
        <w:tc>
          <w:tcPr>
            <w:tcW w:w="7316" w:type="dxa"/>
            <w:tcBorders>
              <w:tl2br w:val="nil"/>
              <w:tr2bl w:val="nil"/>
            </w:tcBorders>
            <w:vAlign w:val="center"/>
          </w:tcPr>
          <w:p w14:paraId="7F432B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Cs w:val="21"/>
              </w:rPr>
            </w:pPr>
            <w:r>
              <w:rPr>
                <w:rFonts w:hint="eastAsia" w:ascii="仿宋" w:hAnsi="仿宋" w:eastAsia="仿宋" w:cs="仿宋"/>
                <w:color w:val="auto"/>
                <w:sz w:val="21"/>
                <w:szCs w:val="21"/>
                <w:lang w:val="en-US" w:eastAsia="zh-CN"/>
              </w:rPr>
              <w:t>编列内容</w:t>
            </w:r>
          </w:p>
        </w:tc>
      </w:tr>
      <w:tr w14:paraId="72F84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4850C034">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2.2.1</w:t>
            </w:r>
          </w:p>
        </w:tc>
        <w:tc>
          <w:tcPr>
            <w:tcW w:w="1774" w:type="dxa"/>
            <w:tcBorders>
              <w:tl2br w:val="nil"/>
              <w:tr2bl w:val="nil"/>
            </w:tcBorders>
            <w:vAlign w:val="center"/>
          </w:tcPr>
          <w:p w14:paraId="7486D4D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分值构成</w:t>
            </w:r>
          </w:p>
          <w:p w14:paraId="59D42BA2">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（总分100分）</w:t>
            </w:r>
          </w:p>
        </w:tc>
        <w:tc>
          <w:tcPr>
            <w:tcW w:w="7316" w:type="dxa"/>
            <w:tcBorders>
              <w:tl2br w:val="nil"/>
              <w:tr2bl w:val="nil"/>
            </w:tcBorders>
            <w:vAlign w:val="center"/>
          </w:tcPr>
          <w:p w14:paraId="6FBCF48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b/>
                <w:bCs/>
                <w:color w:val="auto"/>
                <w:szCs w:val="21"/>
              </w:rPr>
            </w:pPr>
            <w:r>
              <w:rPr>
                <w:rFonts w:hint="eastAsia" w:ascii="仿宋" w:hAnsi="仿宋" w:eastAsia="仿宋" w:cs="仿宋"/>
                <w:b/>
                <w:bCs/>
                <w:color w:val="auto"/>
                <w:szCs w:val="21"/>
              </w:rPr>
              <w:t>第一个信封（商务及技术文件）评分分值构成：</w:t>
            </w:r>
          </w:p>
          <w:p w14:paraId="41AEC4DC">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bCs/>
                <w:color w:val="auto"/>
                <w:szCs w:val="21"/>
              </w:rPr>
            </w:pPr>
            <w:r>
              <w:rPr>
                <w:rFonts w:hint="eastAsia" w:ascii="仿宋" w:hAnsi="仿宋" w:eastAsia="仿宋" w:cs="仿宋"/>
                <w:bCs/>
                <w:color w:val="auto"/>
                <w:szCs w:val="21"/>
              </w:rPr>
              <w:t>技术建议书：</w:t>
            </w:r>
            <w:r>
              <w:rPr>
                <w:rFonts w:hint="eastAsia" w:ascii="仿宋" w:hAnsi="仿宋" w:eastAsia="仿宋" w:cs="仿宋"/>
                <w:bCs/>
                <w:color w:val="auto"/>
                <w:szCs w:val="21"/>
                <w:u w:val="single"/>
              </w:rPr>
              <w:t xml:space="preserve"> 10</w:t>
            </w:r>
            <w:r>
              <w:rPr>
                <w:rFonts w:hint="eastAsia" w:ascii="仿宋" w:hAnsi="仿宋" w:eastAsia="仿宋" w:cs="仿宋"/>
                <w:bCs/>
                <w:color w:val="auto"/>
                <w:szCs w:val="21"/>
              </w:rPr>
              <w:t>分</w:t>
            </w:r>
          </w:p>
          <w:p w14:paraId="1E5CBB56">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bCs/>
                <w:color w:val="auto"/>
                <w:szCs w:val="21"/>
              </w:rPr>
            </w:pPr>
            <w:r>
              <w:rPr>
                <w:rFonts w:hint="eastAsia" w:ascii="仿宋" w:hAnsi="仿宋" w:eastAsia="仿宋" w:cs="仿宋"/>
                <w:bCs/>
                <w:color w:val="auto"/>
                <w:szCs w:val="21"/>
              </w:rPr>
              <w:t>主要人员：</w:t>
            </w:r>
            <w:r>
              <w:rPr>
                <w:rFonts w:hint="eastAsia" w:ascii="仿宋" w:hAnsi="仿宋" w:eastAsia="仿宋" w:cs="仿宋"/>
                <w:bCs/>
                <w:color w:val="auto"/>
                <w:szCs w:val="21"/>
                <w:u w:val="single"/>
              </w:rPr>
              <w:t xml:space="preserve"> 35</w:t>
            </w:r>
            <w:r>
              <w:rPr>
                <w:rFonts w:hint="eastAsia" w:ascii="仿宋" w:hAnsi="仿宋" w:eastAsia="仿宋" w:cs="仿宋"/>
                <w:bCs/>
                <w:color w:val="auto"/>
                <w:szCs w:val="21"/>
              </w:rPr>
              <w:t xml:space="preserve">分 </w:t>
            </w:r>
          </w:p>
          <w:p w14:paraId="4A3F9EDD">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bCs/>
                <w:color w:val="auto"/>
                <w:szCs w:val="21"/>
              </w:rPr>
            </w:pPr>
            <w:r>
              <w:rPr>
                <w:rFonts w:hint="eastAsia" w:ascii="仿宋" w:hAnsi="仿宋" w:eastAsia="仿宋" w:cs="仿宋"/>
                <w:bCs/>
                <w:color w:val="auto"/>
                <w:szCs w:val="21"/>
              </w:rPr>
              <w:t>业绩：</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en-US" w:eastAsia="zh-CN"/>
              </w:rPr>
              <w:t>35</w:t>
            </w:r>
            <w:r>
              <w:rPr>
                <w:rFonts w:hint="eastAsia" w:ascii="仿宋" w:hAnsi="仿宋" w:eastAsia="仿宋" w:cs="仿宋"/>
                <w:bCs/>
                <w:color w:val="auto"/>
                <w:szCs w:val="21"/>
              </w:rPr>
              <w:t xml:space="preserve">分 </w:t>
            </w:r>
          </w:p>
          <w:p w14:paraId="4DEC3581">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bCs/>
                <w:color w:val="auto"/>
                <w:szCs w:val="21"/>
              </w:rPr>
            </w:pPr>
            <w:r>
              <w:rPr>
                <w:rFonts w:hint="eastAsia" w:ascii="仿宋" w:hAnsi="仿宋" w:eastAsia="仿宋" w:cs="仿宋"/>
                <w:bCs/>
                <w:color w:val="auto"/>
                <w:szCs w:val="21"/>
              </w:rPr>
              <w:t>履约信誉：</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en-US" w:eastAsia="zh-CN"/>
              </w:rPr>
              <w:t>10</w:t>
            </w:r>
            <w:r>
              <w:rPr>
                <w:rFonts w:hint="eastAsia" w:ascii="仿宋" w:hAnsi="仿宋" w:eastAsia="仿宋" w:cs="仿宋"/>
                <w:bCs/>
                <w:color w:val="auto"/>
                <w:szCs w:val="21"/>
              </w:rPr>
              <w:t>分</w:t>
            </w:r>
          </w:p>
          <w:p w14:paraId="41B8B6B5">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b/>
                <w:bCs/>
                <w:color w:val="auto"/>
                <w:szCs w:val="21"/>
              </w:rPr>
            </w:pPr>
            <w:r>
              <w:rPr>
                <w:rFonts w:hint="eastAsia" w:ascii="仿宋" w:hAnsi="仿宋" w:eastAsia="仿宋" w:cs="仿宋"/>
                <w:b/>
                <w:bCs/>
                <w:color w:val="auto"/>
                <w:szCs w:val="21"/>
              </w:rPr>
              <w:t xml:space="preserve">第二个信封（报价文件）评分分值构成： </w:t>
            </w:r>
          </w:p>
          <w:p w14:paraId="62860910">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b/>
                <w:color w:val="auto"/>
                <w:szCs w:val="21"/>
              </w:rPr>
            </w:pPr>
            <w:r>
              <w:rPr>
                <w:rFonts w:hint="eastAsia" w:ascii="仿宋" w:hAnsi="仿宋" w:eastAsia="仿宋" w:cs="仿宋"/>
                <w:bCs/>
                <w:color w:val="auto"/>
                <w:szCs w:val="21"/>
              </w:rPr>
              <w:t>评标价：</w:t>
            </w:r>
            <w:r>
              <w:rPr>
                <w:rFonts w:hint="eastAsia" w:ascii="仿宋" w:hAnsi="仿宋" w:eastAsia="仿宋" w:cs="仿宋"/>
                <w:bCs/>
                <w:color w:val="auto"/>
                <w:szCs w:val="21"/>
                <w:u w:val="single"/>
              </w:rPr>
              <w:t xml:space="preserve"> 10</w:t>
            </w:r>
            <w:r>
              <w:rPr>
                <w:rFonts w:hint="eastAsia" w:ascii="仿宋" w:hAnsi="仿宋" w:eastAsia="仿宋" w:cs="仿宋"/>
                <w:bCs/>
                <w:color w:val="auto"/>
                <w:szCs w:val="21"/>
              </w:rPr>
              <w:t>分</w:t>
            </w:r>
          </w:p>
        </w:tc>
      </w:tr>
      <w:tr w14:paraId="46E94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7C035147">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2.2.2</w:t>
            </w:r>
          </w:p>
        </w:tc>
        <w:tc>
          <w:tcPr>
            <w:tcW w:w="1774" w:type="dxa"/>
            <w:tcBorders>
              <w:tl2br w:val="nil"/>
              <w:tr2bl w:val="nil"/>
            </w:tcBorders>
            <w:vAlign w:val="center"/>
          </w:tcPr>
          <w:p w14:paraId="7D0037EB">
            <w:pPr>
              <w:keepNext w:val="0"/>
              <w:keepLines w:val="0"/>
              <w:pageBreakBefore w:val="0"/>
              <w:widowControl w:val="0"/>
              <w:kinsoku/>
              <w:wordWrap/>
              <w:overflowPunct/>
              <w:topLinePunct w:val="0"/>
              <w:bidi w:val="0"/>
              <w:spacing w:line="400" w:lineRule="exact"/>
              <w:ind w:left="0" w:leftChars="0" w:right="0" w:rightChars="0" w:firstLine="86" w:firstLineChars="41"/>
              <w:jc w:val="center"/>
              <w:textAlignment w:val="auto"/>
              <w:rPr>
                <w:rFonts w:hint="eastAsia" w:ascii="仿宋" w:hAnsi="仿宋" w:eastAsia="仿宋" w:cs="仿宋"/>
                <w:color w:val="auto"/>
                <w:szCs w:val="21"/>
              </w:rPr>
            </w:pPr>
            <w:r>
              <w:rPr>
                <w:rFonts w:hint="eastAsia" w:ascii="仿宋" w:hAnsi="仿宋" w:eastAsia="仿宋" w:cs="仿宋"/>
                <w:color w:val="auto"/>
                <w:szCs w:val="21"/>
              </w:rPr>
              <w:t>评标基准价计算方法</w:t>
            </w:r>
          </w:p>
        </w:tc>
        <w:tc>
          <w:tcPr>
            <w:tcW w:w="7316" w:type="dxa"/>
            <w:tcBorders>
              <w:tl2br w:val="nil"/>
              <w:tr2bl w:val="nil"/>
            </w:tcBorders>
            <w:vAlign w:val="center"/>
          </w:tcPr>
          <w:p w14:paraId="659C40D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szCs w:val="21"/>
              </w:rPr>
            </w:pPr>
            <w:r>
              <w:rPr>
                <w:rFonts w:hint="eastAsia" w:ascii="仿宋" w:hAnsi="仿宋" w:eastAsia="仿宋" w:cs="仿宋"/>
                <w:color w:val="auto"/>
                <w:szCs w:val="21"/>
              </w:rPr>
              <w:t>评标基准价的计算：</w:t>
            </w:r>
          </w:p>
          <w:p w14:paraId="7EA0D40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szCs w:val="21"/>
              </w:rPr>
            </w:pPr>
            <w:r>
              <w:rPr>
                <w:rFonts w:hint="eastAsia" w:ascii="仿宋" w:hAnsi="仿宋" w:eastAsia="仿宋" w:cs="仿宋"/>
                <w:color w:val="auto"/>
                <w:szCs w:val="21"/>
              </w:rPr>
              <w:t>（1）评标价的确定：</w:t>
            </w:r>
          </w:p>
          <w:p w14:paraId="07AD04F7">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评标价＝投标函文字报价</w:t>
            </w:r>
          </w:p>
          <w:p w14:paraId="075BA342">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出现第二章“投标人须知”第5.2.4项所规定情况的投标文件，应做投标无效处理，其投标报价视为无效报价，不参与任何计算。</w:t>
            </w:r>
          </w:p>
          <w:p w14:paraId="1D408BD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szCs w:val="21"/>
              </w:rPr>
            </w:pPr>
            <w:r>
              <w:rPr>
                <w:rFonts w:hint="eastAsia" w:ascii="仿宋" w:hAnsi="仿宋" w:eastAsia="仿宋" w:cs="仿宋"/>
                <w:color w:val="auto"/>
                <w:szCs w:val="21"/>
              </w:rPr>
              <w:t>（2）确定最终控制价上限G2</w:t>
            </w:r>
          </w:p>
          <w:p w14:paraId="4A25436B">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第一个信封开标现场随机抽取投标控制价上限的下浮系数X1。</w:t>
            </w:r>
          </w:p>
          <w:p w14:paraId="26BF6E9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（X1为0.5%、1%、1.5%、2%、2.5%、3%六个数值中的一个）。</w:t>
            </w:r>
          </w:p>
          <w:p w14:paraId="70EF4F9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最终控制价上限G2=G1×（1-X1）</w:t>
            </w:r>
          </w:p>
          <w:p w14:paraId="781EE590">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G1=各标段最高投标限价（含暂列金额）。</w:t>
            </w:r>
          </w:p>
          <w:p w14:paraId="2CE0338C">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如投标人评标价高于本标段的G2，则视其为超出招标人的支付能力，将不再参与后续任何计算，按投标无效处理。</w:t>
            </w:r>
          </w:p>
          <w:p w14:paraId="3AED9233">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szCs w:val="21"/>
              </w:rPr>
            </w:pPr>
            <w:r>
              <w:rPr>
                <w:rFonts w:hint="eastAsia" w:ascii="仿宋" w:hAnsi="仿宋" w:eastAsia="仿宋" w:cs="仿宋"/>
                <w:color w:val="auto"/>
                <w:szCs w:val="21"/>
              </w:rPr>
              <w:t>（3）确定理论成本价LC</w:t>
            </w:r>
          </w:p>
          <w:p w14:paraId="5F04ABCD">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所有不高于G2的有效评标价的算术平均值的50%（当有效评标价有5个及以上时，应去掉其中的最高值和最低值）与G2的50%相加后，乘以成本价系数Z所得数值为该标段的理论成本价。</w:t>
            </w:r>
          </w:p>
          <w:p w14:paraId="0E9E8C7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szCs w:val="21"/>
                <w:lang w:val="pl-PL"/>
              </w:rPr>
            </w:pPr>
            <w:r>
              <w:rPr>
                <w:rFonts w:hint="eastAsia" w:ascii="仿宋" w:hAnsi="仿宋" w:eastAsia="仿宋" w:cs="仿宋"/>
                <w:color w:val="auto"/>
                <w:szCs w:val="21"/>
                <w:lang w:val="pl-PL"/>
              </w:rPr>
              <w:t>LC=（0.5×G2+0.5×SP1）×0.85</w:t>
            </w:r>
          </w:p>
          <w:p w14:paraId="04DC0CA9">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szCs w:val="21"/>
              </w:rPr>
            </w:pPr>
            <w:r>
              <w:rPr>
                <w:rFonts w:hint="eastAsia" w:ascii="仿宋" w:hAnsi="仿宋" w:eastAsia="仿宋" w:cs="仿宋"/>
                <w:color w:val="auto"/>
                <w:szCs w:val="21"/>
              </w:rPr>
              <w:t>SP1——该标段所有不高于G2的有效评标价的算术平均值（当有效评标价有5个及以上时，应去掉其中的最高值和最低值）</w:t>
            </w:r>
          </w:p>
          <w:p w14:paraId="023CCEB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szCs w:val="21"/>
              </w:rPr>
            </w:pPr>
            <w:r>
              <w:rPr>
                <w:rFonts w:hint="eastAsia" w:ascii="仿宋" w:hAnsi="仿宋" w:eastAsia="仿宋" w:cs="仿宋"/>
                <w:color w:val="auto"/>
                <w:szCs w:val="21"/>
              </w:rPr>
              <w:t>（4）确定评标基准价JZ</w:t>
            </w:r>
          </w:p>
          <w:p w14:paraId="0CF32B55">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评标基准价＝［最终投标控制价上限×加权系数＋有效评标价算术平均值×（1-加权系数）］×评标基准价系数</w:t>
            </w:r>
          </w:p>
          <w:p w14:paraId="7BDEF8FA">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式中：加权系数（X2）应从0.3、0.35、0.4中选取，评标基准价系数（X3）应从0.96、0.97、0.98、0.99中选取，均由投标人代表或现场监督在开标现场随机抽取确定。</w:t>
            </w:r>
          </w:p>
          <w:p w14:paraId="399A21B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有效评标价指介于理论成本价（含）与最终投标控制价上限（含）范围内的评标价。当有效评标价数量大于5时，应去掉其中的最高和最低值，再进行有效评标价算术平均值计算。</w:t>
            </w:r>
          </w:p>
          <w:p w14:paraId="586D9519">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20" w:firstLineChars="200"/>
              <w:jc w:val="both"/>
              <w:textAlignment w:val="auto"/>
              <w:rPr>
                <w:rFonts w:hint="eastAsia" w:ascii="仿宋" w:hAnsi="仿宋" w:eastAsia="仿宋" w:cs="仿宋"/>
                <w:color w:val="auto"/>
                <w:szCs w:val="21"/>
              </w:rPr>
            </w:pPr>
            <w:r>
              <w:rPr>
                <w:rFonts w:hint="eastAsia" w:ascii="仿宋" w:hAnsi="仿宋" w:eastAsia="仿宋" w:cs="仿宋"/>
                <w:color w:val="auto"/>
                <w:szCs w:val="21"/>
              </w:rPr>
              <w:t>在评标过程中，评标委员会应对招标人计算的评标基准价进行复核，存在计算错误的应予以修正并在评标报告中作出说明。除此之外，评标基准价在整个评标期间保持不变，不随任何因素发生变化。</w:t>
            </w:r>
          </w:p>
          <w:p w14:paraId="476EC884">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bCs/>
                <w:color w:val="auto"/>
                <w:szCs w:val="21"/>
              </w:rPr>
            </w:pPr>
            <w:r>
              <w:rPr>
                <w:rFonts w:hint="eastAsia" w:ascii="仿宋" w:hAnsi="仿宋" w:eastAsia="仿宋" w:cs="仿宋"/>
                <w:color w:val="auto"/>
                <w:szCs w:val="21"/>
              </w:rPr>
              <w:t>上述相关系数（X1、X2、X3）在开标现场由</w:t>
            </w:r>
            <w:r>
              <w:rPr>
                <w:rFonts w:hint="eastAsia" w:ascii="仿宋" w:hAnsi="仿宋" w:eastAsia="仿宋" w:cs="仿宋"/>
                <w:bCs/>
                <w:color w:val="auto"/>
                <w:szCs w:val="21"/>
              </w:rPr>
              <w:t>投标人代表或现场监督人员</w:t>
            </w:r>
            <w:r>
              <w:rPr>
                <w:rFonts w:hint="eastAsia" w:ascii="仿宋" w:hAnsi="仿宋" w:eastAsia="仿宋" w:cs="仿宋"/>
                <w:color w:val="auto"/>
                <w:szCs w:val="21"/>
              </w:rPr>
              <w:t>按标段随机抽取。</w:t>
            </w:r>
          </w:p>
        </w:tc>
      </w:tr>
      <w:tr w14:paraId="1D8CF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64" w:type="dxa"/>
            <w:tcBorders>
              <w:tl2br w:val="nil"/>
              <w:tr2bl w:val="nil"/>
            </w:tcBorders>
            <w:vAlign w:val="center"/>
          </w:tcPr>
          <w:p w14:paraId="702DD70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2.2.3</w:t>
            </w:r>
          </w:p>
        </w:tc>
        <w:tc>
          <w:tcPr>
            <w:tcW w:w="1774" w:type="dxa"/>
            <w:tcBorders>
              <w:tl2br w:val="nil"/>
              <w:tr2bl w:val="nil"/>
            </w:tcBorders>
            <w:vAlign w:val="center"/>
          </w:tcPr>
          <w:p w14:paraId="77373E4D">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评标价的偏差率</w:t>
            </w:r>
          </w:p>
          <w:p w14:paraId="1021DA74">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仿宋" w:hAnsi="仿宋" w:eastAsia="仿宋" w:cs="仿宋"/>
                <w:color w:val="auto"/>
                <w:szCs w:val="21"/>
              </w:rPr>
            </w:pPr>
            <w:r>
              <w:rPr>
                <w:rFonts w:hint="eastAsia" w:ascii="仿宋" w:hAnsi="仿宋" w:eastAsia="仿宋" w:cs="仿宋"/>
                <w:color w:val="auto"/>
                <w:szCs w:val="21"/>
              </w:rPr>
              <w:t>计算公式</w:t>
            </w:r>
          </w:p>
        </w:tc>
        <w:tc>
          <w:tcPr>
            <w:tcW w:w="7316" w:type="dxa"/>
            <w:tcBorders>
              <w:tl2br w:val="nil"/>
              <w:tr2bl w:val="nil"/>
            </w:tcBorders>
            <w:vAlign w:val="center"/>
          </w:tcPr>
          <w:p w14:paraId="34FA921E">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rPr>
            </w:pPr>
            <w:r>
              <w:rPr>
                <w:rFonts w:hint="eastAsia" w:ascii="仿宋" w:hAnsi="仿宋" w:eastAsia="仿宋" w:cs="仿宋"/>
                <w:color w:val="auto"/>
              </w:rPr>
              <w:t>偏差率=100%×</w:t>
            </w:r>
            <w:r>
              <w:rPr>
                <w:rFonts w:hint="eastAsia" w:ascii="仿宋" w:hAnsi="仿宋" w:eastAsia="仿宋" w:cs="仿宋"/>
                <w:color w:val="auto"/>
                <w:lang w:eastAsia="zh-CN"/>
              </w:rPr>
              <w:t>（</w:t>
            </w:r>
            <w:r>
              <w:rPr>
                <w:rFonts w:hint="eastAsia" w:ascii="仿宋" w:hAnsi="仿宋" w:eastAsia="仿宋" w:cs="仿宋"/>
                <w:color w:val="auto"/>
              </w:rPr>
              <w:t>评标价－评标基准价</w:t>
            </w:r>
            <w:r>
              <w:rPr>
                <w:rFonts w:hint="eastAsia" w:ascii="仿宋" w:hAnsi="仿宋" w:eastAsia="仿宋" w:cs="仿宋"/>
                <w:color w:val="auto"/>
                <w:lang w:eastAsia="zh-CN"/>
              </w:rPr>
              <w:t>）</w:t>
            </w:r>
            <w:r>
              <w:rPr>
                <w:rFonts w:hint="eastAsia" w:ascii="仿宋" w:hAnsi="仿宋" w:eastAsia="仿宋" w:cs="仿宋"/>
                <w:color w:val="auto"/>
              </w:rPr>
              <w:t>/评标基准价</w:t>
            </w:r>
          </w:p>
          <w:p w14:paraId="1A266CE2">
            <w:pPr>
              <w:pStyle w:val="6"/>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both"/>
              <w:textAlignment w:val="auto"/>
              <w:rPr>
                <w:rFonts w:hint="eastAsia" w:ascii="仿宋" w:hAnsi="仿宋" w:eastAsia="仿宋" w:cs="仿宋"/>
                <w:color w:val="auto"/>
              </w:rPr>
            </w:pPr>
            <w:r>
              <w:rPr>
                <w:rFonts w:hint="eastAsia" w:ascii="仿宋" w:hAnsi="仿宋" w:eastAsia="仿宋" w:cs="仿宋"/>
                <w:color w:val="auto"/>
                <w:sz w:val="21"/>
                <w:szCs w:val="21"/>
              </w:rPr>
              <w:t>偏差率保留</w:t>
            </w:r>
            <w:r>
              <w:rPr>
                <w:rFonts w:hint="eastAsia" w:ascii="仿宋" w:hAnsi="仿宋" w:eastAsia="仿宋" w:cs="仿宋"/>
                <w:color w:val="auto"/>
                <w:sz w:val="21"/>
                <w:szCs w:val="21"/>
                <w:u w:val="single"/>
                <w:lang w:val="en-US" w:eastAsia="zh-CN"/>
              </w:rPr>
              <w:t>三</w:t>
            </w:r>
            <w:r>
              <w:rPr>
                <w:rFonts w:hint="eastAsia" w:ascii="仿宋" w:hAnsi="仿宋" w:eastAsia="仿宋" w:cs="仿宋"/>
                <w:color w:val="auto"/>
                <w:sz w:val="21"/>
                <w:szCs w:val="21"/>
                <w:lang w:val="en-US" w:eastAsia="zh-CN"/>
              </w:rPr>
              <w:t>位</w:t>
            </w:r>
            <w:r>
              <w:rPr>
                <w:rFonts w:hint="eastAsia" w:ascii="仿宋" w:hAnsi="仿宋" w:eastAsia="仿宋" w:cs="仿宋"/>
                <w:color w:val="auto"/>
                <w:sz w:val="21"/>
                <w:szCs w:val="21"/>
              </w:rPr>
              <w:t>小数</w:t>
            </w:r>
          </w:p>
        </w:tc>
      </w:tr>
    </w:tbl>
    <w:p w14:paraId="33A62590">
      <w:pP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br w:type="page"/>
      </w:r>
    </w:p>
    <w:tbl>
      <w:tblPr>
        <w:tblStyle w:val="10"/>
        <w:tblW w:w="1040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29"/>
        <w:gridCol w:w="667"/>
        <w:gridCol w:w="667"/>
        <w:gridCol w:w="1158"/>
        <w:gridCol w:w="1487"/>
        <w:gridCol w:w="798"/>
        <w:gridCol w:w="4502"/>
      </w:tblGrid>
      <w:tr w14:paraId="494ED1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tblHeader/>
          <w:jc w:val="center"/>
        </w:trPr>
        <w:tc>
          <w:tcPr>
            <w:tcW w:w="5906" w:type="dxa"/>
            <w:gridSpan w:val="6"/>
            <w:tcBorders>
              <w:tl2br w:val="nil"/>
              <w:tr2bl w:val="nil"/>
            </w:tcBorders>
            <w:vAlign w:val="center"/>
          </w:tcPr>
          <w:p w14:paraId="032D84AA">
            <w:pPr>
              <w:autoSpaceDE w:val="0"/>
              <w:autoSpaceDN w:val="0"/>
              <w:adjustRightInd w:val="0"/>
              <w:spacing w:line="300" w:lineRule="exact"/>
              <w:ind w:left="105" w:leftChars="50" w:right="105" w:rightChars="50"/>
              <w:jc w:val="center"/>
              <w:rPr>
                <w:rFonts w:hint="eastAsia" w:ascii="仿宋" w:hAnsi="仿宋" w:eastAsia="仿宋" w:cs="仿宋"/>
                <w:b/>
                <w:color w:val="auto"/>
                <w:kern w:val="0"/>
                <w:szCs w:val="21"/>
              </w:rPr>
            </w:pPr>
            <w:r>
              <w:rPr>
                <w:rFonts w:hint="eastAsia" w:ascii="仿宋" w:hAnsi="仿宋" w:eastAsia="仿宋" w:cs="仿宋"/>
                <w:b/>
                <w:color w:val="auto"/>
                <w:spacing w:val="1"/>
                <w:kern w:val="0"/>
                <w:szCs w:val="21"/>
              </w:rPr>
              <w:t>评分因</w:t>
            </w:r>
            <w:r>
              <w:rPr>
                <w:rFonts w:hint="eastAsia" w:ascii="仿宋" w:hAnsi="仿宋" w:eastAsia="仿宋" w:cs="仿宋"/>
                <w:b/>
                <w:color w:val="auto"/>
                <w:kern w:val="0"/>
                <w:szCs w:val="21"/>
              </w:rPr>
              <w:t>素与</w:t>
            </w:r>
            <w:r>
              <w:rPr>
                <w:rFonts w:hint="eastAsia" w:ascii="仿宋" w:hAnsi="仿宋" w:eastAsia="仿宋" w:cs="仿宋"/>
                <w:b/>
                <w:color w:val="auto"/>
                <w:spacing w:val="1"/>
                <w:kern w:val="0"/>
                <w:szCs w:val="21"/>
              </w:rPr>
              <w:t>权重分</w:t>
            </w:r>
            <w:r>
              <w:rPr>
                <w:rFonts w:hint="eastAsia" w:ascii="仿宋" w:hAnsi="仿宋" w:eastAsia="仿宋" w:cs="仿宋"/>
                <w:b/>
                <w:color w:val="auto"/>
                <w:kern w:val="0"/>
                <w:szCs w:val="21"/>
              </w:rPr>
              <w:t>值</w:t>
            </w:r>
          </w:p>
        </w:tc>
        <w:tc>
          <w:tcPr>
            <w:tcW w:w="4502" w:type="dxa"/>
            <w:vMerge w:val="restart"/>
            <w:tcBorders>
              <w:tl2br w:val="nil"/>
              <w:tr2bl w:val="nil"/>
            </w:tcBorders>
            <w:vAlign w:val="center"/>
          </w:tcPr>
          <w:p w14:paraId="17CCF34D">
            <w:pPr>
              <w:autoSpaceDE w:val="0"/>
              <w:autoSpaceDN w:val="0"/>
              <w:adjustRightInd w:val="0"/>
              <w:spacing w:line="300" w:lineRule="exact"/>
              <w:ind w:left="105" w:leftChars="50" w:right="105" w:rightChars="50"/>
              <w:jc w:val="center"/>
              <w:rPr>
                <w:rFonts w:hint="eastAsia" w:ascii="仿宋" w:hAnsi="仿宋" w:eastAsia="仿宋" w:cs="仿宋"/>
                <w:b/>
                <w:color w:val="auto"/>
                <w:kern w:val="0"/>
                <w:szCs w:val="21"/>
              </w:rPr>
            </w:pPr>
            <w:r>
              <w:rPr>
                <w:rFonts w:hint="eastAsia" w:ascii="仿宋" w:hAnsi="仿宋" w:eastAsia="仿宋" w:cs="仿宋"/>
                <w:b/>
                <w:color w:val="auto"/>
                <w:spacing w:val="1"/>
                <w:kern w:val="0"/>
                <w:szCs w:val="21"/>
              </w:rPr>
              <w:t>评分标准</w:t>
            </w:r>
          </w:p>
        </w:tc>
      </w:tr>
      <w:tr w14:paraId="071B13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6" w:hRule="atLeast"/>
          <w:tblHeader/>
          <w:jc w:val="center"/>
        </w:trPr>
        <w:tc>
          <w:tcPr>
            <w:tcW w:w="1129" w:type="dxa"/>
            <w:tcBorders>
              <w:tl2br w:val="nil"/>
              <w:tr2bl w:val="nil"/>
            </w:tcBorders>
            <w:vAlign w:val="center"/>
          </w:tcPr>
          <w:p w14:paraId="6E0BC46E">
            <w:pPr>
              <w:autoSpaceDE w:val="0"/>
              <w:autoSpaceDN w:val="0"/>
              <w:adjustRightInd w:val="0"/>
              <w:spacing w:line="300" w:lineRule="exact"/>
              <w:ind w:left="105" w:leftChars="50" w:right="105" w:rightChars="50"/>
              <w:jc w:val="center"/>
              <w:rPr>
                <w:rFonts w:hint="eastAsia" w:ascii="仿宋" w:hAnsi="仿宋" w:eastAsia="仿宋" w:cs="仿宋"/>
                <w:b/>
                <w:color w:val="auto"/>
                <w:kern w:val="0"/>
                <w:szCs w:val="21"/>
              </w:rPr>
            </w:pPr>
            <w:r>
              <w:rPr>
                <w:rFonts w:hint="eastAsia" w:ascii="仿宋" w:hAnsi="仿宋" w:eastAsia="仿宋" w:cs="仿宋"/>
                <w:b/>
                <w:color w:val="auto"/>
                <w:spacing w:val="1"/>
                <w:kern w:val="0"/>
                <w:szCs w:val="21"/>
              </w:rPr>
              <w:t>条款号</w:t>
            </w:r>
          </w:p>
        </w:tc>
        <w:tc>
          <w:tcPr>
            <w:tcW w:w="1334" w:type="dxa"/>
            <w:gridSpan w:val="2"/>
            <w:tcBorders>
              <w:tl2br w:val="nil"/>
              <w:tr2bl w:val="nil"/>
            </w:tcBorders>
            <w:vAlign w:val="center"/>
          </w:tcPr>
          <w:p w14:paraId="00708BFA">
            <w:pPr>
              <w:autoSpaceDE w:val="0"/>
              <w:autoSpaceDN w:val="0"/>
              <w:adjustRightInd w:val="0"/>
              <w:spacing w:line="300" w:lineRule="exact"/>
              <w:ind w:left="105" w:leftChars="50" w:right="105" w:rightChars="50"/>
              <w:jc w:val="center"/>
              <w:rPr>
                <w:rFonts w:hint="eastAsia" w:ascii="仿宋" w:hAnsi="仿宋" w:eastAsia="仿宋" w:cs="仿宋"/>
                <w:b/>
                <w:color w:val="auto"/>
                <w:kern w:val="0"/>
                <w:szCs w:val="21"/>
              </w:rPr>
            </w:pPr>
            <w:r>
              <w:rPr>
                <w:rFonts w:hint="eastAsia" w:ascii="仿宋" w:hAnsi="仿宋" w:eastAsia="仿宋" w:cs="仿宋"/>
                <w:b/>
                <w:color w:val="auto"/>
                <w:spacing w:val="1"/>
                <w:kern w:val="0"/>
                <w:szCs w:val="21"/>
              </w:rPr>
              <w:t>评分</w:t>
            </w:r>
            <w:r>
              <w:rPr>
                <w:rFonts w:hint="eastAsia" w:ascii="仿宋" w:hAnsi="仿宋" w:eastAsia="仿宋" w:cs="仿宋"/>
                <w:b/>
                <w:color w:val="auto"/>
                <w:kern w:val="0"/>
                <w:szCs w:val="21"/>
              </w:rPr>
              <w:t>因素</w:t>
            </w:r>
          </w:p>
        </w:tc>
        <w:tc>
          <w:tcPr>
            <w:tcW w:w="1158" w:type="dxa"/>
            <w:tcBorders>
              <w:tl2br w:val="nil"/>
              <w:tr2bl w:val="nil"/>
            </w:tcBorders>
            <w:vAlign w:val="center"/>
          </w:tcPr>
          <w:p w14:paraId="130E3561">
            <w:pPr>
              <w:autoSpaceDE w:val="0"/>
              <w:autoSpaceDN w:val="0"/>
              <w:adjustRightInd w:val="0"/>
              <w:spacing w:line="300" w:lineRule="exact"/>
              <w:ind w:left="105" w:leftChars="50" w:right="105" w:rightChars="50"/>
              <w:jc w:val="center"/>
              <w:rPr>
                <w:rFonts w:hint="eastAsia" w:ascii="仿宋" w:hAnsi="仿宋" w:eastAsia="仿宋" w:cs="仿宋"/>
                <w:b/>
                <w:color w:val="auto"/>
                <w:kern w:val="0"/>
                <w:szCs w:val="21"/>
              </w:rPr>
            </w:pPr>
            <w:r>
              <w:rPr>
                <w:rFonts w:hint="eastAsia" w:ascii="仿宋" w:hAnsi="仿宋" w:eastAsia="仿宋" w:cs="仿宋"/>
                <w:b/>
                <w:color w:val="auto"/>
                <w:spacing w:val="1"/>
                <w:kern w:val="0"/>
                <w:szCs w:val="21"/>
              </w:rPr>
              <w:t>评分</w:t>
            </w:r>
            <w:r>
              <w:rPr>
                <w:rFonts w:hint="eastAsia" w:ascii="仿宋" w:hAnsi="仿宋" w:eastAsia="仿宋" w:cs="仿宋"/>
                <w:b/>
                <w:color w:val="auto"/>
                <w:kern w:val="0"/>
                <w:szCs w:val="21"/>
              </w:rPr>
              <w:t>因素</w:t>
            </w:r>
            <w:r>
              <w:rPr>
                <w:rFonts w:hint="eastAsia" w:ascii="仿宋" w:hAnsi="仿宋" w:eastAsia="仿宋" w:cs="仿宋"/>
                <w:b/>
                <w:color w:val="auto"/>
                <w:spacing w:val="1"/>
                <w:kern w:val="0"/>
                <w:szCs w:val="21"/>
              </w:rPr>
              <w:t>权重分值</w:t>
            </w:r>
          </w:p>
        </w:tc>
        <w:tc>
          <w:tcPr>
            <w:tcW w:w="1487" w:type="dxa"/>
            <w:tcBorders>
              <w:tl2br w:val="nil"/>
              <w:tr2bl w:val="nil"/>
            </w:tcBorders>
            <w:vAlign w:val="center"/>
          </w:tcPr>
          <w:p w14:paraId="11EFE4F9">
            <w:pPr>
              <w:autoSpaceDE w:val="0"/>
              <w:autoSpaceDN w:val="0"/>
              <w:adjustRightInd w:val="0"/>
              <w:spacing w:line="300" w:lineRule="exact"/>
              <w:ind w:left="105" w:leftChars="50" w:right="105" w:rightChars="50"/>
              <w:jc w:val="center"/>
              <w:rPr>
                <w:rFonts w:hint="eastAsia" w:ascii="仿宋" w:hAnsi="仿宋" w:eastAsia="仿宋" w:cs="仿宋"/>
                <w:b/>
                <w:color w:val="auto"/>
                <w:kern w:val="0"/>
                <w:szCs w:val="21"/>
              </w:rPr>
            </w:pPr>
            <w:r>
              <w:rPr>
                <w:rFonts w:hint="eastAsia" w:ascii="仿宋" w:hAnsi="仿宋" w:eastAsia="仿宋" w:cs="仿宋"/>
                <w:b/>
                <w:color w:val="auto"/>
                <w:kern w:val="0"/>
                <w:szCs w:val="21"/>
              </w:rPr>
              <w:t>各评分因素细</w:t>
            </w:r>
            <w:r>
              <w:rPr>
                <w:rFonts w:hint="eastAsia" w:ascii="仿宋" w:hAnsi="仿宋" w:eastAsia="仿宋" w:cs="仿宋"/>
                <w:b/>
                <w:color w:val="auto"/>
                <w:kern w:val="0"/>
                <w:szCs w:val="21"/>
                <w:lang w:val="en-US" w:eastAsia="zh-CN"/>
              </w:rPr>
              <w:t>分</w:t>
            </w:r>
            <w:r>
              <w:rPr>
                <w:rFonts w:hint="eastAsia" w:ascii="仿宋" w:hAnsi="仿宋" w:eastAsia="仿宋" w:cs="仿宋"/>
                <w:b/>
                <w:color w:val="auto"/>
                <w:kern w:val="0"/>
                <w:szCs w:val="21"/>
              </w:rPr>
              <w:t>项</w:t>
            </w:r>
          </w:p>
        </w:tc>
        <w:tc>
          <w:tcPr>
            <w:tcW w:w="798" w:type="dxa"/>
            <w:tcBorders>
              <w:tl2br w:val="nil"/>
              <w:tr2bl w:val="nil"/>
            </w:tcBorders>
            <w:vAlign w:val="center"/>
          </w:tcPr>
          <w:p w14:paraId="3BF13897">
            <w:pPr>
              <w:autoSpaceDE w:val="0"/>
              <w:autoSpaceDN w:val="0"/>
              <w:adjustRightInd w:val="0"/>
              <w:spacing w:line="300" w:lineRule="exact"/>
              <w:ind w:left="105" w:leftChars="50" w:right="105" w:rightChars="50"/>
              <w:jc w:val="center"/>
              <w:rPr>
                <w:rFonts w:hint="eastAsia" w:ascii="仿宋" w:hAnsi="仿宋" w:eastAsia="仿宋" w:cs="仿宋"/>
                <w:b/>
                <w:color w:val="auto"/>
                <w:kern w:val="0"/>
                <w:szCs w:val="21"/>
              </w:rPr>
            </w:pPr>
            <w:r>
              <w:rPr>
                <w:rFonts w:hint="eastAsia" w:ascii="仿宋" w:hAnsi="仿宋" w:eastAsia="仿宋" w:cs="仿宋"/>
                <w:b/>
                <w:color w:val="auto"/>
                <w:spacing w:val="1"/>
                <w:kern w:val="0"/>
                <w:szCs w:val="21"/>
              </w:rPr>
              <w:t>分值</w:t>
            </w:r>
          </w:p>
        </w:tc>
        <w:tc>
          <w:tcPr>
            <w:tcW w:w="4502" w:type="dxa"/>
            <w:vMerge w:val="continue"/>
            <w:tcBorders>
              <w:tl2br w:val="nil"/>
              <w:tr2bl w:val="nil"/>
            </w:tcBorders>
          </w:tcPr>
          <w:p w14:paraId="3AB3C5E8">
            <w:pPr>
              <w:autoSpaceDE w:val="0"/>
              <w:autoSpaceDN w:val="0"/>
              <w:adjustRightInd w:val="0"/>
              <w:spacing w:line="300" w:lineRule="exact"/>
              <w:ind w:left="105" w:leftChars="50" w:right="105" w:rightChars="50"/>
              <w:jc w:val="left"/>
              <w:rPr>
                <w:rFonts w:hint="eastAsia" w:ascii="仿宋" w:hAnsi="仿宋" w:eastAsia="仿宋" w:cs="仿宋"/>
                <w:color w:val="auto"/>
                <w:kern w:val="0"/>
                <w:szCs w:val="21"/>
              </w:rPr>
            </w:pPr>
          </w:p>
        </w:tc>
      </w:tr>
      <w:tr w14:paraId="5A78B9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74" w:hRule="atLeast"/>
          <w:jc w:val="center"/>
        </w:trPr>
        <w:tc>
          <w:tcPr>
            <w:tcW w:w="1129" w:type="dxa"/>
            <w:vMerge w:val="restart"/>
            <w:tcBorders>
              <w:tl2br w:val="nil"/>
              <w:tr2bl w:val="nil"/>
            </w:tcBorders>
            <w:vAlign w:val="center"/>
          </w:tcPr>
          <w:p w14:paraId="64FAD2FB">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rPr>
              <w:t>2.2.4</w:t>
            </w:r>
          </w:p>
          <w:p w14:paraId="79FAD5CD">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lang w:eastAsia="zh-CN"/>
              </w:rPr>
            </w:pPr>
            <w:r>
              <w:rPr>
                <w:rFonts w:hint="eastAsia" w:ascii="仿宋" w:hAnsi="仿宋" w:eastAsia="仿宋" w:cs="仿宋"/>
                <w:b w:val="0"/>
                <w:bCs/>
                <w:color w:val="auto"/>
                <w:spacing w:val="1"/>
                <w:kern w:val="0"/>
                <w:szCs w:val="21"/>
                <w:lang w:eastAsia="zh-CN"/>
              </w:rPr>
              <w:t>（</w:t>
            </w:r>
            <w:r>
              <w:rPr>
                <w:rFonts w:hint="eastAsia" w:ascii="仿宋" w:hAnsi="仿宋" w:eastAsia="仿宋" w:cs="仿宋"/>
                <w:b w:val="0"/>
                <w:bCs/>
                <w:color w:val="auto"/>
                <w:spacing w:val="1"/>
                <w:kern w:val="0"/>
                <w:szCs w:val="21"/>
                <w:lang w:val="en-US" w:eastAsia="zh-CN"/>
              </w:rPr>
              <w:t>1</w:t>
            </w:r>
            <w:r>
              <w:rPr>
                <w:rFonts w:hint="eastAsia" w:ascii="仿宋" w:hAnsi="仿宋" w:eastAsia="仿宋" w:cs="仿宋"/>
                <w:b w:val="0"/>
                <w:bCs/>
                <w:color w:val="auto"/>
                <w:spacing w:val="1"/>
                <w:kern w:val="0"/>
                <w:szCs w:val="21"/>
                <w:lang w:eastAsia="zh-CN"/>
              </w:rPr>
              <w:t>）</w:t>
            </w:r>
          </w:p>
        </w:tc>
        <w:tc>
          <w:tcPr>
            <w:tcW w:w="1334" w:type="dxa"/>
            <w:gridSpan w:val="2"/>
            <w:vMerge w:val="restart"/>
            <w:tcBorders>
              <w:tl2br w:val="nil"/>
              <w:tr2bl w:val="nil"/>
            </w:tcBorders>
            <w:vAlign w:val="center"/>
          </w:tcPr>
          <w:p w14:paraId="7401895F">
            <w:pPr>
              <w:autoSpaceDE w:val="0"/>
              <w:autoSpaceDN w:val="0"/>
              <w:adjustRightInd w:val="0"/>
              <w:spacing w:line="300" w:lineRule="exact"/>
              <w:ind w:left="105" w:leftChars="50" w:right="105" w:rightChars="50"/>
              <w:jc w:val="center"/>
              <w:rPr>
                <w:rFonts w:hint="eastAsia" w:ascii="仿宋" w:hAnsi="仿宋" w:eastAsia="仿宋" w:cs="仿宋"/>
                <w:b w:val="0"/>
                <w:bCs/>
                <w:color w:val="auto"/>
                <w:kern w:val="0"/>
                <w:szCs w:val="21"/>
              </w:rPr>
            </w:pPr>
            <w:r>
              <w:rPr>
                <w:rFonts w:hint="eastAsia" w:ascii="仿宋" w:hAnsi="仿宋" w:eastAsia="仿宋" w:cs="仿宋"/>
                <w:b w:val="0"/>
                <w:bCs/>
                <w:color w:val="auto"/>
                <w:kern w:val="0"/>
                <w:szCs w:val="21"/>
              </w:rPr>
              <w:t>技术建议书</w:t>
            </w:r>
          </w:p>
        </w:tc>
        <w:tc>
          <w:tcPr>
            <w:tcW w:w="1158" w:type="dxa"/>
            <w:vMerge w:val="restart"/>
            <w:tcBorders>
              <w:tl2br w:val="nil"/>
              <w:tr2bl w:val="nil"/>
            </w:tcBorders>
            <w:vAlign w:val="center"/>
          </w:tcPr>
          <w:p w14:paraId="4BC212F6">
            <w:pPr>
              <w:tabs>
                <w:tab w:val="left" w:pos="520"/>
              </w:tabs>
              <w:autoSpaceDE w:val="0"/>
              <w:autoSpaceDN w:val="0"/>
              <w:adjustRightInd w:val="0"/>
              <w:spacing w:line="300" w:lineRule="exact"/>
              <w:ind w:left="105" w:leftChars="50" w:right="105" w:rightChars="50"/>
              <w:jc w:val="center"/>
              <w:rPr>
                <w:rFonts w:hint="eastAsia" w:ascii="仿宋" w:hAnsi="仿宋" w:eastAsia="仿宋" w:cs="仿宋"/>
                <w:color w:val="auto"/>
                <w:kern w:val="0"/>
                <w:szCs w:val="21"/>
              </w:rPr>
            </w:pPr>
            <w:r>
              <w:rPr>
                <w:rFonts w:hint="eastAsia" w:ascii="仿宋" w:hAnsi="仿宋" w:eastAsia="仿宋" w:cs="仿宋"/>
                <w:color w:val="auto"/>
                <w:kern w:val="0"/>
                <w:szCs w:val="21"/>
              </w:rPr>
              <w:t>10分</w:t>
            </w:r>
          </w:p>
        </w:tc>
        <w:tc>
          <w:tcPr>
            <w:tcW w:w="1487" w:type="dxa"/>
            <w:tcBorders>
              <w:tl2br w:val="nil"/>
              <w:tr2bl w:val="nil"/>
            </w:tcBorders>
            <w:vAlign w:val="center"/>
          </w:tcPr>
          <w:p w14:paraId="6FF24B64">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对监理工作范围和任务理解</w:t>
            </w:r>
          </w:p>
        </w:tc>
        <w:tc>
          <w:tcPr>
            <w:tcW w:w="798" w:type="dxa"/>
            <w:tcBorders>
              <w:tl2br w:val="nil"/>
              <w:tr2bl w:val="nil"/>
            </w:tcBorders>
            <w:vAlign w:val="center"/>
          </w:tcPr>
          <w:p w14:paraId="5AFEE902">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3</w:t>
            </w:r>
            <w:r>
              <w:rPr>
                <w:rFonts w:hint="eastAsia" w:ascii="仿宋" w:hAnsi="仿宋" w:eastAsia="仿宋" w:cs="仿宋"/>
                <w:color w:val="auto"/>
                <w:kern w:val="0"/>
                <w:szCs w:val="21"/>
              </w:rPr>
              <w:t>分</w:t>
            </w:r>
          </w:p>
        </w:tc>
        <w:tc>
          <w:tcPr>
            <w:tcW w:w="4502" w:type="dxa"/>
            <w:tcBorders>
              <w:tl2br w:val="nil"/>
              <w:tr2bl w:val="nil"/>
            </w:tcBorders>
            <w:vAlign w:val="center"/>
          </w:tcPr>
          <w:p w14:paraId="33314B18">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本项基本分为1.8分。</w:t>
            </w:r>
          </w:p>
          <w:p w14:paraId="6E708BCF">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依据监理合同中规定的监理服务的要求和范围，对拟投监理标段的监理工作安排、主要监理人员的岗位职责进行必要的阐述，理解准确，思路清晰，全面、合理，符合项目要求，酌情加分，最高加1.2分。</w:t>
            </w:r>
          </w:p>
        </w:tc>
      </w:tr>
      <w:tr w14:paraId="14A50A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60" w:hRule="atLeast"/>
          <w:jc w:val="center"/>
        </w:trPr>
        <w:tc>
          <w:tcPr>
            <w:tcW w:w="1129" w:type="dxa"/>
            <w:vMerge w:val="continue"/>
            <w:tcBorders>
              <w:tl2br w:val="nil"/>
              <w:tr2bl w:val="nil"/>
            </w:tcBorders>
          </w:tcPr>
          <w:p w14:paraId="0E02F80F">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1334" w:type="dxa"/>
            <w:gridSpan w:val="2"/>
            <w:vMerge w:val="continue"/>
            <w:tcBorders>
              <w:tl2br w:val="nil"/>
              <w:tr2bl w:val="nil"/>
            </w:tcBorders>
            <w:vAlign w:val="center"/>
          </w:tcPr>
          <w:p w14:paraId="66E48E4F">
            <w:pPr>
              <w:autoSpaceDE w:val="0"/>
              <w:autoSpaceDN w:val="0"/>
              <w:adjustRightInd w:val="0"/>
              <w:spacing w:line="300" w:lineRule="exact"/>
              <w:ind w:left="105" w:leftChars="50" w:right="105" w:rightChars="50"/>
              <w:jc w:val="center"/>
              <w:rPr>
                <w:rFonts w:hint="eastAsia" w:ascii="仿宋" w:hAnsi="仿宋" w:eastAsia="仿宋" w:cs="仿宋"/>
                <w:b w:val="0"/>
                <w:bCs/>
                <w:color w:val="auto"/>
                <w:kern w:val="0"/>
                <w:szCs w:val="21"/>
              </w:rPr>
            </w:pPr>
          </w:p>
        </w:tc>
        <w:tc>
          <w:tcPr>
            <w:tcW w:w="1158" w:type="dxa"/>
            <w:vMerge w:val="continue"/>
            <w:tcBorders>
              <w:tl2br w:val="nil"/>
              <w:tr2bl w:val="nil"/>
            </w:tcBorders>
            <w:vAlign w:val="center"/>
          </w:tcPr>
          <w:p w14:paraId="7D2F1C1C">
            <w:pPr>
              <w:tabs>
                <w:tab w:val="left" w:pos="520"/>
              </w:tabs>
              <w:autoSpaceDE w:val="0"/>
              <w:autoSpaceDN w:val="0"/>
              <w:adjustRightInd w:val="0"/>
              <w:spacing w:line="300" w:lineRule="exact"/>
              <w:ind w:left="105" w:leftChars="50" w:right="105" w:rightChars="50"/>
              <w:jc w:val="center"/>
              <w:rPr>
                <w:rFonts w:hint="eastAsia" w:ascii="仿宋" w:hAnsi="仿宋" w:eastAsia="仿宋" w:cs="仿宋"/>
                <w:color w:val="auto"/>
                <w:kern w:val="0"/>
                <w:szCs w:val="21"/>
              </w:rPr>
            </w:pPr>
          </w:p>
        </w:tc>
        <w:tc>
          <w:tcPr>
            <w:tcW w:w="1487" w:type="dxa"/>
            <w:tcBorders>
              <w:tl2br w:val="nil"/>
              <w:tr2bl w:val="nil"/>
            </w:tcBorders>
            <w:vAlign w:val="center"/>
          </w:tcPr>
          <w:p w14:paraId="54F3CFB4">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监理工作程序</w:t>
            </w:r>
          </w:p>
        </w:tc>
        <w:tc>
          <w:tcPr>
            <w:tcW w:w="798" w:type="dxa"/>
            <w:tcBorders>
              <w:tl2br w:val="nil"/>
              <w:tr2bl w:val="nil"/>
            </w:tcBorders>
            <w:vAlign w:val="center"/>
          </w:tcPr>
          <w:p w14:paraId="2BD18F69">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2分</w:t>
            </w:r>
          </w:p>
        </w:tc>
        <w:tc>
          <w:tcPr>
            <w:tcW w:w="4502" w:type="dxa"/>
            <w:tcBorders>
              <w:tl2br w:val="nil"/>
              <w:tr2bl w:val="nil"/>
            </w:tcBorders>
            <w:vAlign w:val="center"/>
          </w:tcPr>
          <w:p w14:paraId="17C4A1CB">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本项基本分为1.2分。</w:t>
            </w:r>
          </w:p>
          <w:p w14:paraId="08EBDE77">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结合监理工作的阶段划分，对工程质量控制、进度控制、施工安全控制、施工环境保护、费用控制、合同及其他事项管理、文件资料管理等方面，进行监理工作的方法与流程的简要阐述内容。内容齐全、阶段划分合理、正确、可实施性强，酌情打分，最高加0.8分。</w:t>
            </w:r>
          </w:p>
        </w:tc>
      </w:tr>
      <w:tr w14:paraId="3ED2B1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73" w:hRule="atLeast"/>
          <w:jc w:val="center"/>
        </w:trPr>
        <w:tc>
          <w:tcPr>
            <w:tcW w:w="1129" w:type="dxa"/>
            <w:vMerge w:val="continue"/>
            <w:tcBorders>
              <w:tl2br w:val="nil"/>
              <w:tr2bl w:val="nil"/>
            </w:tcBorders>
          </w:tcPr>
          <w:p w14:paraId="1BA56523">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1334" w:type="dxa"/>
            <w:gridSpan w:val="2"/>
            <w:vMerge w:val="continue"/>
            <w:tcBorders>
              <w:tl2br w:val="nil"/>
              <w:tr2bl w:val="nil"/>
            </w:tcBorders>
            <w:vAlign w:val="center"/>
          </w:tcPr>
          <w:p w14:paraId="24BFB8CE">
            <w:pPr>
              <w:autoSpaceDE w:val="0"/>
              <w:autoSpaceDN w:val="0"/>
              <w:adjustRightInd w:val="0"/>
              <w:spacing w:line="300" w:lineRule="exact"/>
              <w:ind w:left="105" w:leftChars="50" w:right="105" w:rightChars="50"/>
              <w:jc w:val="center"/>
              <w:rPr>
                <w:rFonts w:hint="eastAsia" w:ascii="仿宋" w:hAnsi="仿宋" w:eastAsia="仿宋" w:cs="仿宋"/>
                <w:b w:val="0"/>
                <w:bCs/>
                <w:color w:val="auto"/>
                <w:kern w:val="0"/>
                <w:szCs w:val="21"/>
              </w:rPr>
            </w:pPr>
          </w:p>
        </w:tc>
        <w:tc>
          <w:tcPr>
            <w:tcW w:w="1158" w:type="dxa"/>
            <w:vMerge w:val="continue"/>
            <w:tcBorders>
              <w:tl2br w:val="nil"/>
              <w:tr2bl w:val="nil"/>
            </w:tcBorders>
            <w:vAlign w:val="center"/>
          </w:tcPr>
          <w:p w14:paraId="28A41E9C">
            <w:pPr>
              <w:tabs>
                <w:tab w:val="left" w:pos="520"/>
              </w:tabs>
              <w:autoSpaceDE w:val="0"/>
              <w:autoSpaceDN w:val="0"/>
              <w:adjustRightInd w:val="0"/>
              <w:spacing w:line="300" w:lineRule="exact"/>
              <w:ind w:left="105" w:leftChars="50" w:right="105" w:rightChars="50"/>
              <w:jc w:val="center"/>
              <w:rPr>
                <w:rFonts w:hint="eastAsia" w:ascii="仿宋" w:hAnsi="仿宋" w:eastAsia="仿宋" w:cs="仿宋"/>
                <w:color w:val="auto"/>
                <w:kern w:val="0"/>
                <w:szCs w:val="21"/>
              </w:rPr>
            </w:pPr>
          </w:p>
        </w:tc>
        <w:tc>
          <w:tcPr>
            <w:tcW w:w="1487" w:type="dxa"/>
            <w:tcBorders>
              <w:tl2br w:val="nil"/>
              <w:tr2bl w:val="nil"/>
            </w:tcBorders>
            <w:vAlign w:val="center"/>
          </w:tcPr>
          <w:p w14:paraId="6AC1CE06">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本工程监理工作的重点与难点分析</w:t>
            </w:r>
          </w:p>
        </w:tc>
        <w:tc>
          <w:tcPr>
            <w:tcW w:w="798" w:type="dxa"/>
            <w:tcBorders>
              <w:tl2br w:val="nil"/>
              <w:tr2bl w:val="nil"/>
            </w:tcBorders>
            <w:vAlign w:val="center"/>
          </w:tcPr>
          <w:p w14:paraId="7D0AAAEF">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2分</w:t>
            </w:r>
          </w:p>
        </w:tc>
        <w:tc>
          <w:tcPr>
            <w:tcW w:w="4502" w:type="dxa"/>
            <w:tcBorders>
              <w:tl2br w:val="nil"/>
              <w:tr2bl w:val="nil"/>
            </w:tcBorders>
            <w:vAlign w:val="center"/>
          </w:tcPr>
          <w:p w14:paraId="3F30C5C0">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本项基本分为1.2分。</w:t>
            </w:r>
          </w:p>
          <w:p w14:paraId="228096FD">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对本工程监理工作需要特别给予重视的问题逐一论述并给出解决方法。分析透彻，对难点、重点把握准确；处理措施科学合理，酌情加分，最高加0.8分。</w:t>
            </w:r>
          </w:p>
        </w:tc>
      </w:tr>
      <w:tr w14:paraId="6A3FDB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0" w:hRule="atLeast"/>
          <w:jc w:val="center"/>
        </w:trPr>
        <w:tc>
          <w:tcPr>
            <w:tcW w:w="1129" w:type="dxa"/>
            <w:vMerge w:val="continue"/>
            <w:tcBorders>
              <w:tl2br w:val="nil"/>
              <w:tr2bl w:val="nil"/>
            </w:tcBorders>
          </w:tcPr>
          <w:p w14:paraId="7D418662">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1334" w:type="dxa"/>
            <w:gridSpan w:val="2"/>
            <w:vMerge w:val="continue"/>
            <w:tcBorders>
              <w:tl2br w:val="nil"/>
              <w:tr2bl w:val="nil"/>
            </w:tcBorders>
            <w:vAlign w:val="center"/>
          </w:tcPr>
          <w:p w14:paraId="2BD377C1">
            <w:pPr>
              <w:autoSpaceDE w:val="0"/>
              <w:autoSpaceDN w:val="0"/>
              <w:adjustRightInd w:val="0"/>
              <w:spacing w:line="300" w:lineRule="exact"/>
              <w:ind w:left="105" w:leftChars="50" w:right="105" w:rightChars="50"/>
              <w:jc w:val="center"/>
              <w:rPr>
                <w:rFonts w:hint="eastAsia" w:ascii="仿宋" w:hAnsi="仿宋" w:eastAsia="仿宋" w:cs="仿宋"/>
                <w:b w:val="0"/>
                <w:bCs/>
                <w:color w:val="auto"/>
                <w:kern w:val="0"/>
                <w:szCs w:val="21"/>
              </w:rPr>
            </w:pPr>
          </w:p>
        </w:tc>
        <w:tc>
          <w:tcPr>
            <w:tcW w:w="1158" w:type="dxa"/>
            <w:vMerge w:val="continue"/>
            <w:tcBorders>
              <w:tl2br w:val="nil"/>
              <w:tr2bl w:val="nil"/>
            </w:tcBorders>
            <w:vAlign w:val="center"/>
          </w:tcPr>
          <w:p w14:paraId="10E6DF43">
            <w:pPr>
              <w:tabs>
                <w:tab w:val="left" w:pos="520"/>
              </w:tabs>
              <w:autoSpaceDE w:val="0"/>
              <w:autoSpaceDN w:val="0"/>
              <w:adjustRightInd w:val="0"/>
              <w:spacing w:line="300" w:lineRule="exact"/>
              <w:ind w:left="105" w:leftChars="50" w:right="105" w:rightChars="50"/>
              <w:jc w:val="center"/>
              <w:rPr>
                <w:rFonts w:hint="eastAsia" w:ascii="仿宋" w:hAnsi="仿宋" w:eastAsia="仿宋" w:cs="仿宋"/>
                <w:color w:val="auto"/>
                <w:kern w:val="0"/>
                <w:szCs w:val="21"/>
              </w:rPr>
            </w:pPr>
          </w:p>
        </w:tc>
        <w:tc>
          <w:tcPr>
            <w:tcW w:w="1487" w:type="dxa"/>
            <w:tcBorders>
              <w:tl2br w:val="nil"/>
              <w:tr2bl w:val="nil"/>
            </w:tcBorders>
            <w:vAlign w:val="center"/>
          </w:tcPr>
          <w:p w14:paraId="6A7F2322">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对本工程的建议</w:t>
            </w:r>
          </w:p>
        </w:tc>
        <w:tc>
          <w:tcPr>
            <w:tcW w:w="798" w:type="dxa"/>
            <w:tcBorders>
              <w:tl2br w:val="nil"/>
              <w:tr2bl w:val="nil"/>
            </w:tcBorders>
            <w:vAlign w:val="center"/>
          </w:tcPr>
          <w:p w14:paraId="09EC4E88">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center"/>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3分</w:t>
            </w:r>
          </w:p>
        </w:tc>
        <w:tc>
          <w:tcPr>
            <w:tcW w:w="4502" w:type="dxa"/>
            <w:tcBorders>
              <w:tl2br w:val="nil"/>
              <w:tr2bl w:val="nil"/>
            </w:tcBorders>
            <w:vAlign w:val="center"/>
          </w:tcPr>
          <w:p w14:paraId="76358E3D">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本项基本分为1.8分。</w:t>
            </w:r>
          </w:p>
          <w:p w14:paraId="471457BE">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为更好地完成本项目的监理工作，监理单位可根据本单位以往的监理经验和自身实力，对本工程监理工作拟采用新的现代管理技术和方法(先进、合理，实施性强)，酌情打分，最高加1.2分。</w:t>
            </w:r>
          </w:p>
        </w:tc>
      </w:tr>
      <w:tr w14:paraId="6953BC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5" w:hRule="atLeast"/>
          <w:jc w:val="center"/>
        </w:trPr>
        <w:tc>
          <w:tcPr>
            <w:tcW w:w="1129" w:type="dxa"/>
            <w:vMerge w:val="restart"/>
            <w:tcBorders>
              <w:tl2br w:val="nil"/>
              <w:tr2bl w:val="nil"/>
            </w:tcBorders>
            <w:vAlign w:val="center"/>
          </w:tcPr>
          <w:p w14:paraId="79137F9B">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highlight w:val="none"/>
              </w:rPr>
            </w:pPr>
            <w:r>
              <w:rPr>
                <w:rFonts w:hint="eastAsia" w:ascii="仿宋" w:hAnsi="仿宋" w:eastAsia="仿宋" w:cs="仿宋"/>
                <w:b w:val="0"/>
                <w:bCs/>
                <w:color w:val="auto"/>
                <w:spacing w:val="1"/>
                <w:kern w:val="0"/>
                <w:szCs w:val="21"/>
                <w:highlight w:val="none"/>
              </w:rPr>
              <w:t>2.2.4</w:t>
            </w:r>
          </w:p>
          <w:p w14:paraId="72626F89">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highlight w:val="none"/>
                <w:lang w:eastAsia="zh-CN"/>
              </w:rPr>
            </w:pPr>
            <w:r>
              <w:rPr>
                <w:rFonts w:hint="eastAsia" w:ascii="仿宋" w:hAnsi="仿宋" w:eastAsia="仿宋" w:cs="仿宋"/>
                <w:b w:val="0"/>
                <w:bCs/>
                <w:color w:val="auto"/>
                <w:spacing w:val="1"/>
                <w:kern w:val="0"/>
                <w:szCs w:val="21"/>
                <w:highlight w:val="none"/>
                <w:lang w:eastAsia="zh-CN"/>
              </w:rPr>
              <w:t>（</w:t>
            </w:r>
            <w:r>
              <w:rPr>
                <w:rFonts w:hint="eastAsia" w:ascii="仿宋" w:hAnsi="仿宋" w:eastAsia="仿宋" w:cs="仿宋"/>
                <w:b w:val="0"/>
                <w:bCs/>
                <w:color w:val="auto"/>
                <w:spacing w:val="1"/>
                <w:kern w:val="0"/>
                <w:szCs w:val="21"/>
                <w:highlight w:val="none"/>
              </w:rPr>
              <w:t>2</w:t>
            </w:r>
            <w:r>
              <w:rPr>
                <w:rFonts w:hint="eastAsia" w:ascii="仿宋" w:hAnsi="仿宋" w:eastAsia="仿宋" w:cs="仿宋"/>
                <w:b w:val="0"/>
                <w:bCs/>
                <w:color w:val="auto"/>
                <w:spacing w:val="1"/>
                <w:kern w:val="0"/>
                <w:szCs w:val="21"/>
                <w:highlight w:val="none"/>
                <w:lang w:eastAsia="zh-CN"/>
              </w:rPr>
              <w:t>）</w:t>
            </w:r>
          </w:p>
        </w:tc>
        <w:tc>
          <w:tcPr>
            <w:tcW w:w="1334" w:type="dxa"/>
            <w:gridSpan w:val="2"/>
            <w:vMerge w:val="restart"/>
            <w:tcBorders>
              <w:tl2br w:val="nil"/>
              <w:tr2bl w:val="nil"/>
            </w:tcBorders>
            <w:vAlign w:val="center"/>
          </w:tcPr>
          <w:p w14:paraId="62CFE625">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highlight w:val="none"/>
              </w:rPr>
            </w:pPr>
            <w:r>
              <w:rPr>
                <w:rFonts w:hint="eastAsia" w:ascii="仿宋" w:hAnsi="仿宋" w:eastAsia="仿宋" w:cs="仿宋"/>
                <w:b w:val="0"/>
                <w:bCs/>
                <w:color w:val="auto"/>
                <w:spacing w:val="1"/>
                <w:kern w:val="0"/>
                <w:szCs w:val="21"/>
                <w:highlight w:val="none"/>
              </w:rPr>
              <w:t>主要人员</w:t>
            </w:r>
          </w:p>
        </w:tc>
        <w:tc>
          <w:tcPr>
            <w:tcW w:w="1158" w:type="dxa"/>
            <w:vMerge w:val="restart"/>
            <w:tcBorders>
              <w:tl2br w:val="nil"/>
              <w:tr2bl w:val="nil"/>
            </w:tcBorders>
            <w:vAlign w:val="center"/>
          </w:tcPr>
          <w:p w14:paraId="72DEB6B0">
            <w:pPr>
              <w:tabs>
                <w:tab w:val="left" w:pos="660"/>
              </w:tabs>
              <w:autoSpaceDE w:val="0"/>
              <w:autoSpaceDN w:val="0"/>
              <w:adjustRightInd w:val="0"/>
              <w:spacing w:line="300" w:lineRule="exact"/>
              <w:ind w:left="105" w:leftChars="50" w:right="105" w:rightChars="50"/>
              <w:jc w:val="center"/>
              <w:rPr>
                <w:rFonts w:hint="eastAsia" w:ascii="仿宋" w:hAnsi="仿宋" w:eastAsia="仿宋" w:cs="仿宋"/>
                <w:color w:val="auto"/>
                <w:spacing w:val="1"/>
                <w:kern w:val="0"/>
                <w:szCs w:val="21"/>
                <w:highlight w:val="none"/>
              </w:rPr>
            </w:pPr>
            <w:r>
              <w:rPr>
                <w:rFonts w:hint="eastAsia" w:ascii="仿宋" w:hAnsi="仿宋" w:eastAsia="仿宋" w:cs="仿宋"/>
                <w:color w:val="auto"/>
                <w:spacing w:val="1"/>
                <w:kern w:val="0"/>
                <w:szCs w:val="21"/>
                <w:highlight w:val="none"/>
              </w:rPr>
              <w:t>35分</w:t>
            </w:r>
          </w:p>
        </w:tc>
        <w:tc>
          <w:tcPr>
            <w:tcW w:w="1487" w:type="dxa"/>
            <w:vMerge w:val="restart"/>
            <w:tcBorders>
              <w:tl2br w:val="nil"/>
              <w:tr2bl w:val="nil"/>
            </w:tcBorders>
            <w:vAlign w:val="center"/>
          </w:tcPr>
          <w:p w14:paraId="23D36300">
            <w:pPr>
              <w:tabs>
                <w:tab w:val="left" w:pos="660"/>
              </w:tabs>
              <w:autoSpaceDE w:val="0"/>
              <w:autoSpaceDN w:val="0"/>
              <w:adjustRightInd w:val="0"/>
              <w:spacing w:line="300" w:lineRule="exact"/>
              <w:ind w:left="105" w:leftChars="50" w:right="105" w:rightChars="50"/>
              <w:jc w:val="center"/>
              <w:rPr>
                <w:rFonts w:hint="eastAsia" w:ascii="仿宋" w:hAnsi="仿宋" w:eastAsia="仿宋" w:cs="仿宋"/>
                <w:color w:val="auto"/>
                <w:spacing w:val="1"/>
                <w:kern w:val="0"/>
                <w:szCs w:val="21"/>
                <w:highlight w:val="none"/>
              </w:rPr>
            </w:pPr>
            <w:r>
              <w:rPr>
                <w:rFonts w:hint="eastAsia" w:ascii="仿宋" w:hAnsi="仿宋" w:eastAsia="仿宋" w:cs="仿宋"/>
                <w:color w:val="auto"/>
                <w:spacing w:val="1"/>
                <w:kern w:val="0"/>
                <w:szCs w:val="21"/>
                <w:highlight w:val="none"/>
                <w:lang w:val="en-US" w:eastAsia="zh-CN"/>
              </w:rPr>
              <w:t>主要人员</w:t>
            </w:r>
            <w:r>
              <w:rPr>
                <w:rFonts w:hint="eastAsia" w:ascii="仿宋" w:hAnsi="仿宋" w:eastAsia="仿宋" w:cs="仿宋"/>
                <w:color w:val="auto"/>
                <w:spacing w:val="1"/>
                <w:kern w:val="0"/>
                <w:szCs w:val="21"/>
                <w:highlight w:val="none"/>
              </w:rPr>
              <w:t>资格与业绩</w:t>
            </w:r>
          </w:p>
        </w:tc>
        <w:tc>
          <w:tcPr>
            <w:tcW w:w="798" w:type="dxa"/>
            <w:vMerge w:val="restart"/>
            <w:tcBorders>
              <w:tl2br w:val="nil"/>
              <w:tr2bl w:val="nil"/>
            </w:tcBorders>
            <w:vAlign w:val="center"/>
          </w:tcPr>
          <w:p w14:paraId="37AFB90D">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35分</w:t>
            </w:r>
          </w:p>
        </w:tc>
        <w:tc>
          <w:tcPr>
            <w:tcW w:w="4502" w:type="dxa"/>
            <w:tcBorders>
              <w:tl2br w:val="nil"/>
              <w:tr2bl w:val="nil"/>
            </w:tcBorders>
            <w:vAlign w:val="center"/>
          </w:tcPr>
          <w:p w14:paraId="7A58A38C">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rPr>
              <w:t>满足资格审查</w:t>
            </w:r>
            <w:r>
              <w:rPr>
                <w:rFonts w:hint="eastAsia" w:ascii="仿宋" w:hAnsi="仿宋" w:eastAsia="仿宋" w:cs="仿宋"/>
                <w:color w:val="auto"/>
                <w:kern w:val="0"/>
                <w:szCs w:val="21"/>
                <w:lang w:val="en-US" w:eastAsia="zh-CN"/>
              </w:rPr>
              <w:t>条件的要求</w:t>
            </w:r>
            <w:r>
              <w:rPr>
                <w:rFonts w:hint="eastAsia" w:ascii="仿宋" w:hAnsi="仿宋" w:eastAsia="仿宋" w:cs="仿宋"/>
                <w:color w:val="auto"/>
                <w:kern w:val="0"/>
                <w:szCs w:val="21"/>
              </w:rPr>
              <w:t>得</w:t>
            </w:r>
            <w:r>
              <w:rPr>
                <w:rFonts w:hint="eastAsia" w:ascii="仿宋" w:hAnsi="仿宋" w:eastAsia="仿宋" w:cs="仿宋"/>
                <w:color w:val="auto"/>
                <w:kern w:val="0"/>
                <w:szCs w:val="21"/>
                <w:lang w:val="en-US" w:eastAsia="zh-CN"/>
              </w:rPr>
              <w:t>21</w:t>
            </w:r>
            <w:r>
              <w:rPr>
                <w:rFonts w:hint="eastAsia" w:ascii="仿宋" w:hAnsi="仿宋" w:eastAsia="仿宋" w:cs="仿宋"/>
                <w:color w:val="auto"/>
                <w:kern w:val="0"/>
                <w:szCs w:val="21"/>
              </w:rPr>
              <w:t>分；</w:t>
            </w:r>
          </w:p>
        </w:tc>
      </w:tr>
      <w:tr w14:paraId="3ACBC6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34" w:hRule="atLeast"/>
          <w:jc w:val="center"/>
        </w:trPr>
        <w:tc>
          <w:tcPr>
            <w:tcW w:w="1129" w:type="dxa"/>
            <w:vMerge w:val="continue"/>
            <w:tcBorders>
              <w:tl2br w:val="nil"/>
              <w:tr2bl w:val="nil"/>
            </w:tcBorders>
            <w:vAlign w:val="center"/>
          </w:tcPr>
          <w:p w14:paraId="18B19F11">
            <w:pPr>
              <w:autoSpaceDE w:val="0"/>
              <w:autoSpaceDN w:val="0"/>
              <w:adjustRightInd w:val="0"/>
              <w:spacing w:line="300" w:lineRule="exact"/>
              <w:ind w:left="105" w:leftChars="50" w:right="105" w:rightChars="50"/>
              <w:jc w:val="center"/>
              <w:rPr>
                <w:rFonts w:hint="eastAsia" w:ascii="仿宋" w:hAnsi="仿宋" w:eastAsia="仿宋" w:cs="仿宋"/>
                <w:b/>
                <w:color w:val="auto"/>
                <w:spacing w:val="1"/>
                <w:kern w:val="0"/>
                <w:szCs w:val="21"/>
                <w:highlight w:val="none"/>
              </w:rPr>
            </w:pPr>
          </w:p>
        </w:tc>
        <w:tc>
          <w:tcPr>
            <w:tcW w:w="1334" w:type="dxa"/>
            <w:gridSpan w:val="2"/>
            <w:vMerge w:val="continue"/>
            <w:tcBorders>
              <w:tl2br w:val="nil"/>
              <w:tr2bl w:val="nil"/>
            </w:tcBorders>
            <w:vAlign w:val="center"/>
          </w:tcPr>
          <w:p w14:paraId="153713A9">
            <w:pPr>
              <w:autoSpaceDE w:val="0"/>
              <w:autoSpaceDN w:val="0"/>
              <w:adjustRightInd w:val="0"/>
              <w:spacing w:line="300" w:lineRule="exact"/>
              <w:ind w:left="105" w:leftChars="50" w:right="105" w:rightChars="50"/>
              <w:jc w:val="center"/>
              <w:rPr>
                <w:rFonts w:hint="eastAsia" w:ascii="仿宋" w:hAnsi="仿宋" w:eastAsia="仿宋" w:cs="仿宋"/>
                <w:color w:val="auto"/>
                <w:kern w:val="0"/>
                <w:szCs w:val="21"/>
                <w:highlight w:val="none"/>
              </w:rPr>
            </w:pPr>
          </w:p>
        </w:tc>
        <w:tc>
          <w:tcPr>
            <w:tcW w:w="1158" w:type="dxa"/>
            <w:vMerge w:val="continue"/>
            <w:tcBorders>
              <w:tl2br w:val="nil"/>
              <w:tr2bl w:val="nil"/>
            </w:tcBorders>
            <w:vAlign w:val="center"/>
          </w:tcPr>
          <w:p w14:paraId="210729D1">
            <w:pPr>
              <w:tabs>
                <w:tab w:val="left" w:pos="520"/>
              </w:tabs>
              <w:autoSpaceDE w:val="0"/>
              <w:autoSpaceDN w:val="0"/>
              <w:adjustRightInd w:val="0"/>
              <w:spacing w:line="300" w:lineRule="exact"/>
              <w:ind w:left="105" w:leftChars="50" w:right="105" w:rightChars="50"/>
              <w:jc w:val="center"/>
              <w:rPr>
                <w:rFonts w:hint="eastAsia" w:ascii="仿宋" w:hAnsi="仿宋" w:eastAsia="仿宋" w:cs="仿宋"/>
                <w:color w:val="auto"/>
                <w:kern w:val="0"/>
                <w:szCs w:val="21"/>
                <w:highlight w:val="none"/>
              </w:rPr>
            </w:pPr>
          </w:p>
        </w:tc>
        <w:tc>
          <w:tcPr>
            <w:tcW w:w="1487" w:type="dxa"/>
            <w:vMerge w:val="continue"/>
            <w:tcBorders>
              <w:tl2br w:val="nil"/>
              <w:tr2bl w:val="nil"/>
            </w:tcBorders>
            <w:vAlign w:val="center"/>
          </w:tcPr>
          <w:p w14:paraId="23F79038">
            <w:pPr>
              <w:tabs>
                <w:tab w:val="left" w:pos="520"/>
              </w:tabs>
              <w:autoSpaceDE w:val="0"/>
              <w:autoSpaceDN w:val="0"/>
              <w:adjustRightInd w:val="0"/>
              <w:spacing w:line="300" w:lineRule="exact"/>
              <w:ind w:left="105" w:leftChars="50" w:right="105" w:rightChars="50"/>
              <w:jc w:val="center"/>
              <w:rPr>
                <w:rFonts w:hint="eastAsia" w:ascii="仿宋" w:hAnsi="仿宋" w:eastAsia="仿宋" w:cs="仿宋"/>
                <w:color w:val="auto"/>
                <w:kern w:val="0"/>
                <w:szCs w:val="21"/>
                <w:highlight w:val="none"/>
              </w:rPr>
            </w:pPr>
          </w:p>
        </w:tc>
        <w:tc>
          <w:tcPr>
            <w:tcW w:w="798" w:type="dxa"/>
            <w:vMerge w:val="continue"/>
            <w:tcBorders>
              <w:tl2br w:val="nil"/>
              <w:tr2bl w:val="nil"/>
            </w:tcBorders>
            <w:vAlign w:val="center"/>
          </w:tcPr>
          <w:p w14:paraId="7CA5C326">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eastAsia" w:ascii="仿宋" w:hAnsi="仿宋" w:eastAsia="仿宋" w:cs="仿宋"/>
                <w:color w:val="auto"/>
                <w:kern w:val="0"/>
                <w:szCs w:val="21"/>
                <w:lang w:val="en-US" w:eastAsia="zh-CN"/>
              </w:rPr>
            </w:pPr>
          </w:p>
        </w:tc>
        <w:tc>
          <w:tcPr>
            <w:tcW w:w="4502" w:type="dxa"/>
            <w:tcBorders>
              <w:tl2br w:val="nil"/>
              <w:tr2bl w:val="nil"/>
            </w:tcBorders>
            <w:vAlign w:val="center"/>
          </w:tcPr>
          <w:p w14:paraId="285C631B">
            <w:pPr>
              <w:keepNext w:val="0"/>
              <w:keepLines w:val="0"/>
              <w:pageBreakBefore w:val="0"/>
              <w:widowControl w:val="0"/>
              <w:kinsoku/>
              <w:wordWrap/>
              <w:overflowPunct/>
              <w:topLinePunct w:val="0"/>
              <w:autoSpaceDE w:val="0"/>
              <w:autoSpaceDN w:val="0"/>
              <w:bidi w:val="0"/>
              <w:adjustRightInd w:val="0"/>
              <w:snapToGrid/>
              <w:spacing w:line="300" w:lineRule="exact"/>
              <w:ind w:left="105" w:leftChars="50" w:right="0" w:rightChars="0"/>
              <w:jc w:val="both"/>
              <w:textAlignment w:val="auto"/>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作</w:t>
            </w:r>
            <w:r>
              <w:rPr>
                <w:rFonts w:hint="eastAsia" w:ascii="仿宋" w:hAnsi="仿宋" w:eastAsia="仿宋" w:cs="仿宋"/>
                <w:color w:val="auto"/>
                <w:kern w:val="0"/>
                <w:szCs w:val="21"/>
                <w:highlight w:val="none"/>
                <w:lang w:val="en-US" w:eastAsia="zh-CN"/>
              </w:rPr>
              <w:t>为总监理工程师或副总监理工程师，每增加1项高速公路养护工程施工监理业绩加7分，本项最高加14分。</w:t>
            </w:r>
          </w:p>
        </w:tc>
      </w:tr>
      <w:tr w14:paraId="6E40B2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72" w:hRule="atLeast"/>
          <w:jc w:val="center"/>
        </w:trPr>
        <w:tc>
          <w:tcPr>
            <w:tcW w:w="1129" w:type="dxa"/>
            <w:tcBorders>
              <w:tl2br w:val="nil"/>
              <w:tr2bl w:val="nil"/>
            </w:tcBorders>
            <w:vAlign w:val="center"/>
          </w:tcPr>
          <w:p w14:paraId="0F699A92">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rPr>
              <w:t>2.2.4</w:t>
            </w:r>
          </w:p>
          <w:p w14:paraId="1E133C20">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lang w:eastAsia="zh-CN"/>
              </w:rPr>
            </w:pPr>
            <w:r>
              <w:rPr>
                <w:rFonts w:hint="eastAsia" w:ascii="仿宋" w:hAnsi="仿宋" w:eastAsia="仿宋" w:cs="仿宋"/>
                <w:b w:val="0"/>
                <w:bCs/>
                <w:color w:val="auto"/>
                <w:spacing w:val="1"/>
                <w:kern w:val="0"/>
                <w:szCs w:val="21"/>
                <w:lang w:eastAsia="zh-CN"/>
              </w:rPr>
              <w:t>（</w:t>
            </w:r>
            <w:r>
              <w:rPr>
                <w:rFonts w:hint="eastAsia" w:ascii="仿宋" w:hAnsi="仿宋" w:eastAsia="仿宋" w:cs="仿宋"/>
                <w:b w:val="0"/>
                <w:bCs/>
                <w:color w:val="auto"/>
                <w:spacing w:val="1"/>
                <w:kern w:val="0"/>
                <w:szCs w:val="21"/>
              </w:rPr>
              <w:t>3</w:t>
            </w:r>
            <w:r>
              <w:rPr>
                <w:rFonts w:hint="eastAsia" w:ascii="仿宋" w:hAnsi="仿宋" w:eastAsia="仿宋" w:cs="仿宋"/>
                <w:b w:val="0"/>
                <w:bCs/>
                <w:color w:val="auto"/>
                <w:spacing w:val="1"/>
                <w:kern w:val="0"/>
                <w:szCs w:val="21"/>
                <w:lang w:eastAsia="zh-CN"/>
              </w:rPr>
              <w:t>）</w:t>
            </w:r>
          </w:p>
        </w:tc>
        <w:tc>
          <w:tcPr>
            <w:tcW w:w="1334" w:type="dxa"/>
            <w:gridSpan w:val="2"/>
            <w:tcBorders>
              <w:tl2br w:val="nil"/>
              <w:tr2bl w:val="nil"/>
            </w:tcBorders>
            <w:vAlign w:val="center"/>
          </w:tcPr>
          <w:p w14:paraId="3C3125DD">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rPr>
              <w:t>评标价</w:t>
            </w:r>
          </w:p>
        </w:tc>
        <w:tc>
          <w:tcPr>
            <w:tcW w:w="1158" w:type="dxa"/>
            <w:tcBorders>
              <w:tl2br w:val="nil"/>
              <w:tr2bl w:val="nil"/>
            </w:tcBorders>
            <w:vAlign w:val="center"/>
          </w:tcPr>
          <w:p w14:paraId="303452F4">
            <w:pPr>
              <w:tabs>
                <w:tab w:val="left" w:pos="660"/>
              </w:tabs>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rPr>
              <w:t>10分</w:t>
            </w:r>
          </w:p>
        </w:tc>
        <w:tc>
          <w:tcPr>
            <w:tcW w:w="1487" w:type="dxa"/>
            <w:tcBorders>
              <w:tl2br w:val="nil"/>
              <w:tr2bl w:val="nil"/>
            </w:tcBorders>
            <w:vAlign w:val="center"/>
          </w:tcPr>
          <w:p w14:paraId="74A561D6">
            <w:pPr>
              <w:tabs>
                <w:tab w:val="left" w:pos="660"/>
              </w:tabs>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rPr>
              <w:t>/</w:t>
            </w:r>
          </w:p>
        </w:tc>
        <w:tc>
          <w:tcPr>
            <w:tcW w:w="798" w:type="dxa"/>
            <w:tcBorders>
              <w:tl2br w:val="nil"/>
              <w:tr2bl w:val="nil"/>
            </w:tcBorders>
            <w:vAlign w:val="center"/>
          </w:tcPr>
          <w:p w14:paraId="21AFCF82">
            <w:pPr>
              <w:tabs>
                <w:tab w:val="left" w:pos="660"/>
              </w:tabs>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rPr>
              <w:t>/</w:t>
            </w:r>
          </w:p>
        </w:tc>
        <w:tc>
          <w:tcPr>
            <w:tcW w:w="4502" w:type="dxa"/>
            <w:tcBorders>
              <w:tl2br w:val="nil"/>
              <w:tr2bl w:val="nil"/>
            </w:tcBorders>
            <w:vAlign w:val="center"/>
          </w:tcPr>
          <w:p w14:paraId="34EE4FB8">
            <w:pPr>
              <w:keepNext w:val="0"/>
              <w:keepLines w:val="0"/>
              <w:pageBreakBefore w:val="0"/>
              <w:widowControl w:val="0"/>
              <w:kinsoku/>
              <w:wordWrap/>
              <w:overflowPunct/>
              <w:topLinePunct w:val="0"/>
              <w:bidi w:val="0"/>
              <w:snapToGrid/>
              <w:spacing w:line="360" w:lineRule="exact"/>
              <w:ind w:left="113" w:right="113"/>
              <w:jc w:val="both"/>
              <w:textAlignment w:val="auto"/>
              <w:rPr>
                <w:rFonts w:hint="eastAsia" w:ascii="仿宋" w:hAnsi="仿宋" w:eastAsia="仿宋" w:cs="仿宋"/>
                <w:b/>
                <w:bCs/>
                <w:color w:val="auto"/>
                <w:szCs w:val="21"/>
              </w:rPr>
            </w:pPr>
            <w:r>
              <w:rPr>
                <w:rFonts w:hint="eastAsia" w:ascii="仿宋" w:hAnsi="仿宋" w:eastAsia="仿宋" w:cs="仿宋"/>
                <w:b/>
                <w:bCs/>
                <w:color w:val="auto"/>
                <w:szCs w:val="21"/>
              </w:rPr>
              <w:t>评标价得分计算公式示例：</w:t>
            </w:r>
          </w:p>
          <w:p w14:paraId="60816D2D">
            <w:pPr>
              <w:keepNext w:val="0"/>
              <w:keepLines w:val="0"/>
              <w:pageBreakBefore w:val="0"/>
              <w:widowControl w:val="0"/>
              <w:kinsoku/>
              <w:wordWrap/>
              <w:overflowPunct/>
              <w:topLinePunct w:val="0"/>
              <w:bidi w:val="0"/>
              <w:snapToGrid/>
              <w:spacing w:line="360" w:lineRule="exact"/>
              <w:ind w:left="113" w:right="113"/>
              <w:jc w:val="both"/>
              <w:textAlignment w:val="auto"/>
              <w:rPr>
                <w:rFonts w:hint="eastAsia" w:ascii="仿宋" w:hAnsi="仿宋" w:eastAsia="仿宋" w:cs="仿宋"/>
                <w:bCs/>
                <w:color w:val="auto"/>
                <w:szCs w:val="21"/>
              </w:rPr>
            </w:pPr>
            <w:r>
              <w:rPr>
                <w:rFonts w:hint="eastAsia" w:ascii="仿宋" w:hAnsi="仿宋" w:eastAsia="仿宋" w:cs="仿宋"/>
                <w:bCs/>
                <w:color w:val="auto"/>
                <w:szCs w:val="21"/>
              </w:rPr>
              <w:t>（1）如果投标人的评标价＞评标基准价，则评标价得分=10-偏差率×100×E1；</w:t>
            </w:r>
          </w:p>
          <w:p w14:paraId="2FED69D8">
            <w:pPr>
              <w:keepNext w:val="0"/>
              <w:keepLines w:val="0"/>
              <w:pageBreakBefore w:val="0"/>
              <w:widowControl w:val="0"/>
              <w:kinsoku/>
              <w:wordWrap/>
              <w:overflowPunct/>
              <w:topLinePunct w:val="0"/>
              <w:bidi w:val="0"/>
              <w:snapToGrid/>
              <w:spacing w:line="360" w:lineRule="exact"/>
              <w:ind w:left="113" w:right="113"/>
              <w:jc w:val="both"/>
              <w:textAlignment w:val="auto"/>
              <w:rPr>
                <w:rFonts w:hint="eastAsia" w:ascii="仿宋" w:hAnsi="仿宋" w:eastAsia="仿宋" w:cs="仿宋"/>
                <w:bCs/>
                <w:color w:val="auto"/>
                <w:szCs w:val="21"/>
              </w:rPr>
            </w:pPr>
            <w:r>
              <w:rPr>
                <w:rFonts w:hint="eastAsia" w:ascii="仿宋" w:hAnsi="仿宋" w:eastAsia="仿宋" w:cs="仿宋"/>
                <w:bCs/>
                <w:color w:val="auto"/>
                <w:szCs w:val="21"/>
              </w:rPr>
              <w:t>（2）如果投标人的评标价≤评标基准价，则评标价得分=10</w:t>
            </w:r>
            <w:r>
              <w:rPr>
                <w:rFonts w:hint="eastAsia" w:ascii="仿宋" w:hAnsi="仿宋" w:eastAsia="仿宋" w:cs="仿宋"/>
                <w:bCs/>
                <w:color w:val="auto"/>
                <w:szCs w:val="21"/>
                <w:lang w:val="en-US" w:eastAsia="zh-CN"/>
              </w:rPr>
              <w:t>+</w:t>
            </w:r>
            <w:r>
              <w:rPr>
                <w:rFonts w:hint="eastAsia" w:ascii="仿宋" w:hAnsi="仿宋" w:eastAsia="仿宋" w:cs="仿宋"/>
                <w:bCs/>
                <w:color w:val="auto"/>
                <w:szCs w:val="21"/>
              </w:rPr>
              <w:t>偏差率×100×E2；</w:t>
            </w:r>
          </w:p>
          <w:p w14:paraId="4AA65776">
            <w:pPr>
              <w:keepNext w:val="0"/>
              <w:keepLines w:val="0"/>
              <w:pageBreakBefore w:val="0"/>
              <w:widowControl w:val="0"/>
              <w:kinsoku/>
              <w:wordWrap/>
              <w:overflowPunct/>
              <w:topLinePunct w:val="0"/>
              <w:autoSpaceDE w:val="0"/>
              <w:autoSpaceDN w:val="0"/>
              <w:bidi w:val="0"/>
              <w:adjustRightInd w:val="0"/>
              <w:snapToGrid/>
              <w:spacing w:line="360" w:lineRule="exact"/>
              <w:ind w:left="105" w:leftChars="50" w:right="105" w:rightChars="50"/>
              <w:jc w:val="both"/>
              <w:textAlignment w:val="auto"/>
              <w:rPr>
                <w:rFonts w:hint="eastAsia" w:ascii="仿宋" w:hAnsi="仿宋" w:eastAsia="仿宋" w:cs="仿宋"/>
                <w:color w:val="auto"/>
                <w:kern w:val="0"/>
                <w:szCs w:val="21"/>
              </w:rPr>
            </w:pPr>
            <w:r>
              <w:rPr>
                <w:rFonts w:hint="eastAsia" w:ascii="仿宋" w:hAnsi="仿宋" w:eastAsia="仿宋" w:cs="仿宋"/>
                <w:color w:val="auto"/>
                <w:kern w:val="0"/>
                <w:szCs w:val="21"/>
                <w:lang w:val="en-US"/>
              </w:rPr>
              <w:t>其中：E1=</w:t>
            </w:r>
            <w:r>
              <w:rPr>
                <w:rFonts w:hint="eastAsia" w:ascii="仿宋" w:hAnsi="仿宋" w:eastAsia="仿宋" w:cs="仿宋"/>
                <w:color w:val="auto"/>
                <w:kern w:val="0"/>
                <w:szCs w:val="21"/>
                <w:lang w:val="en-US" w:eastAsia="zh-CN"/>
              </w:rPr>
              <w:t>0.1</w:t>
            </w:r>
            <w:r>
              <w:rPr>
                <w:rFonts w:hint="eastAsia" w:ascii="仿宋" w:hAnsi="仿宋" w:eastAsia="仿宋" w:cs="仿宋"/>
                <w:color w:val="auto"/>
                <w:kern w:val="0"/>
                <w:szCs w:val="21"/>
                <w:lang w:val="en-US"/>
              </w:rPr>
              <w:t>，E2=0</w:t>
            </w:r>
            <w:r>
              <w:rPr>
                <w:rFonts w:hint="eastAsia" w:ascii="仿宋" w:hAnsi="仿宋" w:eastAsia="仿宋" w:cs="仿宋"/>
                <w:color w:val="auto"/>
                <w:kern w:val="0"/>
                <w:szCs w:val="21"/>
                <w:lang w:val="en-US" w:eastAsia="zh-CN"/>
              </w:rPr>
              <w:t>.0</w:t>
            </w:r>
            <w:r>
              <w:rPr>
                <w:rFonts w:hint="eastAsia" w:ascii="仿宋" w:hAnsi="仿宋" w:eastAsia="仿宋" w:cs="仿宋"/>
                <w:color w:val="auto"/>
                <w:kern w:val="0"/>
                <w:szCs w:val="21"/>
                <w:lang w:val="en-US"/>
              </w:rPr>
              <w:t>5。E1是评标价每高于评标基准价一个百分点的扣分值；E2是评标价每低于评标基准价一个百分点的扣分值。中间值按比例内插，四舍五入，保留三位小数。评标价最高得分为10分，最低得分为0分。</w:t>
            </w:r>
          </w:p>
        </w:tc>
      </w:tr>
      <w:tr w14:paraId="040B9F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1129" w:type="dxa"/>
            <w:vMerge w:val="restart"/>
            <w:tcBorders>
              <w:tl2br w:val="nil"/>
              <w:tr2bl w:val="nil"/>
            </w:tcBorders>
            <w:vAlign w:val="center"/>
          </w:tcPr>
          <w:p w14:paraId="706D13DF">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rPr>
              <w:t>2.2.4</w:t>
            </w:r>
          </w:p>
          <w:p w14:paraId="4C262361">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lang w:eastAsia="zh-CN"/>
              </w:rPr>
            </w:pPr>
            <w:r>
              <w:rPr>
                <w:rFonts w:hint="eastAsia" w:ascii="仿宋" w:hAnsi="仿宋" w:eastAsia="仿宋" w:cs="仿宋"/>
                <w:b w:val="0"/>
                <w:bCs/>
                <w:color w:val="auto"/>
                <w:spacing w:val="1"/>
                <w:kern w:val="0"/>
                <w:szCs w:val="21"/>
                <w:lang w:eastAsia="zh-CN"/>
              </w:rPr>
              <w:t>（</w:t>
            </w:r>
            <w:r>
              <w:rPr>
                <w:rFonts w:hint="eastAsia" w:ascii="仿宋" w:hAnsi="仿宋" w:eastAsia="仿宋" w:cs="仿宋"/>
                <w:b w:val="0"/>
                <w:bCs/>
                <w:color w:val="auto"/>
                <w:spacing w:val="1"/>
                <w:kern w:val="0"/>
                <w:szCs w:val="21"/>
              </w:rPr>
              <w:t>4</w:t>
            </w:r>
            <w:r>
              <w:rPr>
                <w:rFonts w:hint="eastAsia" w:ascii="仿宋" w:hAnsi="仿宋" w:eastAsia="仿宋" w:cs="仿宋"/>
                <w:b w:val="0"/>
                <w:bCs/>
                <w:color w:val="auto"/>
                <w:spacing w:val="1"/>
                <w:kern w:val="0"/>
                <w:szCs w:val="21"/>
                <w:lang w:eastAsia="zh-CN"/>
              </w:rPr>
              <w:t>）</w:t>
            </w:r>
          </w:p>
        </w:tc>
        <w:tc>
          <w:tcPr>
            <w:tcW w:w="667" w:type="dxa"/>
            <w:vMerge w:val="restart"/>
            <w:tcBorders>
              <w:tl2br w:val="nil"/>
              <w:tr2bl w:val="nil"/>
            </w:tcBorders>
            <w:vAlign w:val="center"/>
          </w:tcPr>
          <w:p w14:paraId="36A5AEA6">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lang w:eastAsia="zh-CN"/>
              </w:rPr>
            </w:pPr>
            <w:r>
              <w:rPr>
                <w:rFonts w:hint="eastAsia" w:ascii="仿宋" w:hAnsi="仿宋" w:eastAsia="仿宋" w:cs="仿宋"/>
                <w:b w:val="0"/>
                <w:bCs/>
                <w:color w:val="auto"/>
                <w:spacing w:val="1"/>
                <w:kern w:val="0"/>
                <w:szCs w:val="21"/>
                <w:lang w:val="en-US" w:eastAsia="zh-CN"/>
              </w:rPr>
              <w:t>其他因素</w:t>
            </w:r>
          </w:p>
        </w:tc>
        <w:tc>
          <w:tcPr>
            <w:tcW w:w="667" w:type="dxa"/>
            <w:vMerge w:val="restart"/>
            <w:tcBorders>
              <w:tl2br w:val="nil"/>
              <w:tr2bl w:val="nil"/>
            </w:tcBorders>
            <w:vAlign w:val="center"/>
          </w:tcPr>
          <w:p w14:paraId="7BD02C3E">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lang w:val="en-US" w:eastAsia="zh-CN"/>
              </w:rPr>
            </w:pPr>
            <w:r>
              <w:rPr>
                <w:rFonts w:hint="eastAsia" w:ascii="仿宋" w:hAnsi="仿宋" w:eastAsia="仿宋" w:cs="仿宋"/>
                <w:b w:val="0"/>
                <w:bCs/>
                <w:color w:val="auto"/>
                <w:spacing w:val="1"/>
                <w:kern w:val="0"/>
                <w:szCs w:val="21"/>
                <w:lang w:val="en-US" w:eastAsia="zh-CN"/>
              </w:rPr>
              <w:t>业绩</w:t>
            </w:r>
          </w:p>
        </w:tc>
        <w:tc>
          <w:tcPr>
            <w:tcW w:w="1158" w:type="dxa"/>
            <w:vMerge w:val="restart"/>
            <w:tcBorders>
              <w:tl2br w:val="nil"/>
              <w:tr2bl w:val="nil"/>
            </w:tcBorders>
            <w:vAlign w:val="center"/>
          </w:tcPr>
          <w:p w14:paraId="648D9ECD">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lang w:val="en-US" w:eastAsia="zh-CN"/>
              </w:rPr>
              <w:t>35</w:t>
            </w:r>
            <w:r>
              <w:rPr>
                <w:rFonts w:hint="eastAsia" w:ascii="仿宋" w:hAnsi="仿宋" w:eastAsia="仿宋" w:cs="仿宋"/>
                <w:b w:val="0"/>
                <w:bCs/>
                <w:color w:val="auto"/>
                <w:spacing w:val="1"/>
                <w:kern w:val="0"/>
                <w:szCs w:val="21"/>
              </w:rPr>
              <w:t>分</w:t>
            </w:r>
          </w:p>
        </w:tc>
        <w:tc>
          <w:tcPr>
            <w:tcW w:w="1487" w:type="dxa"/>
            <w:vMerge w:val="restart"/>
            <w:tcBorders>
              <w:tl2br w:val="nil"/>
              <w:tr2bl w:val="nil"/>
            </w:tcBorders>
            <w:vAlign w:val="center"/>
          </w:tcPr>
          <w:p w14:paraId="3F5B5A7E">
            <w:pPr>
              <w:autoSpaceDE w:val="0"/>
              <w:autoSpaceDN w:val="0"/>
              <w:adjustRightInd w:val="0"/>
              <w:spacing w:line="300" w:lineRule="exact"/>
              <w:ind w:right="105" w:rightChars="50"/>
              <w:jc w:val="center"/>
              <w:rPr>
                <w:rFonts w:hint="eastAsia" w:ascii="仿宋" w:hAnsi="仿宋" w:eastAsia="仿宋" w:cs="仿宋"/>
                <w:b w:val="0"/>
                <w:bCs/>
                <w:color w:val="auto"/>
                <w:spacing w:val="1"/>
                <w:kern w:val="0"/>
                <w:szCs w:val="21"/>
                <w:lang w:val="en-US" w:eastAsia="zh-CN"/>
              </w:rPr>
            </w:pPr>
            <w:r>
              <w:rPr>
                <w:rFonts w:hint="eastAsia" w:ascii="仿宋" w:hAnsi="仿宋" w:eastAsia="仿宋" w:cs="仿宋"/>
                <w:b w:val="0"/>
                <w:bCs/>
                <w:color w:val="auto"/>
                <w:spacing w:val="1"/>
                <w:kern w:val="0"/>
                <w:szCs w:val="21"/>
                <w:lang w:val="en-US" w:eastAsia="zh-CN"/>
              </w:rPr>
              <w:t>----</w:t>
            </w:r>
          </w:p>
        </w:tc>
        <w:tc>
          <w:tcPr>
            <w:tcW w:w="798" w:type="dxa"/>
            <w:vMerge w:val="restart"/>
            <w:tcBorders>
              <w:tl2br w:val="nil"/>
              <w:tr2bl w:val="nil"/>
            </w:tcBorders>
            <w:vAlign w:val="center"/>
          </w:tcPr>
          <w:p w14:paraId="08F448FF">
            <w:pPr>
              <w:autoSpaceDE w:val="0"/>
              <w:autoSpaceDN w:val="0"/>
              <w:adjustRightInd w:val="0"/>
              <w:spacing w:line="300" w:lineRule="exact"/>
              <w:ind w:right="105" w:rightChars="50"/>
              <w:jc w:val="center"/>
              <w:rPr>
                <w:rFonts w:hint="eastAsia" w:ascii="仿宋" w:hAnsi="仿宋" w:eastAsia="仿宋" w:cs="仿宋"/>
                <w:b w:val="0"/>
                <w:bCs/>
                <w:color w:val="auto"/>
                <w:spacing w:val="1"/>
                <w:kern w:val="0"/>
                <w:szCs w:val="21"/>
                <w:lang w:val="en-US" w:eastAsia="zh-CN"/>
              </w:rPr>
            </w:pPr>
            <w:r>
              <w:rPr>
                <w:rFonts w:hint="eastAsia" w:ascii="仿宋" w:hAnsi="仿宋" w:eastAsia="仿宋" w:cs="仿宋"/>
                <w:b w:val="0"/>
                <w:bCs/>
                <w:color w:val="auto"/>
                <w:spacing w:val="1"/>
                <w:kern w:val="0"/>
                <w:szCs w:val="21"/>
                <w:lang w:val="en-US" w:eastAsia="zh-CN"/>
              </w:rPr>
              <w:t>--</w:t>
            </w:r>
          </w:p>
        </w:tc>
        <w:tc>
          <w:tcPr>
            <w:tcW w:w="4502" w:type="dxa"/>
            <w:tcBorders>
              <w:tl2br w:val="nil"/>
              <w:tr2bl w:val="nil"/>
            </w:tcBorders>
            <w:vAlign w:val="center"/>
          </w:tcPr>
          <w:p w14:paraId="22BBB9B2">
            <w:pPr>
              <w:keepNext w:val="0"/>
              <w:keepLines w:val="0"/>
              <w:pageBreakBefore w:val="0"/>
              <w:widowControl w:val="0"/>
              <w:kinsoku/>
              <w:wordWrap/>
              <w:overflowPunct/>
              <w:topLinePunct w:val="0"/>
              <w:bidi w:val="0"/>
              <w:snapToGrid/>
              <w:spacing w:line="360" w:lineRule="exact"/>
              <w:ind w:left="113" w:leftChars="0" w:right="113" w:rightChars="0"/>
              <w:jc w:val="both"/>
              <w:textAlignment w:val="auto"/>
              <w:rPr>
                <w:rFonts w:hint="eastAsia" w:ascii="仿宋" w:hAnsi="仿宋" w:eastAsia="仿宋" w:cs="仿宋"/>
                <w:bCs/>
                <w:color w:val="auto"/>
                <w:szCs w:val="21"/>
              </w:rPr>
            </w:pPr>
            <w:r>
              <w:rPr>
                <w:rFonts w:hint="eastAsia" w:ascii="仿宋" w:hAnsi="仿宋" w:eastAsia="仿宋" w:cs="仿宋"/>
                <w:bCs/>
                <w:color w:val="auto"/>
                <w:szCs w:val="21"/>
              </w:rPr>
              <w:t>业绩满足资格审查要求得</w:t>
            </w:r>
            <w:r>
              <w:rPr>
                <w:rFonts w:hint="eastAsia" w:ascii="仿宋" w:hAnsi="仿宋" w:eastAsia="仿宋" w:cs="仿宋"/>
                <w:bCs/>
                <w:color w:val="auto"/>
                <w:szCs w:val="21"/>
                <w:lang w:val="en-US" w:eastAsia="zh-CN"/>
              </w:rPr>
              <w:t>21</w:t>
            </w:r>
            <w:r>
              <w:rPr>
                <w:rFonts w:hint="eastAsia" w:ascii="仿宋" w:hAnsi="仿宋" w:eastAsia="仿宋" w:cs="仿宋"/>
                <w:bCs/>
                <w:color w:val="auto"/>
                <w:szCs w:val="21"/>
              </w:rPr>
              <w:t>分；</w:t>
            </w:r>
          </w:p>
        </w:tc>
      </w:tr>
      <w:tr w14:paraId="1BB60E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15" w:hRule="atLeast"/>
          <w:jc w:val="center"/>
        </w:trPr>
        <w:tc>
          <w:tcPr>
            <w:tcW w:w="1129" w:type="dxa"/>
            <w:vMerge w:val="continue"/>
            <w:tcBorders>
              <w:tl2br w:val="nil"/>
              <w:tr2bl w:val="nil"/>
            </w:tcBorders>
            <w:vAlign w:val="center"/>
          </w:tcPr>
          <w:p w14:paraId="32777B37">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667" w:type="dxa"/>
            <w:vMerge w:val="continue"/>
            <w:tcBorders>
              <w:tl2br w:val="nil"/>
              <w:tr2bl w:val="nil"/>
            </w:tcBorders>
            <w:vAlign w:val="center"/>
          </w:tcPr>
          <w:p w14:paraId="5212671B">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667" w:type="dxa"/>
            <w:vMerge w:val="continue"/>
            <w:tcBorders>
              <w:tl2br w:val="nil"/>
              <w:tr2bl w:val="nil"/>
            </w:tcBorders>
            <w:vAlign w:val="center"/>
          </w:tcPr>
          <w:p w14:paraId="3FC63FE8">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1158" w:type="dxa"/>
            <w:vMerge w:val="continue"/>
            <w:tcBorders>
              <w:tl2br w:val="nil"/>
              <w:tr2bl w:val="nil"/>
            </w:tcBorders>
            <w:vAlign w:val="center"/>
          </w:tcPr>
          <w:p w14:paraId="6CF885A0">
            <w:pPr>
              <w:tabs>
                <w:tab w:val="left" w:pos="660"/>
              </w:tabs>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1487" w:type="dxa"/>
            <w:vMerge w:val="continue"/>
            <w:tcBorders>
              <w:tl2br w:val="nil"/>
              <w:tr2bl w:val="nil"/>
            </w:tcBorders>
            <w:vAlign w:val="center"/>
          </w:tcPr>
          <w:p w14:paraId="33B990E6">
            <w:pPr>
              <w:autoSpaceDE w:val="0"/>
              <w:autoSpaceDN w:val="0"/>
              <w:adjustRightInd w:val="0"/>
              <w:spacing w:line="300" w:lineRule="exact"/>
              <w:ind w:right="105" w:rightChars="50"/>
              <w:rPr>
                <w:rFonts w:hint="eastAsia" w:ascii="仿宋" w:hAnsi="仿宋" w:eastAsia="仿宋" w:cs="仿宋"/>
                <w:b w:val="0"/>
                <w:bCs/>
                <w:color w:val="auto"/>
                <w:spacing w:val="1"/>
                <w:kern w:val="0"/>
                <w:szCs w:val="21"/>
              </w:rPr>
            </w:pPr>
          </w:p>
        </w:tc>
        <w:tc>
          <w:tcPr>
            <w:tcW w:w="798" w:type="dxa"/>
            <w:vMerge w:val="continue"/>
            <w:tcBorders>
              <w:tl2br w:val="nil"/>
              <w:tr2bl w:val="nil"/>
            </w:tcBorders>
            <w:vAlign w:val="center"/>
          </w:tcPr>
          <w:p w14:paraId="1A9FB3A3">
            <w:pPr>
              <w:autoSpaceDE w:val="0"/>
              <w:autoSpaceDN w:val="0"/>
              <w:adjustRightInd w:val="0"/>
              <w:spacing w:line="300" w:lineRule="exact"/>
              <w:ind w:right="105" w:rightChars="50"/>
              <w:rPr>
                <w:rFonts w:hint="eastAsia" w:ascii="仿宋" w:hAnsi="仿宋" w:eastAsia="仿宋" w:cs="仿宋"/>
                <w:b w:val="0"/>
                <w:bCs/>
                <w:color w:val="auto"/>
                <w:spacing w:val="1"/>
                <w:kern w:val="0"/>
                <w:szCs w:val="21"/>
              </w:rPr>
            </w:pPr>
          </w:p>
        </w:tc>
        <w:tc>
          <w:tcPr>
            <w:tcW w:w="4502" w:type="dxa"/>
            <w:tcBorders>
              <w:tl2br w:val="nil"/>
              <w:tr2bl w:val="nil"/>
            </w:tcBorders>
            <w:vAlign w:val="center"/>
          </w:tcPr>
          <w:p w14:paraId="36B3300C">
            <w:pPr>
              <w:keepNext w:val="0"/>
              <w:keepLines w:val="0"/>
              <w:pageBreakBefore w:val="0"/>
              <w:widowControl w:val="0"/>
              <w:kinsoku/>
              <w:wordWrap/>
              <w:overflowPunct/>
              <w:topLinePunct w:val="0"/>
              <w:bidi w:val="0"/>
              <w:snapToGrid/>
              <w:spacing w:line="360" w:lineRule="exact"/>
              <w:ind w:left="113" w:leftChars="0" w:right="113" w:rightChars="0"/>
              <w:jc w:val="both"/>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投标人近五年内（</w:t>
            </w:r>
            <w:r>
              <w:rPr>
                <w:rFonts w:hint="eastAsia" w:ascii="仿宋" w:hAnsi="仿宋" w:eastAsia="仿宋" w:cs="仿宋"/>
                <w:bCs/>
                <w:color w:val="auto"/>
                <w:szCs w:val="21"/>
                <w:highlight w:val="none"/>
                <w:lang w:eastAsia="zh-CN"/>
              </w:rPr>
              <w:t>20</w:t>
            </w:r>
            <w:r>
              <w:rPr>
                <w:rFonts w:hint="eastAsia" w:ascii="仿宋" w:hAnsi="仿宋" w:eastAsia="仿宋" w:cs="仿宋"/>
                <w:bCs/>
                <w:color w:val="auto"/>
                <w:szCs w:val="21"/>
                <w:highlight w:val="none"/>
                <w:lang w:val="en-US" w:eastAsia="zh-CN"/>
              </w:rPr>
              <w:t>20</w:t>
            </w:r>
            <w:r>
              <w:rPr>
                <w:rFonts w:hint="eastAsia" w:ascii="仿宋" w:hAnsi="仿宋" w:eastAsia="仿宋" w:cs="仿宋"/>
                <w:bCs/>
                <w:color w:val="auto"/>
                <w:szCs w:val="21"/>
                <w:highlight w:val="none"/>
                <w:lang w:eastAsia="zh-CN"/>
              </w:rPr>
              <w:t>年</w:t>
            </w:r>
            <w:r>
              <w:rPr>
                <w:rFonts w:hint="eastAsia" w:ascii="仿宋" w:hAnsi="仿宋" w:eastAsia="仿宋" w:cs="仿宋"/>
                <w:bCs/>
                <w:color w:val="auto"/>
                <w:szCs w:val="21"/>
                <w:highlight w:val="none"/>
                <w:lang w:val="en-US" w:eastAsia="zh-CN"/>
              </w:rPr>
              <w:t>11月</w:t>
            </w:r>
            <w:r>
              <w:rPr>
                <w:rFonts w:hint="eastAsia" w:ascii="仿宋" w:hAnsi="仿宋" w:eastAsia="仿宋" w:cs="仿宋"/>
                <w:bCs/>
                <w:color w:val="auto"/>
                <w:szCs w:val="21"/>
                <w:highlight w:val="none"/>
              </w:rPr>
              <w:t>1日至投标文件递交截止日，以交工或竣工验收时间为准）每增加</w:t>
            </w:r>
            <w:r>
              <w:rPr>
                <w:rFonts w:hint="eastAsia" w:ascii="仿宋" w:hAnsi="仿宋" w:eastAsia="仿宋" w:cs="仿宋"/>
                <w:bCs/>
                <w:color w:val="auto"/>
                <w:szCs w:val="21"/>
                <w:highlight w:val="none"/>
                <w:lang w:val="en-US" w:eastAsia="zh-CN"/>
              </w:rPr>
              <w:t>1项高速公路养护工程监理业绩</w:t>
            </w:r>
            <w:r>
              <w:rPr>
                <w:rFonts w:hint="eastAsia" w:ascii="仿宋" w:hAnsi="仿宋" w:eastAsia="仿宋" w:cs="仿宋"/>
                <w:bCs/>
                <w:color w:val="auto"/>
                <w:szCs w:val="21"/>
                <w:highlight w:val="none"/>
              </w:rPr>
              <w:t>加</w:t>
            </w:r>
            <w:r>
              <w:rPr>
                <w:rFonts w:hint="eastAsia" w:ascii="仿宋" w:hAnsi="仿宋" w:eastAsia="仿宋" w:cs="仿宋"/>
                <w:bCs/>
                <w:color w:val="auto"/>
                <w:szCs w:val="21"/>
                <w:highlight w:val="none"/>
                <w:lang w:val="en-US" w:eastAsia="zh-CN"/>
              </w:rPr>
              <w:t>7</w:t>
            </w:r>
            <w:r>
              <w:rPr>
                <w:rFonts w:hint="eastAsia" w:ascii="仿宋" w:hAnsi="仿宋" w:eastAsia="仿宋" w:cs="仿宋"/>
                <w:bCs/>
                <w:color w:val="auto"/>
                <w:szCs w:val="21"/>
                <w:highlight w:val="none"/>
              </w:rPr>
              <w:t>分</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本项最高加</w:t>
            </w: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rPr>
              <w:t>分。</w:t>
            </w:r>
          </w:p>
          <w:p w14:paraId="6899011A">
            <w:pPr>
              <w:keepNext w:val="0"/>
              <w:keepLines w:val="0"/>
              <w:pageBreakBefore w:val="0"/>
              <w:widowControl w:val="0"/>
              <w:numPr>
                <w:ilvl w:val="0"/>
                <w:numId w:val="0"/>
              </w:numPr>
              <w:kinsoku/>
              <w:wordWrap/>
              <w:overflowPunct/>
              <w:topLinePunct w:val="0"/>
              <w:bidi w:val="0"/>
              <w:snapToGrid/>
              <w:spacing w:line="360" w:lineRule="exact"/>
              <w:ind w:left="0" w:leftChars="0" w:right="113" w:rightChars="0" w:firstLine="0" w:firstLineChars="0"/>
              <w:jc w:val="both"/>
              <w:textAlignment w:val="auto"/>
              <w:rPr>
                <w:rFonts w:hint="eastAsia" w:ascii="仿宋" w:hAnsi="仿宋" w:eastAsia="仿宋" w:cs="仿宋"/>
                <w:bCs/>
                <w:color w:val="auto"/>
                <w:szCs w:val="21"/>
              </w:rPr>
            </w:pPr>
            <w:r>
              <w:rPr>
                <w:rFonts w:hint="eastAsia" w:ascii="仿宋" w:hAnsi="仿宋" w:eastAsia="仿宋" w:cs="仿宋"/>
                <w:b/>
                <w:bCs w:val="0"/>
                <w:color w:val="auto"/>
                <w:sz w:val="16"/>
                <w:szCs w:val="16"/>
                <w:highlight w:val="none"/>
                <w:lang w:val="en-US" w:eastAsia="zh-CN"/>
              </w:rPr>
              <w:t>联合体投标的以联合体所有成员单位业绩数量之和计分；</w:t>
            </w:r>
          </w:p>
        </w:tc>
      </w:tr>
      <w:tr w14:paraId="318A52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1129" w:type="dxa"/>
            <w:vMerge w:val="continue"/>
            <w:tcBorders>
              <w:tl2br w:val="nil"/>
              <w:tr2bl w:val="nil"/>
            </w:tcBorders>
            <w:vAlign w:val="center"/>
          </w:tcPr>
          <w:p w14:paraId="6181AD06">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667" w:type="dxa"/>
            <w:vMerge w:val="continue"/>
            <w:tcBorders>
              <w:tl2br w:val="nil"/>
              <w:tr2bl w:val="nil"/>
            </w:tcBorders>
            <w:vAlign w:val="center"/>
          </w:tcPr>
          <w:p w14:paraId="376C1F8B">
            <w:pPr>
              <w:autoSpaceDE w:val="0"/>
              <w:autoSpaceDN w:val="0"/>
              <w:adjustRightInd w:val="0"/>
              <w:spacing w:line="300" w:lineRule="exact"/>
              <w:ind w:left="105" w:leftChars="50" w:right="105" w:rightChars="50"/>
              <w:jc w:val="center"/>
              <w:rPr>
                <w:rFonts w:hint="eastAsia" w:ascii="仿宋" w:hAnsi="仿宋" w:eastAsia="仿宋" w:cs="仿宋"/>
                <w:b w:val="0"/>
                <w:bCs/>
                <w:color w:val="auto"/>
                <w:spacing w:val="1"/>
                <w:kern w:val="0"/>
                <w:szCs w:val="21"/>
              </w:rPr>
            </w:pPr>
          </w:p>
        </w:tc>
        <w:tc>
          <w:tcPr>
            <w:tcW w:w="667" w:type="dxa"/>
            <w:tcBorders>
              <w:tl2br w:val="nil"/>
              <w:tr2bl w:val="nil"/>
            </w:tcBorders>
            <w:vAlign w:val="center"/>
          </w:tcPr>
          <w:p w14:paraId="1013454A">
            <w:pPr>
              <w:autoSpaceDE w:val="0"/>
              <w:autoSpaceDN w:val="0"/>
              <w:adjustRightInd w:val="0"/>
              <w:spacing w:line="300" w:lineRule="exact"/>
              <w:ind w:right="105" w:rightChars="50"/>
              <w:jc w:val="center"/>
              <w:rPr>
                <w:rFonts w:hint="eastAsia" w:ascii="仿宋" w:hAnsi="仿宋" w:eastAsia="仿宋" w:cs="仿宋"/>
                <w:b w:val="0"/>
                <w:bCs/>
                <w:color w:val="auto"/>
                <w:spacing w:val="1"/>
                <w:kern w:val="0"/>
                <w:szCs w:val="21"/>
              </w:rPr>
            </w:pPr>
            <w:r>
              <w:rPr>
                <w:rFonts w:hint="eastAsia" w:ascii="仿宋" w:hAnsi="仿宋" w:eastAsia="仿宋" w:cs="仿宋"/>
                <w:b w:val="0"/>
                <w:bCs/>
                <w:color w:val="auto"/>
                <w:spacing w:val="1"/>
                <w:kern w:val="0"/>
                <w:szCs w:val="21"/>
              </w:rPr>
              <w:t>履约信誉</w:t>
            </w:r>
          </w:p>
        </w:tc>
        <w:tc>
          <w:tcPr>
            <w:tcW w:w="1158" w:type="dxa"/>
            <w:tcBorders>
              <w:tl2br w:val="nil"/>
              <w:tr2bl w:val="nil"/>
            </w:tcBorders>
            <w:vAlign w:val="center"/>
          </w:tcPr>
          <w:p w14:paraId="614DA2CB">
            <w:pPr>
              <w:tabs>
                <w:tab w:val="left" w:pos="660"/>
              </w:tabs>
              <w:autoSpaceDE w:val="0"/>
              <w:autoSpaceDN w:val="0"/>
              <w:adjustRightInd w:val="0"/>
              <w:spacing w:line="300" w:lineRule="exact"/>
              <w:ind w:right="105" w:rightChars="50"/>
              <w:jc w:val="center"/>
              <w:rPr>
                <w:rFonts w:hint="eastAsia" w:ascii="仿宋" w:hAnsi="仿宋" w:eastAsia="仿宋" w:cs="仿宋"/>
                <w:b w:val="0"/>
                <w:bCs/>
                <w:color w:val="auto"/>
                <w:spacing w:val="1"/>
                <w:kern w:val="0"/>
                <w:szCs w:val="21"/>
                <w:lang w:val="en-US" w:eastAsia="zh-CN"/>
              </w:rPr>
            </w:pPr>
            <w:r>
              <w:rPr>
                <w:rFonts w:hint="eastAsia" w:ascii="仿宋" w:hAnsi="仿宋" w:eastAsia="仿宋" w:cs="仿宋"/>
                <w:b w:val="0"/>
                <w:bCs/>
                <w:color w:val="auto"/>
                <w:spacing w:val="1"/>
                <w:kern w:val="0"/>
                <w:szCs w:val="21"/>
                <w:lang w:val="en-US" w:eastAsia="zh-CN"/>
              </w:rPr>
              <w:t>10</w:t>
            </w:r>
            <w:r>
              <w:rPr>
                <w:rFonts w:hint="eastAsia" w:ascii="仿宋" w:hAnsi="仿宋" w:eastAsia="仿宋" w:cs="仿宋"/>
                <w:b w:val="0"/>
                <w:bCs/>
                <w:color w:val="auto"/>
                <w:spacing w:val="1"/>
                <w:kern w:val="0"/>
                <w:szCs w:val="21"/>
              </w:rPr>
              <w:t>分</w:t>
            </w:r>
          </w:p>
        </w:tc>
        <w:tc>
          <w:tcPr>
            <w:tcW w:w="1487" w:type="dxa"/>
            <w:tcBorders>
              <w:tl2br w:val="nil"/>
              <w:tr2bl w:val="nil"/>
            </w:tcBorders>
            <w:vAlign w:val="center"/>
          </w:tcPr>
          <w:p w14:paraId="3E5BF43A">
            <w:pPr>
              <w:autoSpaceDE w:val="0"/>
              <w:autoSpaceDN w:val="0"/>
              <w:adjustRightInd w:val="0"/>
              <w:spacing w:line="300" w:lineRule="exact"/>
              <w:ind w:right="105" w:rightChars="50"/>
              <w:jc w:val="center"/>
              <w:rPr>
                <w:rFonts w:hint="eastAsia" w:ascii="仿宋" w:hAnsi="仿宋" w:eastAsia="仿宋" w:cs="仿宋"/>
                <w:b w:val="0"/>
                <w:bCs/>
                <w:color w:val="auto"/>
                <w:spacing w:val="1"/>
                <w:kern w:val="0"/>
                <w:szCs w:val="21"/>
                <w:lang w:val="en-US" w:eastAsia="zh-CN"/>
              </w:rPr>
            </w:pPr>
            <w:r>
              <w:rPr>
                <w:rFonts w:hint="eastAsia" w:ascii="仿宋" w:hAnsi="仿宋" w:eastAsia="仿宋" w:cs="仿宋"/>
                <w:b w:val="0"/>
                <w:bCs/>
                <w:color w:val="auto"/>
                <w:spacing w:val="1"/>
                <w:kern w:val="0"/>
                <w:szCs w:val="21"/>
                <w:lang w:val="en-US" w:eastAsia="zh-CN"/>
              </w:rPr>
              <w:t>----</w:t>
            </w:r>
          </w:p>
        </w:tc>
        <w:tc>
          <w:tcPr>
            <w:tcW w:w="798" w:type="dxa"/>
            <w:tcBorders>
              <w:tl2br w:val="nil"/>
              <w:tr2bl w:val="nil"/>
            </w:tcBorders>
            <w:vAlign w:val="center"/>
          </w:tcPr>
          <w:p w14:paraId="59A1C4FD">
            <w:pPr>
              <w:autoSpaceDE w:val="0"/>
              <w:autoSpaceDN w:val="0"/>
              <w:adjustRightInd w:val="0"/>
              <w:spacing w:line="300" w:lineRule="exact"/>
              <w:ind w:right="105" w:rightChars="50"/>
              <w:jc w:val="center"/>
              <w:rPr>
                <w:rFonts w:hint="eastAsia" w:ascii="仿宋" w:hAnsi="仿宋" w:eastAsia="仿宋" w:cs="仿宋"/>
                <w:b w:val="0"/>
                <w:bCs/>
                <w:color w:val="auto"/>
                <w:spacing w:val="1"/>
                <w:kern w:val="0"/>
                <w:szCs w:val="21"/>
                <w:lang w:val="en-US" w:eastAsia="zh-CN"/>
              </w:rPr>
            </w:pPr>
            <w:r>
              <w:rPr>
                <w:rFonts w:hint="eastAsia" w:ascii="仿宋" w:hAnsi="仿宋" w:eastAsia="仿宋" w:cs="仿宋"/>
                <w:b w:val="0"/>
                <w:bCs/>
                <w:color w:val="auto"/>
                <w:spacing w:val="1"/>
                <w:kern w:val="0"/>
                <w:szCs w:val="21"/>
                <w:lang w:val="en-US" w:eastAsia="zh-CN"/>
              </w:rPr>
              <w:t>--</w:t>
            </w:r>
          </w:p>
        </w:tc>
        <w:tc>
          <w:tcPr>
            <w:tcW w:w="4502" w:type="dxa"/>
            <w:tcBorders>
              <w:tl2br w:val="nil"/>
              <w:tr2bl w:val="nil"/>
            </w:tcBorders>
            <w:vAlign w:val="center"/>
          </w:tcPr>
          <w:p w14:paraId="519C50D2">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本项满足资格审查要求基本分为</w:t>
            </w:r>
            <w:r>
              <w:rPr>
                <w:rFonts w:hint="eastAsia" w:ascii="仿宋" w:hAnsi="仿宋" w:eastAsia="仿宋" w:cs="仿宋"/>
                <w:b w:val="0"/>
                <w:bCs/>
                <w:color w:val="auto"/>
                <w:szCs w:val="21"/>
                <w:highlight w:val="none"/>
                <w:lang w:val="en-US" w:eastAsia="zh-CN"/>
              </w:rPr>
              <w:t>6</w:t>
            </w:r>
            <w:r>
              <w:rPr>
                <w:rFonts w:hint="eastAsia" w:ascii="仿宋" w:hAnsi="仿宋" w:eastAsia="仿宋" w:cs="仿宋"/>
                <w:b w:val="0"/>
                <w:bCs/>
                <w:color w:val="auto"/>
                <w:szCs w:val="21"/>
                <w:highlight w:val="none"/>
              </w:rPr>
              <w:t>分。</w:t>
            </w:r>
          </w:p>
          <w:p w14:paraId="3A5A11CB">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lang w:val="en-US" w:eastAsia="zh-CN"/>
              </w:rPr>
              <w:t>1</w:t>
            </w: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rPr>
              <w:t>按照交通运输部或山西省交通运输厅公布的公路建设市场监理企业信用评价结果公告，对投标人近三年（按照网站公布的最新的信用评价计算）的信用等级评价进行评分，标准如下：</w:t>
            </w:r>
          </w:p>
          <w:p w14:paraId="3CD992D0">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①</w:t>
            </w:r>
            <w:r>
              <w:rPr>
                <w:rFonts w:hint="eastAsia" w:ascii="仿宋" w:hAnsi="仿宋" w:eastAsia="仿宋" w:cs="仿宋"/>
                <w:b w:val="0"/>
                <w:bCs/>
                <w:color w:val="auto"/>
                <w:szCs w:val="21"/>
                <w:highlight w:val="none"/>
              </w:rPr>
              <w:t>连续三年被评为AA级，加4分；</w:t>
            </w:r>
          </w:p>
          <w:p w14:paraId="04610955">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②</w:t>
            </w:r>
            <w:r>
              <w:rPr>
                <w:rFonts w:hint="eastAsia" w:ascii="仿宋" w:hAnsi="仿宋" w:eastAsia="仿宋" w:cs="仿宋"/>
                <w:b w:val="0"/>
                <w:bCs/>
                <w:color w:val="auto"/>
                <w:szCs w:val="21"/>
                <w:highlight w:val="none"/>
              </w:rPr>
              <w:t>连续两年被评为AA级，加2分；</w:t>
            </w:r>
          </w:p>
          <w:p w14:paraId="386D40AB">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③</w:t>
            </w:r>
            <w:r>
              <w:rPr>
                <w:rFonts w:hint="eastAsia" w:ascii="仿宋" w:hAnsi="仿宋" w:eastAsia="仿宋" w:cs="仿宋"/>
                <w:b w:val="0"/>
                <w:bCs/>
                <w:color w:val="auto"/>
                <w:szCs w:val="21"/>
                <w:highlight w:val="none"/>
              </w:rPr>
              <w:t>仅一年被评为AA级，加1分。</w:t>
            </w:r>
          </w:p>
          <w:p w14:paraId="27FCF532">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bCs w:val="0"/>
                <w:color w:val="auto"/>
                <w:szCs w:val="21"/>
                <w:highlight w:val="none"/>
              </w:rPr>
            </w:pPr>
            <w:r>
              <w:rPr>
                <w:rFonts w:hint="eastAsia" w:ascii="仿宋" w:hAnsi="仿宋" w:eastAsia="仿宋" w:cs="仿宋"/>
                <w:b/>
                <w:bCs w:val="0"/>
                <w:color w:val="auto"/>
                <w:szCs w:val="21"/>
                <w:highlight w:val="none"/>
                <w:lang w:val="en-US" w:eastAsia="zh-CN"/>
              </w:rPr>
              <w:t>注</w:t>
            </w:r>
            <w:r>
              <w:rPr>
                <w:rFonts w:hint="eastAsia" w:ascii="仿宋" w:hAnsi="仿宋" w:eastAsia="仿宋" w:cs="仿宋"/>
                <w:b/>
                <w:bCs w:val="0"/>
                <w:color w:val="auto"/>
                <w:szCs w:val="21"/>
                <w:highlight w:val="none"/>
              </w:rPr>
              <w:t>：信用评价以“山西省交通运输厅信用评价结果”为准，若在山西未有信用评价的，信用评价以“交通运输部信用评价结果公示”为准</w:t>
            </w:r>
            <w:r>
              <w:rPr>
                <w:rFonts w:hint="eastAsia" w:ascii="仿宋" w:hAnsi="仿宋" w:eastAsia="仿宋" w:cs="仿宋"/>
                <w:b/>
                <w:bCs w:val="0"/>
                <w:color w:val="auto"/>
                <w:szCs w:val="21"/>
                <w:highlight w:val="none"/>
                <w:lang w:eastAsia="zh-CN"/>
              </w:rPr>
              <w:t>；</w:t>
            </w:r>
            <w:r>
              <w:rPr>
                <w:rFonts w:hint="eastAsia" w:ascii="仿宋" w:hAnsi="仿宋" w:eastAsia="仿宋" w:cs="仿宋"/>
                <w:b/>
                <w:bCs w:val="0"/>
                <w:color w:val="auto"/>
                <w:szCs w:val="21"/>
                <w:highlight w:val="none"/>
              </w:rPr>
              <w:t>信用评价按同一交通运输主管部门的评价结果评分。</w:t>
            </w:r>
          </w:p>
          <w:p w14:paraId="722EED61">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联合体投标的以联合体所有成员单位的信用评价等级最低的计分。</w:t>
            </w:r>
          </w:p>
          <w:p w14:paraId="351A3004">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lang w:val="en-US" w:eastAsia="zh-CN"/>
              </w:rPr>
              <w:t>2</w:t>
            </w:r>
            <w:r>
              <w:rPr>
                <w:rFonts w:hint="eastAsia" w:ascii="仿宋" w:hAnsi="仿宋" w:eastAsia="仿宋" w:cs="仿宋"/>
                <w:b w:val="0"/>
                <w:bCs/>
                <w:color w:val="auto"/>
                <w:szCs w:val="21"/>
                <w:highlight w:val="none"/>
                <w:lang w:eastAsia="zh-CN"/>
              </w:rPr>
              <w:t>）在“信用中国”网站被列入诚实守信名单进行评分，标准如下:</w:t>
            </w:r>
          </w:p>
          <w:p w14:paraId="2ED37112">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lang w:eastAsia="zh-CN"/>
              </w:rPr>
              <w:t>a.</w:t>
            </w:r>
            <w:r>
              <w:rPr>
                <w:rFonts w:hint="eastAsia" w:ascii="仿宋" w:hAnsi="仿宋" w:eastAsia="仿宋" w:cs="仿宋"/>
                <w:b w:val="0"/>
                <w:bCs/>
                <w:color w:val="auto"/>
                <w:szCs w:val="21"/>
                <w:highlight w:val="none"/>
                <w:lang w:val="en-US" w:eastAsia="zh-CN"/>
              </w:rPr>
              <w:t>有</w:t>
            </w:r>
            <w:r>
              <w:rPr>
                <w:rFonts w:hint="eastAsia" w:ascii="仿宋" w:hAnsi="仿宋" w:eastAsia="仿宋" w:cs="仿宋"/>
                <w:b w:val="0"/>
                <w:bCs/>
                <w:color w:val="auto"/>
                <w:szCs w:val="21"/>
                <w:highlight w:val="none"/>
                <w:lang w:eastAsia="zh-CN"/>
              </w:rPr>
              <w:t>三年被列入诚实守信名单，加</w:t>
            </w:r>
            <w:r>
              <w:rPr>
                <w:rFonts w:hint="eastAsia" w:ascii="仿宋" w:hAnsi="仿宋" w:eastAsia="仿宋" w:cs="仿宋"/>
                <w:b w:val="0"/>
                <w:bCs/>
                <w:color w:val="auto"/>
                <w:szCs w:val="21"/>
                <w:highlight w:val="none"/>
                <w:lang w:val="en-US" w:eastAsia="zh-CN"/>
              </w:rPr>
              <w:t>4</w:t>
            </w:r>
            <w:r>
              <w:rPr>
                <w:rFonts w:hint="eastAsia" w:ascii="仿宋" w:hAnsi="仿宋" w:eastAsia="仿宋" w:cs="仿宋"/>
                <w:b w:val="0"/>
                <w:bCs/>
                <w:color w:val="auto"/>
                <w:szCs w:val="21"/>
                <w:highlight w:val="none"/>
                <w:lang w:eastAsia="zh-CN"/>
              </w:rPr>
              <w:t>分;</w:t>
            </w:r>
          </w:p>
          <w:p w14:paraId="14050B2B">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lang w:eastAsia="zh-CN"/>
              </w:rPr>
              <w:t>b.</w:t>
            </w:r>
            <w:r>
              <w:rPr>
                <w:rFonts w:hint="eastAsia" w:ascii="仿宋" w:hAnsi="仿宋" w:eastAsia="仿宋" w:cs="仿宋"/>
                <w:b w:val="0"/>
                <w:bCs/>
                <w:color w:val="auto"/>
                <w:szCs w:val="21"/>
                <w:highlight w:val="none"/>
                <w:lang w:val="en-US" w:eastAsia="zh-CN"/>
              </w:rPr>
              <w:t>有</w:t>
            </w:r>
            <w:r>
              <w:rPr>
                <w:rFonts w:hint="eastAsia" w:ascii="仿宋" w:hAnsi="仿宋" w:eastAsia="仿宋" w:cs="仿宋"/>
                <w:b w:val="0"/>
                <w:bCs/>
                <w:color w:val="auto"/>
                <w:szCs w:val="21"/>
                <w:highlight w:val="none"/>
                <w:lang w:eastAsia="zh-CN"/>
              </w:rPr>
              <w:t>两年被列入诚实守信名单，加</w:t>
            </w:r>
            <w:r>
              <w:rPr>
                <w:rFonts w:hint="eastAsia" w:ascii="仿宋" w:hAnsi="仿宋" w:eastAsia="仿宋" w:cs="仿宋"/>
                <w:b w:val="0"/>
                <w:bCs/>
                <w:color w:val="auto"/>
                <w:szCs w:val="21"/>
                <w:highlight w:val="none"/>
                <w:lang w:val="en-US" w:eastAsia="zh-CN"/>
              </w:rPr>
              <w:t>2</w:t>
            </w:r>
            <w:r>
              <w:rPr>
                <w:rFonts w:hint="eastAsia" w:ascii="仿宋" w:hAnsi="仿宋" w:eastAsia="仿宋" w:cs="仿宋"/>
                <w:b w:val="0"/>
                <w:bCs/>
                <w:color w:val="auto"/>
                <w:szCs w:val="21"/>
                <w:highlight w:val="none"/>
                <w:lang w:eastAsia="zh-CN"/>
              </w:rPr>
              <w:t>分;</w:t>
            </w:r>
          </w:p>
          <w:p w14:paraId="168D5BD7">
            <w:pPr>
              <w:keepNext w:val="0"/>
              <w:keepLines w:val="0"/>
              <w:pageBreakBefore w:val="0"/>
              <w:widowControl/>
              <w:kinsoku/>
              <w:wordWrap/>
              <w:overflowPunct/>
              <w:topLinePunct w:val="0"/>
              <w:autoSpaceDE/>
              <w:autoSpaceDN/>
              <w:bidi w:val="0"/>
              <w:adjustRightInd/>
              <w:snapToGrid/>
              <w:ind w:left="105" w:leftChars="50"/>
              <w:jc w:val="both"/>
              <w:textAlignment w:val="auto"/>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lang w:eastAsia="zh-CN"/>
              </w:rPr>
              <w:t>c.仅一年被列入诚实守信名单，加</w:t>
            </w:r>
            <w:r>
              <w:rPr>
                <w:rFonts w:hint="eastAsia" w:ascii="仿宋" w:hAnsi="仿宋" w:eastAsia="仿宋" w:cs="仿宋"/>
                <w:b w:val="0"/>
                <w:bCs/>
                <w:color w:val="auto"/>
                <w:szCs w:val="21"/>
                <w:highlight w:val="none"/>
                <w:lang w:val="en-US" w:eastAsia="zh-CN"/>
              </w:rPr>
              <w:t>1</w:t>
            </w:r>
            <w:r>
              <w:rPr>
                <w:rFonts w:hint="eastAsia" w:ascii="仿宋" w:hAnsi="仿宋" w:eastAsia="仿宋" w:cs="仿宋"/>
                <w:b w:val="0"/>
                <w:bCs/>
                <w:color w:val="auto"/>
                <w:szCs w:val="21"/>
                <w:highlight w:val="none"/>
                <w:lang w:eastAsia="zh-CN"/>
              </w:rPr>
              <w:t>分。</w:t>
            </w:r>
          </w:p>
          <w:p w14:paraId="3633186A">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rPr>
                <w:rFonts w:hint="eastAsia" w:ascii="方正仿宋_GB2312" w:hAnsi="方正仿宋_GB2312" w:eastAsia="方正仿宋_GB2312" w:cs="方正仿宋_GB2312"/>
                <w:b/>
                <w:bCs/>
                <w:sz w:val="20"/>
                <w:szCs w:val="20"/>
                <w:lang w:val="en-US" w:eastAsia="zh-CN"/>
              </w:rPr>
            </w:pPr>
            <w:r>
              <w:rPr>
                <w:rFonts w:hint="eastAsia" w:ascii="方正仿宋_GB2312" w:hAnsi="方正仿宋_GB2312" w:eastAsia="方正仿宋_GB2312" w:cs="方正仿宋_GB2312"/>
                <w:b/>
                <w:bCs/>
                <w:sz w:val="20"/>
                <w:szCs w:val="20"/>
                <w:lang w:val="en-US" w:eastAsia="zh-CN"/>
              </w:rPr>
              <w:t>以联合体投标的，诚实守信名单以联合体所有单位的被列入数量得分之和为准。</w:t>
            </w:r>
          </w:p>
          <w:p w14:paraId="6E123732">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rPr>
                <w:rFonts w:hint="eastAsia" w:ascii="方正仿宋_GB2312" w:hAnsi="方正仿宋_GB2312" w:eastAsia="方正仿宋_GB2312" w:cs="方正仿宋_GB2312"/>
                <w:b/>
                <w:bCs/>
                <w:sz w:val="20"/>
                <w:szCs w:val="20"/>
                <w:lang w:val="en-US" w:eastAsia="zh-CN"/>
              </w:rPr>
            </w:pPr>
          </w:p>
          <w:p w14:paraId="0403445D">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rPr>
                <w:rFonts w:hint="eastAsia" w:ascii="方正仿宋_GB2312" w:hAnsi="方正仿宋_GB2312" w:eastAsia="方正仿宋_GB2312" w:cs="方正仿宋_GB2312"/>
                <w:b/>
                <w:bCs/>
                <w:sz w:val="20"/>
                <w:szCs w:val="20"/>
                <w:lang w:val="en-US" w:eastAsia="zh-CN"/>
              </w:rPr>
            </w:pPr>
            <w:r>
              <w:rPr>
                <w:rFonts w:hint="eastAsia" w:ascii="方正仿宋_GB2312" w:hAnsi="方正仿宋_GB2312" w:eastAsia="方正仿宋_GB2312" w:cs="方正仿宋_GB2312"/>
                <w:b/>
                <w:bCs/>
                <w:sz w:val="20"/>
                <w:szCs w:val="20"/>
                <w:lang w:val="en-US" w:eastAsia="zh-CN"/>
              </w:rPr>
              <w:t>注：当投标人同时满足（1）和（2）时，以得分高的计取。</w:t>
            </w:r>
          </w:p>
          <w:p w14:paraId="638F4EF8">
            <w:pPr>
              <w:pStyle w:val="9"/>
              <w:ind w:left="0" w:leftChars="0" w:firstLine="0" w:firstLineChars="0"/>
              <w:rPr>
                <w:rFonts w:hint="default"/>
                <w:lang w:val="en-US" w:eastAsia="zh-CN"/>
              </w:rPr>
            </w:pPr>
          </w:p>
        </w:tc>
      </w:tr>
      <w:tr w14:paraId="2FB493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9" w:hRule="atLeast"/>
          <w:jc w:val="center"/>
        </w:trPr>
        <w:tc>
          <w:tcPr>
            <w:tcW w:w="10408" w:type="dxa"/>
            <w:gridSpan w:val="7"/>
            <w:tcBorders>
              <w:tl2br w:val="nil"/>
              <w:tr2bl w:val="nil"/>
            </w:tcBorders>
            <w:vAlign w:val="center"/>
          </w:tcPr>
          <w:p w14:paraId="01B7DEDF">
            <w:pPr>
              <w:widowControl/>
              <w:autoSpaceDE w:val="0"/>
              <w:autoSpaceDN w:val="0"/>
              <w:adjustRightInd w:val="0"/>
              <w:spacing w:line="380" w:lineRule="exact"/>
              <w:ind w:left="288" w:leftChars="137" w:right="269" w:rightChars="128"/>
              <w:jc w:val="center"/>
              <w:rPr>
                <w:rFonts w:hint="eastAsia" w:ascii="仿宋" w:hAnsi="仿宋" w:eastAsia="仿宋" w:cs="仿宋"/>
                <w:b/>
                <w:color w:val="auto"/>
                <w:kern w:val="0"/>
                <w:szCs w:val="21"/>
              </w:rPr>
            </w:pPr>
            <w:r>
              <w:rPr>
                <w:rFonts w:hint="eastAsia" w:ascii="仿宋" w:hAnsi="仿宋" w:eastAsia="仿宋" w:cs="仿宋"/>
                <w:b/>
                <w:color w:val="auto"/>
                <w:szCs w:val="21"/>
              </w:rPr>
              <w:t>需要补充的其他内容</w:t>
            </w:r>
          </w:p>
        </w:tc>
      </w:tr>
      <w:tr w14:paraId="34FB7A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59" w:hRule="atLeast"/>
          <w:jc w:val="center"/>
        </w:trPr>
        <w:tc>
          <w:tcPr>
            <w:tcW w:w="10408" w:type="dxa"/>
            <w:gridSpan w:val="7"/>
            <w:tcBorders>
              <w:tl2br w:val="nil"/>
              <w:tr2bl w:val="nil"/>
            </w:tcBorders>
            <w:vAlign w:val="center"/>
          </w:tcPr>
          <w:p w14:paraId="751680E8">
            <w:pPr>
              <w:keepNext w:val="0"/>
              <w:keepLines w:val="0"/>
              <w:pageBreakBefore w:val="0"/>
              <w:widowControl/>
              <w:kinsoku/>
              <w:wordWrap/>
              <w:overflowPunct/>
              <w:topLinePunct w:val="0"/>
              <w:autoSpaceDE w:val="0"/>
              <w:autoSpaceDN w:val="0"/>
              <w:bidi w:val="0"/>
              <w:adjustRightInd w:val="0"/>
              <w:snapToGrid/>
              <w:spacing w:line="400" w:lineRule="exact"/>
              <w:ind w:right="0" w:rightChars="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若通过第一信封商务文件和技术文件评审的投标人少于3个，评标委员会可以否决全部投标，未否决全部投标的，评标委员会应当在评标报告中明理由。若通过第一信封商务文件和技术文件评审的投标人在3个及以上的，在对第二信封报价文件进行开标并经评审后，有效投标不足3个使得投标明显缺乏竞争的,评标委员会可以否决全部投标;未否决全部投标的，评标委员会应当在评标报告中阐明理由并推荐中标候选人。</w:t>
            </w:r>
          </w:p>
        </w:tc>
      </w:tr>
    </w:tbl>
    <w:p w14:paraId="2E7D0CAF">
      <w:pP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br w:type="page"/>
      </w:r>
    </w:p>
    <w:p w14:paraId="65F2F1D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auto"/>
          <w:sz w:val="24"/>
          <w:szCs w:val="24"/>
          <w:lang w:eastAsia="zh-CN"/>
        </w:rPr>
      </w:pPr>
      <w:bookmarkStart w:id="4" w:name="_Toc29801"/>
      <w:r>
        <w:rPr>
          <w:rFonts w:hint="eastAsia" w:ascii="仿宋" w:hAnsi="仿宋" w:eastAsia="仿宋" w:cs="仿宋"/>
          <w:b/>
          <w:bCs/>
          <w:color w:val="auto"/>
          <w:sz w:val="24"/>
          <w:szCs w:val="24"/>
        </w:rPr>
        <w:t>1.评标</w:t>
      </w:r>
      <w:r>
        <w:rPr>
          <w:rFonts w:hint="eastAsia" w:ascii="仿宋" w:hAnsi="仿宋" w:eastAsia="仿宋" w:cs="仿宋"/>
          <w:b/>
          <w:bCs/>
          <w:color w:val="auto"/>
          <w:sz w:val="24"/>
          <w:szCs w:val="24"/>
          <w:lang w:val="en-US" w:eastAsia="zh-CN"/>
        </w:rPr>
        <w:t>方法</w:t>
      </w:r>
    </w:p>
    <w:p w14:paraId="0B78203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ascii="仿宋" w:hAnsi="仿宋" w:eastAsia="仿宋" w:cs="仿宋"/>
          <w:color w:val="auto"/>
          <w:sz w:val="24"/>
          <w:szCs w:val="24"/>
        </w:rPr>
        <w:t>评标委员会应按照评标办法前附表规定的优先次序推荐中标候选人或确定中标人。</w:t>
      </w:r>
    </w:p>
    <w:p w14:paraId="3E5664D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 评审标准</w:t>
      </w:r>
    </w:p>
    <w:p w14:paraId="514ED75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2.1 初步评审标准</w:t>
      </w:r>
    </w:p>
    <w:p w14:paraId="0A2D17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2.1.1 形式评审标准：见评标办法前附表。</w:t>
      </w:r>
    </w:p>
    <w:p w14:paraId="2E82E3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2.1.2 资格评审标准：见评标办法前附表。</w:t>
      </w:r>
    </w:p>
    <w:p w14:paraId="09BD14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2.1.3 响应性评审标准：见评标办法前附表。</w:t>
      </w:r>
    </w:p>
    <w:p w14:paraId="3A0A5F2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2.2  分值构成与评分标准</w:t>
      </w:r>
    </w:p>
    <w:p w14:paraId="1816599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2.2.1 分值构成</w:t>
      </w:r>
    </w:p>
    <w:p w14:paraId="7919E9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技术建议书：见评标办法前附表；</w:t>
      </w:r>
    </w:p>
    <w:p w14:paraId="3CAD88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主要人员：见评标办法前附表；</w:t>
      </w:r>
    </w:p>
    <w:p w14:paraId="30FD98A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评标价：见评标办法前附表；</w:t>
      </w:r>
    </w:p>
    <w:p w14:paraId="5AECB22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其他评分因素：见评标办法前附表。</w:t>
      </w:r>
    </w:p>
    <w:p w14:paraId="10818A8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2.2.2评标基准价计算</w:t>
      </w:r>
    </w:p>
    <w:p w14:paraId="7EDE0EA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评标基准价计算方法：见评标办法前附表。</w:t>
      </w:r>
    </w:p>
    <w:p w14:paraId="307C258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2.2.3</w:t>
      </w:r>
      <w:r>
        <w:rPr>
          <w:rFonts w:hint="eastAsia" w:ascii="仿宋" w:hAnsi="仿宋" w:eastAsia="仿宋" w:cs="仿宋"/>
          <w:color w:val="auto"/>
          <w:sz w:val="24"/>
          <w:szCs w:val="24"/>
          <w:lang w:val="en-US" w:eastAsia="zh-CN"/>
        </w:rPr>
        <w:t>评标</w:t>
      </w:r>
      <w:r>
        <w:rPr>
          <w:rFonts w:hint="eastAsia" w:ascii="仿宋" w:hAnsi="仿宋" w:eastAsia="仿宋" w:cs="仿宋"/>
          <w:color w:val="auto"/>
          <w:sz w:val="24"/>
          <w:szCs w:val="24"/>
        </w:rPr>
        <w:t>价的偏差率计算</w:t>
      </w:r>
    </w:p>
    <w:p w14:paraId="73F741C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评标</w:t>
      </w:r>
      <w:r>
        <w:rPr>
          <w:rFonts w:hint="eastAsia" w:ascii="仿宋" w:hAnsi="仿宋" w:eastAsia="仿宋" w:cs="仿宋"/>
          <w:color w:val="auto"/>
          <w:sz w:val="24"/>
          <w:szCs w:val="24"/>
        </w:rPr>
        <w:t>价的偏差率计算公式：见评标办法前附表。</w:t>
      </w:r>
    </w:p>
    <w:p w14:paraId="45010DA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2.2.4评分标准</w:t>
      </w:r>
    </w:p>
    <w:p w14:paraId="2401056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技术建议书评分标准：见评标办法前附表；</w:t>
      </w:r>
    </w:p>
    <w:p w14:paraId="35A57C0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主要人员评分标准：见评标办法前附表；</w:t>
      </w:r>
    </w:p>
    <w:p w14:paraId="57F794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评标价评分标准：见评标办法前附表；</w:t>
      </w:r>
    </w:p>
    <w:p w14:paraId="557186B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其他因素评分标准：见评标办法前附表。</w:t>
      </w:r>
    </w:p>
    <w:p w14:paraId="384603D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 评标程序</w:t>
      </w:r>
    </w:p>
    <w:p w14:paraId="6832D4C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bookmarkStart w:id="5" w:name="_Toc179632612"/>
      <w:bookmarkStart w:id="6" w:name="_Toc152042371"/>
      <w:bookmarkStart w:id="7" w:name="_Toc144974561"/>
      <w:bookmarkStart w:id="8" w:name="_Toc152045594"/>
      <w:r>
        <w:rPr>
          <w:rFonts w:hint="eastAsia" w:ascii="仿宋" w:hAnsi="仿宋" w:eastAsia="仿宋" w:cs="仿宋"/>
          <w:b/>
          <w:color w:val="auto"/>
          <w:sz w:val="24"/>
          <w:szCs w:val="24"/>
        </w:rPr>
        <w:t>3.1 第一</w:t>
      </w:r>
      <w:r>
        <w:rPr>
          <w:rFonts w:hint="eastAsia" w:ascii="仿宋" w:hAnsi="仿宋" w:eastAsia="仿宋" w:cs="仿宋"/>
          <w:b/>
          <w:color w:val="auto"/>
          <w:sz w:val="24"/>
          <w:szCs w:val="24"/>
          <w:lang w:val="en-US" w:eastAsia="zh-CN"/>
        </w:rPr>
        <w:t>个</w:t>
      </w:r>
      <w:r>
        <w:rPr>
          <w:rFonts w:hint="eastAsia" w:ascii="仿宋" w:hAnsi="仿宋" w:eastAsia="仿宋" w:cs="仿宋"/>
          <w:b/>
          <w:color w:val="auto"/>
          <w:sz w:val="24"/>
          <w:szCs w:val="24"/>
        </w:rPr>
        <w:t>信封初步评审</w:t>
      </w:r>
      <w:bookmarkEnd w:id="5"/>
      <w:bookmarkEnd w:id="6"/>
      <w:bookmarkEnd w:id="7"/>
      <w:bookmarkEnd w:id="8"/>
    </w:p>
    <w:p w14:paraId="70F19DE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3.1.1评标委员会可以要求投标人提交第二章“投标人须知”第3.5.1项至第3.5.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项规定的有关证明和证件的原件，以便核验。评标委员会依据本章第2.1款规定的标准对投标文件第一信封（商务及技术文件）进行初步评审。有一项不符合评审标准的，评标委员会应否决其投标。</w:t>
      </w:r>
    </w:p>
    <w:p w14:paraId="51940E7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3.2 第一个信封详细评审</w:t>
      </w:r>
    </w:p>
    <w:p w14:paraId="52EC4A2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3.2.1 评标委员会按本章第2.2款规定的量化因素和分值进行打分，并计算出各投标人的商务和技术得分。</w:t>
      </w:r>
    </w:p>
    <w:p w14:paraId="159B532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按本章第2.2.4</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目规定的评审因素和分值对技术建议书</w:t>
      </w:r>
      <w:r>
        <w:rPr>
          <w:rFonts w:hint="eastAsia" w:ascii="仿宋" w:hAnsi="仿宋" w:eastAsia="仿宋" w:cs="仿宋"/>
          <w:color w:val="auto"/>
          <w:sz w:val="24"/>
          <w:szCs w:val="24"/>
          <w:lang w:val="en-US" w:eastAsia="zh-CN"/>
        </w:rPr>
        <w:t>部分</w:t>
      </w:r>
      <w:r>
        <w:rPr>
          <w:rFonts w:hint="eastAsia" w:ascii="仿宋" w:hAnsi="仿宋" w:eastAsia="仿宋" w:cs="仿宋"/>
          <w:color w:val="auto"/>
          <w:sz w:val="24"/>
          <w:szCs w:val="24"/>
        </w:rPr>
        <w:t>计算出得分</w:t>
      </w: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rPr>
        <w:t>；</w:t>
      </w:r>
    </w:p>
    <w:p w14:paraId="58D6683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按本章第2.2.4</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目规定的评审因素和分值对主要人员</w:t>
      </w:r>
      <w:r>
        <w:rPr>
          <w:rFonts w:hint="eastAsia" w:ascii="仿宋" w:hAnsi="仿宋" w:eastAsia="仿宋" w:cs="仿宋"/>
          <w:color w:val="auto"/>
          <w:sz w:val="24"/>
          <w:szCs w:val="24"/>
          <w:lang w:val="en-US" w:eastAsia="zh-CN"/>
        </w:rPr>
        <w:t>部分</w:t>
      </w:r>
      <w:r>
        <w:rPr>
          <w:rFonts w:hint="eastAsia" w:ascii="仿宋" w:hAnsi="仿宋" w:eastAsia="仿宋" w:cs="仿宋"/>
          <w:color w:val="auto"/>
          <w:sz w:val="24"/>
          <w:szCs w:val="24"/>
        </w:rPr>
        <w:t>计算出得分</w:t>
      </w:r>
      <w:r>
        <w:rPr>
          <w:rFonts w:hint="eastAsia" w:ascii="仿宋" w:hAnsi="仿宋" w:eastAsia="仿宋" w:cs="仿宋"/>
          <w:color w:val="auto"/>
          <w:sz w:val="24"/>
          <w:szCs w:val="24"/>
          <w:lang w:val="en-US" w:eastAsia="zh-CN"/>
        </w:rPr>
        <w:t>B</w:t>
      </w:r>
      <w:r>
        <w:rPr>
          <w:rFonts w:hint="eastAsia" w:ascii="仿宋" w:hAnsi="仿宋" w:eastAsia="仿宋" w:cs="仿宋"/>
          <w:color w:val="auto"/>
          <w:sz w:val="24"/>
          <w:szCs w:val="24"/>
        </w:rPr>
        <w:t>；</w:t>
      </w:r>
    </w:p>
    <w:p w14:paraId="1C34443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按本章第2.2.4</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目规定的评审因素和分值对其他部分计算出得分</w:t>
      </w:r>
      <w:r>
        <w:rPr>
          <w:rFonts w:hint="eastAsia" w:ascii="仿宋" w:hAnsi="仿宋" w:eastAsia="仿宋" w:cs="仿宋"/>
          <w:color w:val="auto"/>
          <w:sz w:val="24"/>
          <w:szCs w:val="24"/>
          <w:lang w:val="en-US" w:eastAsia="zh-CN"/>
        </w:rPr>
        <w:t>D</w:t>
      </w:r>
      <w:r>
        <w:rPr>
          <w:rFonts w:hint="eastAsia" w:ascii="仿宋" w:hAnsi="仿宋" w:eastAsia="仿宋" w:cs="仿宋"/>
          <w:color w:val="auto"/>
          <w:sz w:val="24"/>
          <w:szCs w:val="24"/>
        </w:rPr>
        <w:t>。</w:t>
      </w:r>
    </w:p>
    <w:p w14:paraId="43FB14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3.2.2 投标人的商务和技术得分分值计算保留小数点后两位，小数点后第三位“四舍五入”。</w:t>
      </w:r>
    </w:p>
    <w:p w14:paraId="120F25C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3.2.3 投标人的商务和技术得分=A+B+D。</w:t>
      </w:r>
    </w:p>
    <w:p w14:paraId="4A0DEF8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3.3第二个信封</w:t>
      </w:r>
      <w:r>
        <w:rPr>
          <w:rFonts w:hint="eastAsia" w:ascii="仿宋" w:hAnsi="仿宋" w:eastAsia="仿宋" w:cs="仿宋"/>
          <w:b/>
          <w:color w:val="auto"/>
          <w:sz w:val="24"/>
          <w:szCs w:val="24"/>
          <w:lang w:val="en-US" w:eastAsia="zh-CN"/>
        </w:rPr>
        <w:t>开标</w:t>
      </w:r>
    </w:p>
    <w:p w14:paraId="16308816">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第一个信封（商务及技术文件）评审结束后，招标人将按照第二章“投标人须知”第5.1款规定的时间和地点对通过投标文件第一个信封（商务及技术文件）评审的投标文件第二个信封（报价文件）进行开标。</w:t>
      </w:r>
    </w:p>
    <w:p w14:paraId="0B844D1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3.4第二个信封初步评审</w:t>
      </w:r>
    </w:p>
    <w:p w14:paraId="2129EAB7">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3.4.1</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评标委员会依据本章第2.1.1项、第2.1.3项规定的评审标准对投标文件第二个信封（报价文件）进行初步评审。有一项不符合评审标准的，评标委员会应否决其投标。</w:t>
      </w:r>
    </w:p>
    <w:p w14:paraId="293015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3.4.2</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投标报价有算术错误的，评标委员会按以下原则对投标报价进行修正，修正的价格经投标人书面确认后具有约束力。投标人不接受修正价格的，评标委员会应否决其投标。</w:t>
      </w:r>
    </w:p>
    <w:p w14:paraId="29CFDD8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当投标限价和折扣系数相乘不等于投标报价时，以折扣系数计算为准;</w:t>
      </w:r>
    </w:p>
    <w:p w14:paraId="3CFD3F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（1）投标文件中的大写金额与小写金额不一致的，以大写金额为准；</w:t>
      </w:r>
    </w:p>
    <w:p w14:paraId="6CAE75D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（2）总价金额与依据单价计算出的结果不一致的，以单价金额为准修正总价，但单价金额小数点有明显错误的除外；</w:t>
      </w:r>
    </w:p>
    <w:p w14:paraId="17E60CF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（3）当单价与数量相乘不等于合价时，以单价计算为准，如果单价有明显的小数点位置差错，应以标出的合价为准，同时对单价予以修正；</w:t>
      </w:r>
    </w:p>
    <w:p w14:paraId="4C8A072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（4）当各子目的合价累计不等于总价时，应以各子目合价累计数为准，修正总价。</w:t>
      </w:r>
    </w:p>
    <w:p w14:paraId="2C7951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3.4.3</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修正后的最终投标报价若超过</w:t>
      </w:r>
      <w:r>
        <w:rPr>
          <w:rFonts w:hint="eastAsia" w:ascii="仿宋" w:hAnsi="仿宋" w:eastAsia="仿宋" w:cs="仿宋"/>
          <w:color w:val="auto"/>
          <w:sz w:val="24"/>
          <w:szCs w:val="24"/>
          <w:lang w:val="en-US" w:eastAsia="zh-CN"/>
        </w:rPr>
        <w:t>最高</w:t>
      </w:r>
      <w:r>
        <w:rPr>
          <w:rFonts w:hint="eastAsia" w:ascii="仿宋" w:hAnsi="仿宋" w:eastAsia="仿宋" w:cs="仿宋"/>
          <w:color w:val="auto"/>
          <w:sz w:val="24"/>
          <w:szCs w:val="24"/>
        </w:rPr>
        <w:t>投标</w:t>
      </w:r>
      <w:r>
        <w:rPr>
          <w:rFonts w:hint="eastAsia" w:ascii="仿宋" w:hAnsi="仿宋" w:eastAsia="仿宋" w:cs="仿宋"/>
          <w:color w:val="auto"/>
          <w:sz w:val="24"/>
          <w:szCs w:val="24"/>
          <w:lang w:val="en-US" w:eastAsia="zh-CN"/>
        </w:rPr>
        <w:t>限价</w:t>
      </w:r>
      <w:r>
        <w:rPr>
          <w:rFonts w:hint="eastAsia" w:ascii="仿宋" w:hAnsi="仿宋" w:eastAsia="仿宋" w:cs="仿宋"/>
          <w:color w:val="auto"/>
          <w:sz w:val="24"/>
          <w:szCs w:val="24"/>
        </w:rPr>
        <w:t>（如有），评标委员会应否决其投标。</w:t>
      </w:r>
    </w:p>
    <w:p w14:paraId="70563C4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3.4.4 修正后的最终投标报价仅作为签订合同的一个依据，不参与评标价得分的计算。</w:t>
      </w:r>
    </w:p>
    <w:p w14:paraId="3F40C55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bookmarkStart w:id="9" w:name="_Toc234382659"/>
      <w:r>
        <w:rPr>
          <w:rFonts w:hint="eastAsia" w:ascii="仿宋" w:hAnsi="仿宋" w:eastAsia="仿宋" w:cs="仿宋"/>
          <w:b/>
          <w:color w:val="auto"/>
          <w:sz w:val="24"/>
          <w:szCs w:val="24"/>
        </w:rPr>
        <w:t>3.5</w:t>
      </w:r>
      <w:r>
        <w:rPr>
          <w:rFonts w:hint="eastAsia" w:ascii="仿宋" w:hAnsi="仿宋" w:eastAsia="仿宋" w:cs="仿宋"/>
          <w:b/>
          <w:bCs/>
          <w:color w:val="auto"/>
          <w:sz w:val="24"/>
          <w:szCs w:val="24"/>
        </w:rPr>
        <w:t>第二个信封</w:t>
      </w:r>
      <w:r>
        <w:rPr>
          <w:rFonts w:hint="eastAsia" w:ascii="仿宋" w:hAnsi="仿宋" w:eastAsia="仿宋" w:cs="仿宋"/>
          <w:b/>
          <w:color w:val="auto"/>
          <w:sz w:val="24"/>
          <w:szCs w:val="24"/>
        </w:rPr>
        <w:t>详细评审</w:t>
      </w:r>
      <w:bookmarkEnd w:id="9"/>
    </w:p>
    <w:p w14:paraId="2F1873A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3.5.1 评标委员会按本章第2.2.4</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目规定的评审因素和分值对</w:t>
      </w:r>
      <w:r>
        <w:rPr>
          <w:rFonts w:hint="eastAsia" w:ascii="仿宋" w:hAnsi="仿宋" w:eastAsia="仿宋" w:cs="仿宋"/>
          <w:color w:val="auto"/>
          <w:sz w:val="24"/>
          <w:szCs w:val="24"/>
          <w:lang w:val="en-US" w:eastAsia="zh-CN"/>
        </w:rPr>
        <w:t>评标价</w:t>
      </w:r>
      <w:r>
        <w:rPr>
          <w:rFonts w:hint="eastAsia" w:ascii="仿宋" w:hAnsi="仿宋" w:eastAsia="仿宋" w:cs="仿宋"/>
          <w:color w:val="auto"/>
          <w:sz w:val="24"/>
          <w:szCs w:val="24"/>
        </w:rPr>
        <w:t>计算出得分C。</w:t>
      </w:r>
      <w:r>
        <w:rPr>
          <w:rFonts w:hint="eastAsia" w:ascii="仿宋" w:hAnsi="仿宋" w:eastAsia="仿宋" w:cs="仿宋"/>
          <w:color w:val="auto"/>
          <w:sz w:val="24"/>
          <w:szCs w:val="24"/>
          <w:lang w:val="en-US" w:eastAsia="zh-CN"/>
        </w:rPr>
        <w:t>评标价</w:t>
      </w:r>
      <w:r>
        <w:rPr>
          <w:rFonts w:hint="eastAsia" w:ascii="仿宋" w:hAnsi="仿宋" w:eastAsia="仿宋" w:cs="仿宋"/>
          <w:color w:val="auto"/>
          <w:sz w:val="24"/>
          <w:szCs w:val="24"/>
        </w:rPr>
        <w:t>得分分值计算保留小数点后两位，小数点后第三位“四舍五入”。</w:t>
      </w:r>
    </w:p>
    <w:p w14:paraId="0B80F2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3.5.2 投标人综合得分=投标人的商务和技术得分+C</w:t>
      </w:r>
    </w:p>
    <w:p w14:paraId="29F0665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3.5.3 评标委员会发现投标人的报价明显低于其他投标报价，使得其投标报价可能低于其个别成本的，应要求该投标人作出书面说明并提供相应的证明材料。投标人不能合理说明或不能提供相应证明材料的，由评标委员会</w:t>
      </w:r>
      <w:r>
        <w:rPr>
          <w:rFonts w:hint="eastAsia" w:ascii="仿宋" w:hAnsi="仿宋" w:eastAsia="仿宋" w:cs="仿宋"/>
          <w:color w:val="auto"/>
          <w:sz w:val="24"/>
          <w:szCs w:val="24"/>
          <w:lang w:val="en-US" w:eastAsia="zh-CN"/>
        </w:rPr>
        <w:t>应</w:t>
      </w:r>
      <w:r>
        <w:rPr>
          <w:rFonts w:hint="eastAsia" w:ascii="仿宋" w:hAnsi="仿宋" w:eastAsia="仿宋" w:cs="仿宋"/>
          <w:color w:val="auto"/>
          <w:sz w:val="24"/>
          <w:szCs w:val="24"/>
        </w:rPr>
        <w:t>认定该投标人以低于成本报价竞标，并否决其投标。</w:t>
      </w:r>
    </w:p>
    <w:p w14:paraId="3FDC5E8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3.6投标文件相关信息的核查</w:t>
      </w:r>
    </w:p>
    <w:p w14:paraId="2F357D4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255AC92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70CEEBC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有下列情形之一的，属于投标人相互串通投标：</w:t>
      </w:r>
    </w:p>
    <w:p w14:paraId="06FCAA6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a.投标人之间协商投标报价等投标文件的实质性内容；</w:t>
      </w:r>
    </w:p>
    <w:p w14:paraId="0D76C0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b.投标人之间约定中标人；</w:t>
      </w:r>
    </w:p>
    <w:p w14:paraId="3F3A95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c.投标人之间约定部分投标人放弃投标或中标；</w:t>
      </w:r>
    </w:p>
    <w:p w14:paraId="43D30D2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d.属于同一集团、协会、商会等组织成员的投标人按照该组织要求协同投标；</w:t>
      </w:r>
    </w:p>
    <w:p w14:paraId="1101BE3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e.投标人之间为谋取中标或排斥特定投标人而采取的其他联合行动。</w:t>
      </w:r>
    </w:p>
    <w:p w14:paraId="5030E61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有下列情形之一的，视为投标人相互串通投标：</w:t>
      </w:r>
    </w:p>
    <w:p w14:paraId="1047FEC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a.不同投标人的投标文件由同一单位或个人编制；</w:t>
      </w:r>
    </w:p>
    <w:p w14:paraId="3248EAF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b.不同投标人委托同一单位或个人办理投标事宜；</w:t>
      </w:r>
    </w:p>
    <w:p w14:paraId="691757F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c.不同投标人的投标文件载明的项目管理成员为同一人；</w:t>
      </w:r>
    </w:p>
    <w:p w14:paraId="67B41D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d.不同投标人的投标文件异常一致或投标报价呈规律性差异；</w:t>
      </w:r>
    </w:p>
    <w:p w14:paraId="788D6C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e.不同投标人的投标文件相互混装；</w:t>
      </w:r>
    </w:p>
    <w:p w14:paraId="475D709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f.不同投标人的投标保证金从同一单位或个人的账户转出。</w:t>
      </w:r>
    </w:p>
    <w:p w14:paraId="6373B8E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有下列情形之一的，属于招标人与投标人串通投标：</w:t>
      </w:r>
    </w:p>
    <w:p w14:paraId="477E63F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a.招标人在开标前开启投标文件并将有关信息泄露给其他投标人；</w:t>
      </w:r>
    </w:p>
    <w:p w14:paraId="0E0300E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b.招标人直接或间接向投标人泄露标底、评标委员会成员等信息；</w:t>
      </w:r>
    </w:p>
    <w:p w14:paraId="0E270E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c.招标人明示或暗示投标人压低或抬高投标报价；</w:t>
      </w:r>
    </w:p>
    <w:p w14:paraId="6E4E29F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d.招标人授意投标人撤换、修改投标文件；</w:t>
      </w:r>
    </w:p>
    <w:p w14:paraId="061C38F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e.招标人明示或暗示投标人为特定投标人中标提供方便；</w:t>
      </w:r>
    </w:p>
    <w:p w14:paraId="638242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f.招标人与投标人为谋求特定投标人中标而采取的其他串通行为。</w:t>
      </w:r>
    </w:p>
    <w:p w14:paraId="6ABF79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投标人有下列情形之一的，属于弄虚作假的行为：</w:t>
      </w:r>
    </w:p>
    <w:p w14:paraId="258B634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a.使用通过受让或租借等方式获取的资格、资质证书投标；</w:t>
      </w:r>
    </w:p>
    <w:p w14:paraId="76B4CA4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b.使用伪造、变造的许可证件；</w:t>
      </w:r>
    </w:p>
    <w:p w14:paraId="41EE0FD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c.提供虚假的业绩；</w:t>
      </w:r>
    </w:p>
    <w:p w14:paraId="723DB75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d.提供虚假的项目负责人或主要技术人员简历、劳动关系证明；</w:t>
      </w:r>
    </w:p>
    <w:p w14:paraId="28AC967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e.提供虚假的信用状况；</w:t>
      </w:r>
    </w:p>
    <w:p w14:paraId="7186601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f.其他弄虚作假的行为。</w:t>
      </w:r>
    </w:p>
    <w:p w14:paraId="310EECD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3.6.3</w:t>
      </w:r>
      <w:r>
        <w:rPr>
          <w:rFonts w:hint="eastAsia" w:ascii="仿宋" w:hAnsi="仿宋" w:eastAsia="仿宋" w:cs="仿宋"/>
          <w:color w:val="auto"/>
          <w:sz w:val="24"/>
          <w:szCs w:val="24"/>
        </w:rPr>
        <w:t>若通过第一信封商务文件和技术文件评审的投标人少于3个的，第二信封不予开封，评标委员会应否决全部投标。若通过第一信封商务文件和技术文件评审的投标人在3个及以上的，在对第二信封报价文件进行开标并经评审后，有效投标不足3个使得投标明显缺乏竞争的，评标委员会可以否决全部投标；未否决全部投标的，评标委员会应当在评标报告中阐明理由并推荐中标候选人。</w:t>
      </w:r>
    </w:p>
    <w:p w14:paraId="6231FE5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bookmarkStart w:id="10" w:name="_Toc144974563"/>
      <w:bookmarkStart w:id="11" w:name="_Toc152045596"/>
      <w:bookmarkStart w:id="12" w:name="_Toc152042373"/>
      <w:bookmarkStart w:id="13" w:name="_Toc179632614"/>
      <w:r>
        <w:rPr>
          <w:rFonts w:hint="eastAsia" w:ascii="仿宋" w:hAnsi="仿宋" w:eastAsia="仿宋" w:cs="仿宋"/>
          <w:b/>
          <w:color w:val="auto"/>
          <w:sz w:val="24"/>
          <w:szCs w:val="24"/>
        </w:rPr>
        <w:t>3.7投标文件的澄清</w:t>
      </w:r>
      <w:bookmarkEnd w:id="10"/>
      <w:r>
        <w:rPr>
          <w:rFonts w:hint="eastAsia" w:ascii="仿宋" w:hAnsi="仿宋" w:eastAsia="仿宋" w:cs="仿宋"/>
          <w:b/>
          <w:color w:val="auto"/>
          <w:sz w:val="24"/>
          <w:szCs w:val="24"/>
        </w:rPr>
        <w:t>和</w:t>
      </w:r>
      <w:bookmarkEnd w:id="11"/>
      <w:bookmarkEnd w:id="12"/>
      <w:bookmarkEnd w:id="13"/>
      <w:r>
        <w:rPr>
          <w:rFonts w:hint="eastAsia" w:ascii="仿宋" w:hAnsi="仿宋" w:eastAsia="仿宋" w:cs="仿宋"/>
          <w:b/>
          <w:color w:val="auto"/>
          <w:sz w:val="24"/>
          <w:szCs w:val="24"/>
        </w:rPr>
        <w:t>说明</w:t>
      </w:r>
    </w:p>
    <w:p w14:paraId="27E16EB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3.7.1在评标过程中，评标委员会可以书面形式要求投标人对投标文件中</w:t>
      </w:r>
      <w:r>
        <w:rPr>
          <w:rFonts w:hint="eastAsia" w:ascii="仿宋" w:hAnsi="仿宋" w:eastAsia="仿宋" w:cs="仿宋"/>
          <w:color w:val="auto"/>
          <w:sz w:val="24"/>
          <w:szCs w:val="24"/>
          <w:lang w:val="en-US" w:eastAsia="zh-CN"/>
        </w:rPr>
        <w:t>含义</w:t>
      </w:r>
      <w:r>
        <w:rPr>
          <w:rFonts w:hint="eastAsia" w:ascii="仿宋" w:hAnsi="仿宋" w:eastAsia="仿宋" w:cs="仿宋"/>
          <w:color w:val="auto"/>
          <w:sz w:val="24"/>
          <w:szCs w:val="24"/>
        </w:rPr>
        <w:t>不明确的内容、明显文字或计算错误进行书面澄清或说明。评标委员会不接受投标人主动提出的澄清、说明。投标人不按评标委员会要求澄清或说明的，评标委员会应否决其投标。</w:t>
      </w:r>
    </w:p>
    <w:p w14:paraId="3C0B2FF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3.7.2 澄清</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说明不得超出投标文件的范围或改变投标文件的实质性内容（算术性错误的修正除外）。投标人的书面澄清、说明属于投标文件的组成部分。</w:t>
      </w:r>
    </w:p>
    <w:p w14:paraId="2C2EC1E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3.7.3 评标委员会不得暗示或诱导投标人</w:t>
      </w:r>
      <w:r>
        <w:rPr>
          <w:rFonts w:hint="eastAsia" w:ascii="仿宋" w:hAnsi="仿宋" w:eastAsia="仿宋" w:cs="仿宋"/>
          <w:color w:val="auto"/>
          <w:sz w:val="24"/>
          <w:szCs w:val="24"/>
          <w:lang w:val="en-US" w:eastAsia="zh-CN"/>
        </w:rPr>
        <w:t>作</w:t>
      </w:r>
      <w:r>
        <w:rPr>
          <w:rFonts w:hint="eastAsia" w:ascii="仿宋" w:hAnsi="仿宋" w:eastAsia="仿宋" w:cs="仿宋"/>
          <w:color w:val="auto"/>
          <w:sz w:val="24"/>
          <w:szCs w:val="24"/>
        </w:rPr>
        <w:t>出澄清、说明，对投标人提交的澄清、说明有疑问的，可以要求投标人进一步澄清或说明，直至满足评标委员会的要求。</w:t>
      </w:r>
    </w:p>
    <w:p w14:paraId="38AE036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3.7.4 凡超出招标文件规定的或给委托人带来未曾要求的利益的变化、偏差或其他因素在评标时不予考虑。</w:t>
      </w:r>
    </w:p>
    <w:p w14:paraId="7057ABB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3.8不得否决投标的情形</w:t>
      </w:r>
    </w:p>
    <w:p w14:paraId="6760092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投标文件存在第二章“投标人须知”第1.12.3项所列情形的，均视为细微偏差，</w:t>
      </w:r>
    </w:p>
    <w:p w14:paraId="43AB76B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评标委员会不得否决投标人的投标，应按照第二章“投标人须知”第1.12.4项规定的原则处理。</w:t>
      </w:r>
    </w:p>
    <w:p w14:paraId="0250BBB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3.9 评标结果</w:t>
      </w:r>
    </w:p>
    <w:p w14:paraId="2D62A06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3.9.1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除第二章“投标人须知”前附表授权直接确定中标人外，评标委员会按照得分由高到低的顺序推荐中标候选人，并标明排序。</w:t>
      </w:r>
    </w:p>
    <w:p w14:paraId="4FDC136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b/>
          <w:bCs/>
          <w:color w:val="auto"/>
          <w:spacing w:val="-2"/>
          <w:sz w:val="24"/>
          <w:szCs w:val="24"/>
        </w:rPr>
      </w:pPr>
      <w:r>
        <w:rPr>
          <w:rFonts w:hint="eastAsia" w:ascii="仿宋" w:hAnsi="仿宋" w:eastAsia="仿宋" w:cs="仿宋"/>
          <w:color w:val="auto"/>
          <w:sz w:val="24"/>
          <w:szCs w:val="24"/>
        </w:rPr>
        <w:t>3.9.2 评标委员会完成评标后，应向招标人提交书面评标报告。</w:t>
      </w:r>
      <w:r>
        <w:rPr>
          <w:rFonts w:hint="eastAsia" w:ascii="宋体" w:hAnsi="宋体" w:eastAsia="宋体" w:cs="宋体"/>
          <w:b/>
          <w:bCs/>
          <w:color w:val="auto"/>
          <w:spacing w:val="-2"/>
          <w:sz w:val="24"/>
          <w:szCs w:val="24"/>
        </w:rPr>
        <w:br w:type="page"/>
      </w:r>
    </w:p>
    <w:bookmarkEnd w:id="4"/>
    <w:p w14:paraId="4514BC06">
      <w:pPr>
        <w:spacing w:line="276" w:lineRule="auto"/>
        <w:jc w:val="center"/>
        <w:rPr>
          <w:rFonts w:hint="eastAsia" w:ascii="仿宋" w:hAnsi="仿宋" w:eastAsia="仿宋" w:cs="仿宋"/>
          <w:b/>
          <w:sz w:val="28"/>
          <w:szCs w:val="28"/>
        </w:rPr>
      </w:pPr>
      <w:r>
        <w:rPr>
          <w:rFonts w:hint="eastAsia" w:ascii="仿宋" w:hAnsi="仿宋" w:eastAsia="仿宋" w:cs="仿宋"/>
          <w:b/>
          <w:sz w:val="28"/>
          <w:szCs w:val="28"/>
        </w:rPr>
        <w:t>附录1   资格审查条件（资质最低要求）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952"/>
        <w:gridCol w:w="8243"/>
      </w:tblGrid>
      <w:tr w14:paraId="4CC8B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465" w:hRule="atLeast"/>
          <w:jc w:val="center"/>
        </w:trPr>
        <w:tc>
          <w:tcPr>
            <w:tcW w:w="952" w:type="dxa"/>
            <w:tcBorders>
              <w:tl2br w:val="nil"/>
              <w:tr2bl w:val="nil"/>
            </w:tcBorders>
            <w:vAlign w:val="center"/>
          </w:tcPr>
          <w:p w14:paraId="4A36F73E">
            <w:pPr>
              <w:spacing w:line="0" w:lineRule="atLeast"/>
              <w:jc w:val="center"/>
              <w:rPr>
                <w:rFonts w:hint="eastAsia" w:ascii="仿宋" w:hAnsi="仿宋" w:eastAsia="仿宋" w:cs="仿宋"/>
                <w:szCs w:val="21"/>
              </w:rPr>
            </w:pPr>
            <w:r>
              <w:rPr>
                <w:rFonts w:hint="eastAsia" w:ascii="仿宋" w:hAnsi="仿宋" w:eastAsia="仿宋" w:cs="仿宋"/>
                <w:szCs w:val="21"/>
              </w:rPr>
              <w:t>标段</w:t>
            </w:r>
          </w:p>
        </w:tc>
        <w:tc>
          <w:tcPr>
            <w:tcW w:w="8243" w:type="dxa"/>
            <w:tcBorders>
              <w:tl2br w:val="nil"/>
              <w:tr2bl w:val="nil"/>
            </w:tcBorders>
            <w:vAlign w:val="center"/>
          </w:tcPr>
          <w:p w14:paraId="2ABCA929">
            <w:pPr>
              <w:spacing w:line="0" w:lineRule="atLeast"/>
              <w:jc w:val="center"/>
              <w:rPr>
                <w:rFonts w:hint="eastAsia" w:ascii="仿宋" w:hAnsi="仿宋" w:eastAsia="仿宋" w:cs="仿宋"/>
                <w:szCs w:val="21"/>
              </w:rPr>
            </w:pPr>
            <w:r>
              <w:rPr>
                <w:rFonts w:hint="eastAsia" w:ascii="仿宋" w:hAnsi="仿宋" w:eastAsia="仿宋" w:cs="仿宋"/>
                <w:szCs w:val="21"/>
              </w:rPr>
              <w:t>监理企业资质等级要求</w:t>
            </w:r>
          </w:p>
        </w:tc>
      </w:tr>
      <w:tr w14:paraId="6A4FC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1555" w:hRule="atLeast"/>
          <w:jc w:val="center"/>
        </w:trPr>
        <w:tc>
          <w:tcPr>
            <w:tcW w:w="952" w:type="dxa"/>
            <w:tcBorders>
              <w:tl2br w:val="nil"/>
              <w:tr2bl w:val="nil"/>
            </w:tcBorders>
            <w:vAlign w:val="center"/>
          </w:tcPr>
          <w:p w14:paraId="46BD6362">
            <w:pPr>
              <w:spacing w:line="0" w:lineRule="atLeast"/>
              <w:jc w:val="center"/>
              <w:rPr>
                <w:rFonts w:hint="eastAsia" w:ascii="仿宋" w:hAnsi="仿宋" w:eastAsia="仿宋" w:cs="仿宋"/>
                <w:szCs w:val="21"/>
                <w:highlight w:val="none"/>
              </w:rPr>
            </w:pPr>
            <w:r>
              <w:rPr>
                <w:rFonts w:hint="eastAsia" w:ascii="仿宋" w:hAnsi="仿宋" w:eastAsia="仿宋" w:cs="仿宋"/>
                <w:szCs w:val="21"/>
                <w:highlight w:val="none"/>
              </w:rPr>
              <w:t>001</w:t>
            </w:r>
          </w:p>
        </w:tc>
        <w:tc>
          <w:tcPr>
            <w:tcW w:w="8243" w:type="dxa"/>
            <w:tcBorders>
              <w:tl2br w:val="nil"/>
              <w:tr2bl w:val="nil"/>
            </w:tcBorders>
            <w:vAlign w:val="center"/>
          </w:tcPr>
          <w:p w14:paraId="34E4BD2F">
            <w:pPr>
              <w:spacing w:line="360" w:lineRule="auto"/>
              <w:jc w:val="left"/>
              <w:rPr>
                <w:rFonts w:hint="eastAsia" w:ascii="仿宋" w:hAnsi="仿宋" w:eastAsia="仿宋" w:cs="仿宋"/>
                <w:color w:val="auto"/>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lang w:eastAsia="zh-CN"/>
              </w:rPr>
              <w:t>）</w:t>
            </w:r>
            <w:r>
              <w:rPr>
                <w:rFonts w:hint="eastAsia" w:ascii="仿宋" w:hAnsi="仿宋" w:eastAsia="仿宋" w:cs="仿宋"/>
                <w:szCs w:val="21"/>
                <w:highlight w:val="none"/>
              </w:rPr>
              <w:t>本次招标要求投标人应在中华人民共和国境内注册，具有独立法人资格，持有有效的营业执照，并在人员、</w:t>
            </w:r>
            <w:r>
              <w:rPr>
                <w:rFonts w:hint="eastAsia" w:ascii="仿宋" w:hAnsi="仿宋" w:eastAsia="仿宋" w:cs="仿宋"/>
                <w:color w:val="auto"/>
                <w:szCs w:val="21"/>
                <w:highlight w:val="none"/>
              </w:rPr>
              <w:t>信誉、资金等方面</w:t>
            </w:r>
            <w:r>
              <w:rPr>
                <w:rFonts w:hint="eastAsia" w:ascii="仿宋" w:hAnsi="仿宋" w:eastAsia="仿宋" w:cs="仿宋"/>
                <w:color w:val="auto"/>
                <w:szCs w:val="21"/>
                <w:highlight w:val="none"/>
                <w:lang w:val="en-US" w:eastAsia="zh-CN"/>
              </w:rPr>
              <w:t>具有相应的服务能力</w:t>
            </w:r>
            <w:r>
              <w:rPr>
                <w:rFonts w:hint="eastAsia" w:ascii="仿宋" w:hAnsi="仿宋" w:eastAsia="仿宋" w:cs="仿宋"/>
                <w:color w:val="auto"/>
                <w:szCs w:val="21"/>
                <w:highlight w:val="none"/>
              </w:rPr>
              <w:t>。</w:t>
            </w:r>
          </w:p>
          <w:p w14:paraId="12E5AB3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资质要求：投标人须同时具备①交通运输主管部门颁发的有效的公路工程甲级监理资质②交通运输主管部门颁发的有效的公路工程机电专项监理资质③建设行政主管部门颁发的工程监理综合资质或房屋建筑工程专业乙级及以上监理资质。</w:t>
            </w:r>
          </w:p>
          <w:p w14:paraId="7DE9CC3B">
            <w:pPr>
              <w:rPr>
                <w:rFonts w:hint="eastAsia" w:ascii="仿宋" w:hAnsi="仿宋" w:eastAsia="仿宋" w:cs="仿宋"/>
                <w:szCs w:val="21"/>
                <w:highlight w:val="none"/>
              </w:rPr>
            </w:pPr>
            <w:r>
              <w:rPr>
                <w:rFonts w:hint="eastAsia" w:ascii="仿宋" w:hAnsi="仿宋" w:eastAsia="仿宋" w:cs="仿宋"/>
                <w:b/>
                <w:bCs/>
                <w:color w:val="auto"/>
                <w:kern w:val="2"/>
                <w:sz w:val="22"/>
                <w:szCs w:val="22"/>
                <w:highlight w:val="none"/>
                <w:lang w:val="en-US" w:eastAsia="zh-CN" w:bidi="ar-SA"/>
              </w:rPr>
              <w:t>注：如为联合体投标，承担监理任务的各成员单位可累计满足上述条件且各成员单位均应独立满足①或②其中1条。</w:t>
            </w:r>
          </w:p>
        </w:tc>
      </w:tr>
    </w:tbl>
    <w:p w14:paraId="40EC1345">
      <w:pPr>
        <w:tabs>
          <w:tab w:val="left" w:pos="4320"/>
        </w:tabs>
        <w:autoSpaceDE w:val="0"/>
        <w:autoSpaceDN w:val="0"/>
        <w:adjustRightInd w:val="0"/>
        <w:spacing w:line="360" w:lineRule="auto"/>
        <w:ind w:firstLine="422" w:firstLineChars="200"/>
        <w:rPr>
          <w:rFonts w:hint="eastAsia" w:ascii="仿宋" w:hAnsi="仿宋" w:eastAsia="仿宋" w:cs="仿宋"/>
          <w:b/>
          <w:bCs w:val="0"/>
          <w:highlight w:val="none"/>
        </w:rPr>
      </w:pPr>
      <w:r>
        <w:rPr>
          <w:rFonts w:hint="eastAsia" w:ascii="仿宋" w:hAnsi="仿宋" w:eastAsia="仿宋" w:cs="仿宋"/>
          <w:b/>
          <w:bCs w:val="0"/>
          <w:highlight w:val="none"/>
        </w:rPr>
        <w:t>注：本表为强制性基本要求，投标人如不满足上述强制性资格条件中的任何一条，将被认为资格审查不合格。</w:t>
      </w:r>
    </w:p>
    <w:p w14:paraId="5AF38207">
      <w:pPr>
        <w:spacing w:line="420" w:lineRule="exact"/>
        <w:jc w:val="center"/>
        <w:rPr>
          <w:rFonts w:hint="eastAsia" w:ascii="仿宋" w:hAnsi="仿宋" w:eastAsia="仿宋" w:cs="仿宋"/>
          <w:b/>
          <w:sz w:val="28"/>
          <w:szCs w:val="28"/>
          <w:highlight w:val="none"/>
        </w:rPr>
      </w:pPr>
    </w:p>
    <w:p w14:paraId="0761D5D7">
      <w:pPr>
        <w:spacing w:line="420" w:lineRule="exact"/>
        <w:jc w:val="center"/>
        <w:rPr>
          <w:rFonts w:hint="eastAsia" w:ascii="仿宋" w:hAnsi="仿宋" w:eastAsia="仿宋" w:cs="仿宋"/>
          <w:b/>
          <w:sz w:val="28"/>
          <w:szCs w:val="28"/>
          <w:highlight w:val="none"/>
        </w:rPr>
      </w:pPr>
    </w:p>
    <w:p w14:paraId="24570DC2">
      <w:pPr>
        <w:spacing w:line="420" w:lineRule="exact"/>
        <w:jc w:val="center"/>
        <w:rPr>
          <w:rFonts w:hint="eastAsia" w:ascii="仿宋" w:hAnsi="仿宋" w:eastAsia="仿宋" w:cs="仿宋"/>
          <w:b/>
          <w:sz w:val="28"/>
          <w:szCs w:val="28"/>
          <w:highlight w:val="none"/>
        </w:rPr>
      </w:pPr>
    </w:p>
    <w:p w14:paraId="4A04AB71">
      <w:pPr>
        <w:spacing w:line="420" w:lineRule="exact"/>
        <w:jc w:val="center"/>
        <w:rPr>
          <w:rFonts w:hint="eastAsia" w:ascii="仿宋" w:hAnsi="仿宋" w:eastAsia="仿宋" w:cs="仿宋"/>
          <w:b/>
          <w:sz w:val="28"/>
          <w:szCs w:val="28"/>
          <w:highlight w:val="none"/>
        </w:rPr>
      </w:pPr>
    </w:p>
    <w:p w14:paraId="015FD214">
      <w:pPr>
        <w:spacing w:line="420" w:lineRule="exact"/>
        <w:jc w:val="center"/>
        <w:rPr>
          <w:rFonts w:hint="eastAsia" w:ascii="仿宋" w:hAnsi="仿宋" w:eastAsia="仿宋" w:cs="仿宋"/>
          <w:b/>
          <w:sz w:val="28"/>
          <w:szCs w:val="28"/>
          <w:highlight w:val="none"/>
        </w:rPr>
      </w:pPr>
    </w:p>
    <w:p w14:paraId="0E0CBB67">
      <w:pPr>
        <w:spacing w:line="42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附录2   资格审查条件（财务最低要求）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
      <w:tblGrid>
        <w:gridCol w:w="985"/>
        <w:gridCol w:w="8246"/>
      </w:tblGrid>
      <w:tr w14:paraId="089CCDD7">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964" w:hRule="atLeast"/>
          <w:jc w:val="center"/>
        </w:trPr>
        <w:tc>
          <w:tcPr>
            <w:tcW w:w="985" w:type="dxa"/>
            <w:tcBorders>
              <w:right w:val="single" w:color="auto" w:sz="4" w:space="0"/>
            </w:tcBorders>
            <w:noWrap w:val="0"/>
            <w:vAlign w:val="center"/>
          </w:tcPr>
          <w:p w14:paraId="6EBA4E05">
            <w:pPr>
              <w:spacing w:line="0" w:lineRule="atLeast"/>
              <w:jc w:val="center"/>
              <w:rPr>
                <w:rFonts w:hint="eastAsia" w:ascii="仿宋" w:hAnsi="仿宋" w:eastAsia="仿宋" w:cs="仿宋"/>
                <w:sz w:val="24"/>
                <w:highlight w:val="none"/>
              </w:rPr>
            </w:pPr>
            <w:r>
              <w:rPr>
                <w:rFonts w:hint="eastAsia" w:ascii="仿宋" w:hAnsi="仿宋" w:eastAsia="仿宋" w:cs="仿宋"/>
                <w:szCs w:val="21"/>
                <w:highlight w:val="none"/>
              </w:rPr>
              <w:t>标段</w:t>
            </w:r>
          </w:p>
        </w:tc>
        <w:tc>
          <w:tcPr>
            <w:tcW w:w="8246" w:type="dxa"/>
            <w:tcBorders>
              <w:left w:val="single" w:color="auto" w:sz="4" w:space="0"/>
            </w:tcBorders>
            <w:noWrap w:val="0"/>
            <w:vAlign w:val="center"/>
          </w:tcPr>
          <w:p w14:paraId="3445F862">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财务要求</w:t>
            </w:r>
          </w:p>
        </w:tc>
      </w:tr>
      <w:tr w14:paraId="6932143A">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1340" w:hRule="atLeast"/>
          <w:jc w:val="center"/>
        </w:trPr>
        <w:tc>
          <w:tcPr>
            <w:tcW w:w="985" w:type="dxa"/>
            <w:tcBorders>
              <w:right w:val="single" w:color="auto" w:sz="4" w:space="0"/>
            </w:tcBorders>
            <w:noWrap w:val="0"/>
            <w:vAlign w:val="center"/>
          </w:tcPr>
          <w:p w14:paraId="541DBA05">
            <w:pPr>
              <w:spacing w:line="0" w:lineRule="atLeast"/>
              <w:jc w:val="center"/>
              <w:rPr>
                <w:rFonts w:hint="eastAsia" w:ascii="仿宋" w:hAnsi="仿宋" w:eastAsia="仿宋" w:cs="仿宋"/>
                <w:sz w:val="24"/>
                <w:highlight w:val="none"/>
              </w:rPr>
            </w:pPr>
            <w:r>
              <w:rPr>
                <w:rFonts w:hint="eastAsia" w:ascii="仿宋" w:hAnsi="仿宋" w:eastAsia="仿宋" w:cs="仿宋"/>
                <w:szCs w:val="21"/>
                <w:highlight w:val="none"/>
              </w:rPr>
              <w:t>001</w:t>
            </w:r>
          </w:p>
        </w:tc>
        <w:tc>
          <w:tcPr>
            <w:tcW w:w="8246" w:type="dxa"/>
            <w:tcBorders>
              <w:left w:val="single" w:color="auto" w:sz="4" w:space="0"/>
            </w:tcBorders>
            <w:noWrap w:val="0"/>
            <w:vAlign w:val="center"/>
          </w:tcPr>
          <w:p w14:paraId="7C820D68">
            <w:pPr>
              <w:spacing w:line="40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lang w:val="en-US" w:eastAsia="zh-CN"/>
              </w:rPr>
              <w:t>(如为联合体形式投标，指联合体各成员)2024</w:t>
            </w:r>
            <w:r>
              <w:rPr>
                <w:rFonts w:hint="eastAsia" w:ascii="仿宋" w:hAnsi="仿宋" w:eastAsia="仿宋" w:cs="仿宋"/>
                <w:szCs w:val="21"/>
                <w:highlight w:val="none"/>
                <w:lang w:eastAsia="zh-CN"/>
              </w:rPr>
              <w:t>年度（</w:t>
            </w:r>
            <w:r>
              <w:rPr>
                <w:rFonts w:hint="eastAsia" w:ascii="仿宋" w:hAnsi="仿宋" w:eastAsia="仿宋" w:cs="仿宋"/>
                <w:szCs w:val="21"/>
                <w:highlight w:val="none"/>
                <w:lang w:val="en-US" w:eastAsia="zh-CN"/>
              </w:rPr>
              <w:t>年末）</w:t>
            </w:r>
            <w:r>
              <w:rPr>
                <w:rFonts w:hint="eastAsia" w:ascii="仿宋" w:hAnsi="仿宋" w:eastAsia="仿宋" w:cs="仿宋"/>
                <w:szCs w:val="21"/>
                <w:highlight w:val="none"/>
                <w:lang w:eastAsia="zh-CN"/>
              </w:rPr>
              <w:t>流动资产与流动负债的比率大于1</w:t>
            </w:r>
            <w:r>
              <w:rPr>
                <w:rFonts w:hint="eastAsia" w:ascii="仿宋" w:hAnsi="仿宋" w:eastAsia="仿宋" w:cs="仿宋"/>
                <w:szCs w:val="21"/>
                <w:highlight w:val="none"/>
              </w:rPr>
              <w:t>。</w:t>
            </w:r>
          </w:p>
        </w:tc>
      </w:tr>
    </w:tbl>
    <w:p w14:paraId="12759FCE">
      <w:pPr>
        <w:tabs>
          <w:tab w:val="left" w:pos="4320"/>
        </w:tabs>
        <w:autoSpaceDE w:val="0"/>
        <w:autoSpaceDN w:val="0"/>
        <w:adjustRightInd w:val="0"/>
        <w:spacing w:line="360" w:lineRule="auto"/>
        <w:ind w:firstLine="422" w:firstLineChars="200"/>
        <w:rPr>
          <w:rFonts w:hint="eastAsia" w:ascii="仿宋" w:hAnsi="仿宋" w:eastAsia="仿宋" w:cs="仿宋"/>
          <w:b/>
          <w:sz w:val="28"/>
          <w:szCs w:val="28"/>
        </w:rPr>
      </w:pPr>
      <w:r>
        <w:rPr>
          <w:rFonts w:hint="eastAsia" w:ascii="仿宋" w:hAnsi="仿宋" w:eastAsia="仿宋" w:cs="仿宋"/>
          <w:b/>
          <w:bCs w:val="0"/>
        </w:rPr>
        <w:t>注：本表为强制性基本要求，投标人如不满足上述强制性资格条件，将被认为资格审查不合格。</w:t>
      </w:r>
    </w:p>
    <w:p w14:paraId="79E78A17">
      <w:pPr>
        <w:spacing w:line="420" w:lineRule="exact"/>
        <w:jc w:val="center"/>
        <w:rPr>
          <w:rFonts w:hint="eastAsia" w:ascii="仿宋" w:hAnsi="仿宋" w:eastAsia="仿宋" w:cs="仿宋"/>
          <w:b/>
          <w:sz w:val="28"/>
          <w:szCs w:val="28"/>
        </w:rPr>
      </w:pPr>
    </w:p>
    <w:p w14:paraId="02DA5B6B">
      <w:pPr>
        <w:spacing w:line="420" w:lineRule="exact"/>
        <w:jc w:val="center"/>
        <w:rPr>
          <w:rFonts w:hint="eastAsia" w:ascii="仿宋" w:hAnsi="仿宋" w:eastAsia="仿宋" w:cs="仿宋"/>
          <w:b/>
          <w:sz w:val="28"/>
          <w:szCs w:val="28"/>
        </w:rPr>
      </w:pPr>
    </w:p>
    <w:p w14:paraId="1176B012">
      <w:pPr>
        <w:spacing w:line="420" w:lineRule="exact"/>
        <w:jc w:val="center"/>
        <w:rPr>
          <w:rFonts w:hint="eastAsia" w:ascii="仿宋" w:hAnsi="仿宋" w:eastAsia="仿宋" w:cs="仿宋"/>
          <w:b/>
          <w:sz w:val="28"/>
          <w:szCs w:val="28"/>
        </w:rPr>
      </w:pPr>
    </w:p>
    <w:p w14:paraId="6A3A1917">
      <w:pPr>
        <w:spacing w:line="420" w:lineRule="exact"/>
        <w:jc w:val="center"/>
        <w:rPr>
          <w:rFonts w:hint="eastAsia" w:ascii="仿宋" w:hAnsi="仿宋" w:eastAsia="仿宋" w:cs="仿宋"/>
          <w:b/>
          <w:sz w:val="28"/>
          <w:szCs w:val="28"/>
        </w:rPr>
      </w:pPr>
    </w:p>
    <w:p w14:paraId="35A3274F">
      <w:pPr>
        <w:pStyle w:val="6"/>
        <w:rPr>
          <w:rFonts w:hint="eastAsia"/>
        </w:rPr>
      </w:pPr>
    </w:p>
    <w:p w14:paraId="4B66601C">
      <w:pPr>
        <w:spacing w:line="420" w:lineRule="exact"/>
        <w:jc w:val="both"/>
        <w:rPr>
          <w:rFonts w:hint="eastAsia" w:ascii="仿宋" w:hAnsi="仿宋" w:eastAsia="仿宋" w:cs="仿宋"/>
          <w:b/>
          <w:sz w:val="28"/>
          <w:szCs w:val="28"/>
        </w:rPr>
      </w:pPr>
    </w:p>
    <w:p w14:paraId="1FCA195D">
      <w:pPr>
        <w:spacing w:line="420" w:lineRule="exact"/>
        <w:jc w:val="center"/>
        <w:rPr>
          <w:rFonts w:hint="eastAsia" w:ascii="仿宋" w:hAnsi="仿宋" w:eastAsia="仿宋" w:cs="仿宋"/>
          <w:b/>
          <w:sz w:val="28"/>
          <w:szCs w:val="28"/>
        </w:rPr>
      </w:pPr>
      <w:r>
        <w:rPr>
          <w:rFonts w:hint="eastAsia" w:ascii="仿宋" w:hAnsi="仿宋" w:eastAsia="仿宋" w:cs="仿宋"/>
          <w:b/>
          <w:sz w:val="28"/>
          <w:szCs w:val="28"/>
        </w:rPr>
        <w:t>附录</w:t>
      </w:r>
      <w:r>
        <w:rPr>
          <w:rFonts w:hint="eastAsia" w:ascii="仿宋" w:hAnsi="仿宋" w:eastAsia="仿宋" w:cs="仿宋"/>
          <w:b/>
          <w:sz w:val="28"/>
          <w:szCs w:val="28"/>
          <w:lang w:val="en-US" w:eastAsia="zh-CN"/>
        </w:rPr>
        <w:t xml:space="preserve">3  </w:t>
      </w:r>
      <w:r>
        <w:rPr>
          <w:rFonts w:hint="eastAsia" w:ascii="仿宋" w:hAnsi="仿宋" w:eastAsia="仿宋" w:cs="仿宋"/>
          <w:b/>
          <w:sz w:val="28"/>
          <w:szCs w:val="28"/>
        </w:rPr>
        <w:t>资格审查条件（业绩最低要求）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974"/>
        <w:gridCol w:w="8309"/>
      </w:tblGrid>
      <w:tr w14:paraId="723F6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483" w:hRule="atLeast"/>
          <w:jc w:val="center"/>
        </w:trPr>
        <w:tc>
          <w:tcPr>
            <w:tcW w:w="974" w:type="dxa"/>
            <w:tcBorders>
              <w:tl2br w:val="nil"/>
              <w:tr2bl w:val="nil"/>
            </w:tcBorders>
            <w:vAlign w:val="center"/>
          </w:tcPr>
          <w:p w14:paraId="778C8346">
            <w:pPr>
              <w:spacing w:line="0" w:lineRule="atLeast"/>
              <w:jc w:val="center"/>
              <w:rPr>
                <w:rFonts w:hint="eastAsia" w:ascii="仿宋" w:hAnsi="仿宋" w:eastAsia="仿宋" w:cs="仿宋"/>
                <w:szCs w:val="21"/>
              </w:rPr>
            </w:pPr>
            <w:r>
              <w:rPr>
                <w:rFonts w:hint="eastAsia" w:ascii="仿宋" w:hAnsi="仿宋" w:eastAsia="仿宋" w:cs="仿宋"/>
                <w:szCs w:val="21"/>
              </w:rPr>
              <w:t>标段</w:t>
            </w:r>
          </w:p>
        </w:tc>
        <w:tc>
          <w:tcPr>
            <w:tcW w:w="8309" w:type="dxa"/>
            <w:tcBorders>
              <w:tl2br w:val="nil"/>
              <w:tr2bl w:val="nil"/>
            </w:tcBorders>
            <w:vAlign w:val="center"/>
          </w:tcPr>
          <w:p w14:paraId="39572EA4">
            <w:pPr>
              <w:spacing w:line="0" w:lineRule="atLeast"/>
              <w:jc w:val="center"/>
              <w:rPr>
                <w:rFonts w:hint="eastAsia" w:ascii="仿宋" w:hAnsi="仿宋" w:eastAsia="仿宋" w:cs="仿宋"/>
                <w:szCs w:val="21"/>
              </w:rPr>
            </w:pPr>
            <w:r>
              <w:rPr>
                <w:rFonts w:hint="eastAsia" w:ascii="仿宋" w:hAnsi="仿宋" w:eastAsia="仿宋" w:cs="仿宋"/>
                <w:szCs w:val="21"/>
              </w:rPr>
              <w:t>业绩要求</w:t>
            </w:r>
          </w:p>
        </w:tc>
      </w:tr>
      <w:tr w14:paraId="4D39A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1463" w:hRule="atLeast"/>
          <w:jc w:val="center"/>
        </w:trPr>
        <w:tc>
          <w:tcPr>
            <w:tcW w:w="974" w:type="dxa"/>
            <w:tcBorders>
              <w:tl2br w:val="nil"/>
              <w:tr2bl w:val="nil"/>
            </w:tcBorders>
            <w:vAlign w:val="center"/>
          </w:tcPr>
          <w:p w14:paraId="4FB1647E">
            <w:pPr>
              <w:jc w:val="center"/>
              <w:rPr>
                <w:rFonts w:hint="eastAsia" w:ascii="仿宋" w:hAnsi="仿宋" w:eastAsia="仿宋" w:cs="仿宋"/>
                <w:color w:val="000000"/>
                <w:kern w:val="0"/>
                <w:szCs w:val="21"/>
              </w:rPr>
            </w:pPr>
            <w:r>
              <w:rPr>
                <w:rFonts w:hint="eastAsia" w:ascii="仿宋" w:hAnsi="仿宋" w:eastAsia="仿宋" w:cs="仿宋"/>
                <w:szCs w:val="21"/>
              </w:rPr>
              <w:t>001</w:t>
            </w:r>
          </w:p>
        </w:tc>
        <w:tc>
          <w:tcPr>
            <w:tcW w:w="8309" w:type="dxa"/>
            <w:tcBorders>
              <w:tl2br w:val="nil"/>
              <w:tr2bl w:val="nil"/>
            </w:tcBorders>
            <w:vAlign w:val="center"/>
          </w:tcPr>
          <w:p w14:paraId="53EFCA25">
            <w:pPr>
              <w:spacing w:line="360" w:lineRule="auto"/>
              <w:jc w:val="left"/>
              <w:rPr>
                <w:rFonts w:hint="eastAsia" w:ascii="仿宋" w:hAnsi="仿宋" w:eastAsia="仿宋" w:cs="仿宋"/>
                <w:szCs w:val="21"/>
                <w:highlight w:val="cyan"/>
              </w:rPr>
            </w:pPr>
            <w:r>
              <w:rPr>
                <w:rFonts w:hint="eastAsia" w:ascii="仿宋" w:hAnsi="仿宋" w:eastAsia="仿宋" w:cs="仿宋"/>
                <w:szCs w:val="21"/>
                <w:highlight w:val="none"/>
                <w:lang w:val="en-US" w:eastAsia="zh-CN"/>
              </w:rPr>
              <w:t>投标人近五年内（2020年11月1日至投标文件递交截止日，以交工或竣工验收时间为准）至少完成过1项高速公路养护工程监理工作（监理内容须包含路基、路面、桥梁、隧道、交安；可提供多项业绩，予以累计认定）。</w:t>
            </w:r>
          </w:p>
        </w:tc>
      </w:tr>
    </w:tbl>
    <w:p w14:paraId="1480E567">
      <w:pPr>
        <w:tabs>
          <w:tab w:val="left" w:pos="4320"/>
        </w:tabs>
        <w:autoSpaceDE w:val="0"/>
        <w:autoSpaceDN w:val="0"/>
        <w:adjustRightInd w:val="0"/>
        <w:spacing w:line="360" w:lineRule="auto"/>
        <w:ind w:firstLine="422" w:firstLineChars="200"/>
        <w:rPr>
          <w:rFonts w:hint="eastAsia" w:ascii="仿宋" w:hAnsi="仿宋" w:eastAsia="仿宋" w:cs="仿宋"/>
          <w:b/>
          <w:bCs w:val="0"/>
        </w:rPr>
      </w:pPr>
      <w:r>
        <w:rPr>
          <w:rFonts w:hint="eastAsia" w:ascii="仿宋" w:hAnsi="仿宋" w:eastAsia="仿宋" w:cs="仿宋"/>
          <w:b/>
          <w:bCs w:val="0"/>
        </w:rPr>
        <w:t>注：</w:t>
      </w:r>
      <w:r>
        <w:rPr>
          <w:rFonts w:hint="eastAsia" w:ascii="仿宋" w:hAnsi="仿宋" w:eastAsia="仿宋" w:cs="仿宋"/>
          <w:b/>
          <w:bCs w:val="0"/>
          <w:lang w:val="en-US" w:eastAsia="zh-CN"/>
        </w:rPr>
        <w:t>1、</w:t>
      </w:r>
      <w:r>
        <w:rPr>
          <w:rFonts w:hint="eastAsia" w:ascii="仿宋" w:hAnsi="仿宋" w:eastAsia="仿宋" w:cs="仿宋"/>
          <w:b/>
          <w:bCs w:val="0"/>
        </w:rPr>
        <w:t>本表为强制性基本要求，投标人如不满足上述强制性资格条件，将被认为资格审查不合格。</w:t>
      </w:r>
    </w:p>
    <w:p w14:paraId="637B5FE3">
      <w:pPr>
        <w:numPr>
          <w:ilvl w:val="0"/>
          <w:numId w:val="0"/>
        </w:numPr>
        <w:tabs>
          <w:tab w:val="left" w:pos="4320"/>
        </w:tabs>
        <w:autoSpaceDE w:val="0"/>
        <w:autoSpaceDN w:val="0"/>
        <w:adjustRightInd w:val="0"/>
        <w:spacing w:line="360" w:lineRule="auto"/>
        <w:ind w:firstLine="843" w:firstLineChars="400"/>
        <w:rPr>
          <w:rFonts w:hint="eastAsia" w:ascii="仿宋" w:hAnsi="仿宋" w:eastAsia="仿宋" w:cs="仿宋"/>
          <w:b/>
          <w:bCs w:val="0"/>
          <w:highlight w:val="none"/>
          <w:lang w:val="en-US" w:eastAsia="zh-CN"/>
        </w:rPr>
      </w:pPr>
      <w:r>
        <w:rPr>
          <w:rFonts w:hint="eastAsia" w:ascii="仿宋" w:hAnsi="仿宋" w:eastAsia="仿宋" w:cs="仿宋"/>
          <w:b/>
          <w:bCs w:val="0"/>
          <w:highlight w:val="none"/>
          <w:lang w:val="en-US" w:eastAsia="zh-CN"/>
        </w:rPr>
        <w:t>2、如为联合体投标，联合体各成员单位可累计满足上述条件。</w:t>
      </w:r>
    </w:p>
    <w:p w14:paraId="32FED546">
      <w:pPr>
        <w:tabs>
          <w:tab w:val="left" w:pos="4320"/>
        </w:tabs>
        <w:autoSpaceDE w:val="0"/>
        <w:autoSpaceDN w:val="0"/>
        <w:adjustRightInd w:val="0"/>
        <w:spacing w:line="360" w:lineRule="auto"/>
        <w:ind w:firstLine="422" w:firstLineChars="200"/>
        <w:rPr>
          <w:rFonts w:hint="eastAsia" w:ascii="仿宋" w:hAnsi="仿宋" w:eastAsia="仿宋" w:cs="仿宋"/>
          <w:b/>
          <w:bCs w:val="0"/>
          <w:highlight w:val="none"/>
          <w:lang w:val="en-US" w:eastAsia="zh-CN"/>
        </w:rPr>
      </w:pPr>
    </w:p>
    <w:p w14:paraId="60B61868">
      <w:pPr>
        <w:widowControl/>
        <w:jc w:val="center"/>
        <w:rPr>
          <w:rFonts w:hint="eastAsia" w:ascii="仿宋" w:hAnsi="仿宋" w:eastAsia="仿宋" w:cs="仿宋"/>
          <w:sz w:val="28"/>
          <w:szCs w:val="24"/>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 xml:space="preserve">4  </w:t>
      </w:r>
      <w:r>
        <w:rPr>
          <w:rFonts w:hint="eastAsia" w:ascii="仿宋" w:hAnsi="仿宋" w:eastAsia="仿宋" w:cs="仿宋"/>
          <w:b/>
          <w:sz w:val="28"/>
          <w:szCs w:val="28"/>
        </w:rPr>
        <w:t>资格审查条件</w:t>
      </w:r>
      <w:r>
        <w:rPr>
          <w:rFonts w:hint="eastAsia" w:ascii="仿宋" w:hAnsi="仿宋" w:eastAsia="仿宋" w:cs="仿宋"/>
          <w:b/>
          <w:bCs/>
          <w:sz w:val="28"/>
          <w:szCs w:val="28"/>
        </w:rPr>
        <w:t>（信誉最低要求）</w:t>
      </w:r>
    </w:p>
    <w:tbl>
      <w:tblPr>
        <w:tblStyle w:val="10"/>
        <w:tblW w:w="9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275"/>
      </w:tblGrid>
      <w:tr w14:paraId="6860F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94" w:type="dxa"/>
            <w:tcBorders>
              <w:tl2br w:val="nil"/>
              <w:tr2bl w:val="nil"/>
            </w:tcBorders>
            <w:vAlign w:val="center"/>
          </w:tcPr>
          <w:p w14:paraId="74DC7126">
            <w:pPr>
              <w:spacing w:line="0" w:lineRule="atLeast"/>
              <w:jc w:val="center"/>
              <w:rPr>
                <w:rFonts w:hint="eastAsia" w:ascii="仿宋" w:hAnsi="仿宋" w:eastAsia="仿宋" w:cs="仿宋"/>
                <w:snapToGrid w:val="0"/>
                <w:kern w:val="0"/>
              </w:rPr>
            </w:pPr>
            <w:r>
              <w:rPr>
                <w:rFonts w:hint="eastAsia" w:ascii="仿宋" w:hAnsi="仿宋" w:eastAsia="仿宋" w:cs="仿宋"/>
                <w:szCs w:val="21"/>
              </w:rPr>
              <w:t>标段</w:t>
            </w:r>
          </w:p>
        </w:tc>
        <w:tc>
          <w:tcPr>
            <w:tcW w:w="8275" w:type="dxa"/>
            <w:tcBorders>
              <w:tl2br w:val="nil"/>
              <w:tr2bl w:val="nil"/>
            </w:tcBorders>
            <w:vAlign w:val="center"/>
          </w:tcPr>
          <w:p w14:paraId="4F068163">
            <w:pPr>
              <w:spacing w:line="360" w:lineRule="auto"/>
              <w:jc w:val="center"/>
              <w:rPr>
                <w:rFonts w:hint="eastAsia" w:ascii="仿宋" w:hAnsi="仿宋" w:eastAsia="仿宋" w:cs="仿宋"/>
                <w:b/>
                <w:bCs/>
                <w:snapToGrid w:val="0"/>
                <w:kern w:val="0"/>
              </w:rPr>
            </w:pPr>
            <w:r>
              <w:rPr>
                <w:rFonts w:hint="eastAsia" w:ascii="仿宋" w:hAnsi="仿宋" w:eastAsia="仿宋" w:cs="仿宋"/>
                <w:b/>
                <w:bCs/>
                <w:snapToGrid w:val="0"/>
                <w:kern w:val="0"/>
              </w:rPr>
              <w:t>信誉要求</w:t>
            </w:r>
          </w:p>
        </w:tc>
      </w:tr>
      <w:tr w14:paraId="7AA25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994" w:type="dxa"/>
            <w:tcBorders>
              <w:tl2br w:val="nil"/>
              <w:tr2bl w:val="nil"/>
            </w:tcBorders>
            <w:vAlign w:val="center"/>
          </w:tcPr>
          <w:p w14:paraId="2A7DFA40">
            <w:pPr>
              <w:jc w:val="center"/>
              <w:rPr>
                <w:rFonts w:hint="eastAsia" w:ascii="仿宋" w:hAnsi="仿宋" w:eastAsia="仿宋" w:cs="仿宋"/>
                <w:b/>
              </w:rPr>
            </w:pPr>
            <w:r>
              <w:rPr>
                <w:rFonts w:hint="eastAsia" w:ascii="仿宋" w:hAnsi="仿宋" w:eastAsia="仿宋" w:cs="仿宋"/>
                <w:szCs w:val="21"/>
              </w:rPr>
              <w:t>001</w:t>
            </w:r>
          </w:p>
        </w:tc>
        <w:tc>
          <w:tcPr>
            <w:tcW w:w="8275" w:type="dxa"/>
            <w:tcBorders>
              <w:tl2br w:val="nil"/>
              <w:tr2bl w:val="nil"/>
            </w:tcBorders>
            <w:vAlign w:val="center"/>
          </w:tcPr>
          <w:p w14:paraId="479186FD">
            <w:pPr>
              <w:pStyle w:val="7"/>
              <w:ind w:firstLine="315"/>
              <w:jc w:val="left"/>
              <w:rPr>
                <w:rFonts w:hint="eastAsia" w:ascii="仿宋" w:hAnsi="仿宋" w:eastAsia="仿宋" w:cs="仿宋"/>
                <w:kern w:val="0"/>
                <w:sz w:val="21"/>
                <w:szCs w:val="21"/>
              </w:rPr>
            </w:pPr>
            <w:r>
              <w:rPr>
                <w:rFonts w:hint="eastAsia" w:ascii="仿宋" w:hAnsi="仿宋" w:eastAsia="仿宋" w:cs="仿宋"/>
                <w:kern w:val="0"/>
                <w:sz w:val="21"/>
                <w:szCs w:val="21"/>
              </w:rPr>
              <w:t>（1）投标人未被交通运输部或山西省交通运输厅取消投标资格或禁止进入建设市场的施工监理企业，在处罚期内；</w:t>
            </w:r>
          </w:p>
          <w:p w14:paraId="66DC1544">
            <w:pPr>
              <w:pStyle w:val="7"/>
              <w:ind w:firstLine="315"/>
              <w:jc w:val="left"/>
              <w:rPr>
                <w:rFonts w:hint="eastAsia" w:ascii="仿宋" w:hAnsi="仿宋" w:eastAsia="仿宋" w:cs="仿宋"/>
                <w:kern w:val="0"/>
                <w:sz w:val="21"/>
                <w:szCs w:val="21"/>
              </w:rPr>
            </w:pPr>
            <w:bookmarkStart w:id="14" w:name="OLE_LINK4"/>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）未被责令停业，暂扣或吊销执照，或吊销资质证书；</w:t>
            </w:r>
          </w:p>
          <w:p w14:paraId="4392539A">
            <w:pPr>
              <w:pStyle w:val="7"/>
              <w:ind w:firstLine="315"/>
              <w:jc w:val="left"/>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）未进入清算程序，或被宣告破产，或其他丧失履约能力的情形；</w:t>
            </w:r>
          </w:p>
          <w:bookmarkEnd w:id="14"/>
          <w:p w14:paraId="75A55968">
            <w:pPr>
              <w:pStyle w:val="7"/>
              <w:ind w:firstLine="315"/>
              <w:jc w:val="left"/>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）在“信用中国”网站（https://www.creditchina.gov.cn/）未被列入“</w:t>
            </w:r>
            <w:r>
              <w:rPr>
                <w:rFonts w:hint="eastAsia" w:ascii="仿宋" w:hAnsi="仿宋" w:eastAsia="仿宋" w:cs="仿宋"/>
                <w:kern w:val="0"/>
                <w:sz w:val="21"/>
                <w:szCs w:val="21"/>
                <w:lang w:val="en-US" w:eastAsia="zh-CN"/>
              </w:rPr>
              <w:t>严重失信主体名单</w:t>
            </w:r>
            <w:r>
              <w:rPr>
                <w:rFonts w:hint="eastAsia" w:ascii="仿宋" w:hAnsi="仿宋" w:eastAsia="仿宋" w:cs="仿宋"/>
                <w:kern w:val="0"/>
                <w:sz w:val="21"/>
                <w:szCs w:val="21"/>
              </w:rPr>
              <w:t>”。</w:t>
            </w:r>
          </w:p>
          <w:p w14:paraId="5407B4A5">
            <w:pPr>
              <w:pStyle w:val="7"/>
              <w:ind w:firstLine="315"/>
              <w:jc w:val="left"/>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）在“国家企业信用信息公示系统”中未被列入严重违法失信名单（黑名单）。</w:t>
            </w:r>
          </w:p>
          <w:p w14:paraId="01565C0C">
            <w:pPr>
              <w:pStyle w:val="7"/>
              <w:ind w:firstLine="315"/>
              <w:jc w:val="left"/>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）投标人及其法定代表人、拟任总监理工程师近三年（</w:t>
            </w:r>
            <w:r>
              <w:rPr>
                <w:rFonts w:hint="eastAsia" w:ascii="仿宋" w:hAnsi="仿宋" w:eastAsia="仿宋" w:cs="仿宋"/>
                <w:kern w:val="0"/>
                <w:sz w:val="21"/>
                <w:szCs w:val="21"/>
                <w:lang w:eastAsia="zh-CN"/>
              </w:rPr>
              <w:t>202</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lang w:eastAsia="zh-CN"/>
              </w:rPr>
              <w:t>年</w:t>
            </w:r>
            <w:r>
              <w:rPr>
                <w:rFonts w:hint="eastAsia" w:ascii="仿宋" w:hAnsi="仿宋" w:eastAsia="仿宋" w:cs="仿宋"/>
                <w:kern w:val="0"/>
                <w:sz w:val="21"/>
                <w:szCs w:val="21"/>
                <w:lang w:val="en-US" w:eastAsia="zh-CN"/>
              </w:rPr>
              <w:t>11月</w:t>
            </w:r>
            <w:r>
              <w:rPr>
                <w:rFonts w:hint="eastAsia" w:ascii="仿宋" w:hAnsi="仿宋" w:eastAsia="仿宋" w:cs="仿宋"/>
                <w:kern w:val="0"/>
                <w:sz w:val="21"/>
                <w:szCs w:val="21"/>
              </w:rPr>
              <w:t>1日以来）</w:t>
            </w:r>
            <w:r>
              <w:rPr>
                <w:rFonts w:hint="eastAsia" w:ascii="仿宋" w:hAnsi="仿宋" w:eastAsia="仿宋" w:cs="仿宋"/>
                <w:kern w:val="0"/>
                <w:sz w:val="21"/>
                <w:szCs w:val="21"/>
                <w:lang w:eastAsia="zh-CN"/>
              </w:rPr>
              <w:t>无行贿犯罪行为</w:t>
            </w:r>
            <w:r>
              <w:rPr>
                <w:rFonts w:hint="eastAsia" w:ascii="仿宋" w:hAnsi="仿宋" w:eastAsia="仿宋" w:cs="仿宋"/>
                <w:kern w:val="0"/>
                <w:sz w:val="21"/>
                <w:szCs w:val="21"/>
              </w:rPr>
              <w:t>。</w:t>
            </w:r>
          </w:p>
          <w:p w14:paraId="1A24D9F8">
            <w:pPr>
              <w:pStyle w:val="7"/>
              <w:ind w:firstLine="315"/>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（7）投标人未在“山西交通控股集团有限公司电子招投标采购交易平台”中被列入供应商黑名单。</w:t>
            </w:r>
          </w:p>
          <w:p w14:paraId="4BFFD4B4">
            <w:pPr>
              <w:pStyle w:val="7"/>
              <w:ind w:firstLine="316"/>
              <w:jc w:val="left"/>
              <w:rPr>
                <w:rFonts w:hint="eastAsia" w:ascii="仿宋" w:hAnsi="仿宋" w:eastAsia="仿宋" w:cs="仿宋"/>
                <w:b/>
                <w:kern w:val="0"/>
                <w:sz w:val="21"/>
                <w:szCs w:val="21"/>
              </w:rPr>
            </w:pPr>
            <w:r>
              <w:rPr>
                <w:rFonts w:hint="eastAsia" w:ascii="仿宋" w:hAnsi="仿宋" w:eastAsia="仿宋" w:cs="仿宋"/>
                <w:b/>
                <w:kern w:val="0"/>
                <w:sz w:val="21"/>
                <w:szCs w:val="21"/>
              </w:rPr>
              <w:t>（投标人以上信息如未如实填报，一经查实，立即取消其投标资格。）</w:t>
            </w:r>
          </w:p>
        </w:tc>
      </w:tr>
    </w:tbl>
    <w:p w14:paraId="7D604A6A">
      <w:pPr>
        <w:tabs>
          <w:tab w:val="left" w:pos="4320"/>
        </w:tabs>
        <w:autoSpaceDE w:val="0"/>
        <w:autoSpaceDN w:val="0"/>
        <w:adjustRightInd w:val="0"/>
        <w:spacing w:line="360" w:lineRule="auto"/>
        <w:ind w:firstLine="422" w:firstLineChars="200"/>
        <w:rPr>
          <w:rFonts w:hint="eastAsia" w:ascii="仿宋" w:hAnsi="仿宋" w:eastAsia="仿宋" w:cs="仿宋"/>
          <w:bCs/>
        </w:rPr>
      </w:pPr>
      <w:r>
        <w:rPr>
          <w:rFonts w:hint="eastAsia" w:ascii="仿宋" w:hAnsi="仿宋" w:eastAsia="仿宋" w:cs="仿宋"/>
          <w:b/>
          <w:bCs w:val="0"/>
        </w:rPr>
        <w:t>注：本表为强制性基本要求，投标人</w:t>
      </w:r>
      <w:r>
        <w:rPr>
          <w:rFonts w:hint="eastAsia" w:ascii="仿宋" w:hAnsi="仿宋" w:eastAsia="仿宋" w:cs="仿宋"/>
          <w:b/>
          <w:bCs w:val="0"/>
          <w:lang w:val="en-US" w:eastAsia="zh-CN"/>
        </w:rPr>
        <w:t>(如为联合体形式投标，指联合体各成员)</w:t>
      </w:r>
      <w:r>
        <w:rPr>
          <w:rFonts w:hint="eastAsia" w:ascii="仿宋" w:hAnsi="仿宋" w:eastAsia="仿宋" w:cs="仿宋"/>
          <w:b/>
          <w:bCs w:val="0"/>
        </w:rPr>
        <w:t>如不满足上述强制性资格条件中的任何一条，将被认为资格审查不合格。</w:t>
      </w:r>
    </w:p>
    <w:p w14:paraId="2861114B">
      <w:pPr>
        <w:tabs>
          <w:tab w:val="left" w:pos="4320"/>
        </w:tabs>
        <w:autoSpaceDE w:val="0"/>
        <w:autoSpaceDN w:val="0"/>
        <w:adjustRightInd w:val="0"/>
        <w:spacing w:line="360" w:lineRule="auto"/>
        <w:rPr>
          <w:rFonts w:hint="eastAsia" w:ascii="仿宋" w:hAnsi="仿宋" w:eastAsia="仿宋" w:cs="仿宋"/>
          <w:bCs/>
        </w:rPr>
      </w:pPr>
    </w:p>
    <w:p w14:paraId="6B9083D9">
      <w:pPr>
        <w:rPr>
          <w:rFonts w:hint="eastAsia" w:ascii="仿宋" w:hAnsi="仿宋" w:eastAsia="仿宋" w:cs="仿宋"/>
          <w:b/>
          <w:bCs/>
          <w:sz w:val="28"/>
          <w:szCs w:val="28"/>
        </w:rPr>
      </w:pPr>
      <w:r>
        <w:rPr>
          <w:rFonts w:hint="eastAsia" w:ascii="仿宋" w:hAnsi="仿宋" w:eastAsia="仿宋" w:cs="仿宋"/>
          <w:b/>
          <w:bCs/>
          <w:sz w:val="28"/>
          <w:szCs w:val="28"/>
        </w:rPr>
        <w:br w:type="page"/>
      </w:r>
    </w:p>
    <w:p w14:paraId="4306CB55">
      <w:pPr>
        <w:widowControl/>
        <w:jc w:val="center"/>
        <w:rPr>
          <w:rFonts w:hint="eastAsia" w:ascii="仿宋" w:hAnsi="仿宋" w:eastAsia="仿宋" w:cs="仿宋"/>
          <w:b/>
          <w:sz w:val="28"/>
          <w:szCs w:val="28"/>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 xml:space="preserve">5  </w:t>
      </w:r>
      <w:r>
        <w:rPr>
          <w:rFonts w:hint="eastAsia" w:ascii="仿宋" w:hAnsi="仿宋" w:eastAsia="仿宋" w:cs="仿宋"/>
          <w:b/>
          <w:sz w:val="28"/>
          <w:szCs w:val="28"/>
        </w:rPr>
        <w:t>资格审查条件（</w:t>
      </w:r>
      <w:r>
        <w:rPr>
          <w:rFonts w:hint="eastAsia" w:ascii="仿宋" w:hAnsi="仿宋" w:eastAsia="仿宋" w:cs="仿宋"/>
          <w:b/>
          <w:sz w:val="28"/>
          <w:szCs w:val="28"/>
          <w:lang w:val="en-US" w:eastAsia="zh-CN"/>
        </w:rPr>
        <w:t>人员</w:t>
      </w:r>
      <w:r>
        <w:rPr>
          <w:rFonts w:hint="eastAsia" w:ascii="仿宋" w:hAnsi="仿宋" w:eastAsia="仿宋" w:cs="仿宋"/>
          <w:b/>
          <w:sz w:val="28"/>
          <w:szCs w:val="28"/>
        </w:rPr>
        <w:t>最低要求）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832"/>
        <w:gridCol w:w="1092"/>
        <w:gridCol w:w="745"/>
        <w:gridCol w:w="4779"/>
        <w:gridCol w:w="2190"/>
      </w:tblGrid>
      <w:tr w14:paraId="101EF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58" w:hRule="atLeast"/>
          <w:jc w:val="center"/>
        </w:trPr>
        <w:tc>
          <w:tcPr>
            <w:tcW w:w="832" w:type="dxa"/>
            <w:tcBorders>
              <w:tl2br w:val="nil"/>
              <w:tr2bl w:val="nil"/>
            </w:tcBorders>
            <w:vAlign w:val="center"/>
          </w:tcPr>
          <w:p w14:paraId="7F43D01B">
            <w:pPr>
              <w:spacing w:line="0" w:lineRule="atLeast"/>
              <w:jc w:val="center"/>
              <w:rPr>
                <w:rFonts w:hint="eastAsia" w:ascii="仿宋" w:hAnsi="仿宋" w:eastAsia="仿宋" w:cs="仿宋"/>
                <w:szCs w:val="21"/>
              </w:rPr>
            </w:pPr>
            <w:r>
              <w:rPr>
                <w:rFonts w:hint="eastAsia" w:ascii="仿宋" w:hAnsi="仿宋" w:eastAsia="仿宋" w:cs="仿宋"/>
                <w:szCs w:val="21"/>
              </w:rPr>
              <w:t>标段</w:t>
            </w:r>
          </w:p>
        </w:tc>
        <w:tc>
          <w:tcPr>
            <w:tcW w:w="1092" w:type="dxa"/>
            <w:tcBorders>
              <w:tl2br w:val="nil"/>
              <w:tr2bl w:val="nil"/>
            </w:tcBorders>
            <w:vAlign w:val="center"/>
          </w:tcPr>
          <w:p w14:paraId="62EEECD1">
            <w:pPr>
              <w:spacing w:line="0" w:lineRule="atLeast"/>
              <w:jc w:val="center"/>
              <w:rPr>
                <w:rFonts w:hint="eastAsia" w:ascii="仿宋" w:hAnsi="仿宋" w:eastAsia="仿宋" w:cs="仿宋"/>
                <w:szCs w:val="21"/>
              </w:rPr>
            </w:pPr>
            <w:r>
              <w:rPr>
                <w:rFonts w:hint="eastAsia" w:ascii="仿宋" w:hAnsi="仿宋" w:eastAsia="仿宋" w:cs="仿宋"/>
                <w:szCs w:val="21"/>
              </w:rPr>
              <w:t>人员</w:t>
            </w:r>
          </w:p>
        </w:tc>
        <w:tc>
          <w:tcPr>
            <w:tcW w:w="745" w:type="dxa"/>
            <w:tcBorders>
              <w:tl2br w:val="nil"/>
              <w:tr2bl w:val="nil"/>
            </w:tcBorders>
            <w:vAlign w:val="center"/>
          </w:tcPr>
          <w:p w14:paraId="5B839214">
            <w:pPr>
              <w:spacing w:line="0" w:lineRule="atLeast"/>
              <w:jc w:val="center"/>
              <w:rPr>
                <w:rFonts w:hint="eastAsia" w:ascii="仿宋" w:hAnsi="仿宋" w:eastAsia="仿宋" w:cs="仿宋"/>
                <w:szCs w:val="21"/>
              </w:rPr>
            </w:pPr>
            <w:r>
              <w:rPr>
                <w:rFonts w:hint="eastAsia" w:ascii="仿宋" w:hAnsi="仿宋" w:eastAsia="仿宋" w:cs="仿宋"/>
                <w:szCs w:val="21"/>
              </w:rPr>
              <w:t>数量</w:t>
            </w:r>
          </w:p>
        </w:tc>
        <w:tc>
          <w:tcPr>
            <w:tcW w:w="4779" w:type="dxa"/>
            <w:tcBorders>
              <w:tl2br w:val="nil"/>
              <w:tr2bl w:val="nil"/>
            </w:tcBorders>
            <w:vAlign w:val="center"/>
          </w:tcPr>
          <w:p w14:paraId="2A92BB6F">
            <w:pPr>
              <w:spacing w:line="0" w:lineRule="atLeast"/>
              <w:jc w:val="center"/>
              <w:rPr>
                <w:rFonts w:hint="eastAsia" w:ascii="仿宋" w:hAnsi="仿宋" w:eastAsia="仿宋" w:cs="仿宋"/>
                <w:szCs w:val="21"/>
              </w:rPr>
            </w:pPr>
            <w:r>
              <w:rPr>
                <w:rFonts w:hint="eastAsia" w:ascii="仿宋" w:hAnsi="仿宋" w:eastAsia="仿宋" w:cs="仿宋"/>
                <w:szCs w:val="21"/>
              </w:rPr>
              <w:t>资格要求</w:t>
            </w:r>
          </w:p>
        </w:tc>
        <w:tc>
          <w:tcPr>
            <w:tcW w:w="2190" w:type="dxa"/>
            <w:tcBorders>
              <w:tl2br w:val="nil"/>
              <w:tr2bl w:val="nil"/>
            </w:tcBorders>
            <w:vAlign w:val="center"/>
          </w:tcPr>
          <w:p w14:paraId="56F3AB12">
            <w:pPr>
              <w:spacing w:line="0" w:lineRule="atLeast"/>
              <w:jc w:val="center"/>
              <w:rPr>
                <w:rFonts w:hint="eastAsia" w:ascii="仿宋" w:hAnsi="仿宋" w:eastAsia="仿宋" w:cs="仿宋"/>
                <w:szCs w:val="21"/>
              </w:rPr>
            </w:pPr>
            <w:r>
              <w:rPr>
                <w:rFonts w:hint="eastAsia" w:ascii="仿宋" w:hAnsi="仿宋" w:eastAsia="仿宋" w:cs="仿宋"/>
                <w:szCs w:val="21"/>
              </w:rPr>
              <w:t>在岗要求</w:t>
            </w:r>
          </w:p>
        </w:tc>
      </w:tr>
      <w:tr w14:paraId="399E2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cantSplit/>
          <w:trHeight w:val="3646" w:hRule="atLeast"/>
          <w:jc w:val="center"/>
        </w:trPr>
        <w:tc>
          <w:tcPr>
            <w:tcW w:w="832" w:type="dxa"/>
            <w:tcBorders>
              <w:tl2br w:val="nil"/>
              <w:tr2bl w:val="nil"/>
            </w:tcBorders>
            <w:vAlign w:val="center"/>
          </w:tcPr>
          <w:p w14:paraId="31239BBD">
            <w:pPr>
              <w:adjustRightInd w:val="0"/>
              <w:snapToGrid w:val="0"/>
              <w:spacing w:line="44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001</w:t>
            </w:r>
          </w:p>
        </w:tc>
        <w:tc>
          <w:tcPr>
            <w:tcW w:w="1092" w:type="dxa"/>
            <w:tcBorders>
              <w:tl2br w:val="nil"/>
              <w:tr2bl w:val="nil"/>
            </w:tcBorders>
            <w:vAlign w:val="center"/>
          </w:tcPr>
          <w:p w14:paraId="14203CEA">
            <w:pPr>
              <w:adjustRightInd w:val="0"/>
              <w:snapToGrid w:val="0"/>
              <w:spacing w:line="44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总监理工程师</w:t>
            </w:r>
          </w:p>
        </w:tc>
        <w:tc>
          <w:tcPr>
            <w:tcW w:w="745" w:type="dxa"/>
            <w:tcBorders>
              <w:tl2br w:val="nil"/>
              <w:tr2bl w:val="nil"/>
            </w:tcBorders>
            <w:vAlign w:val="center"/>
          </w:tcPr>
          <w:p w14:paraId="59AB3F49">
            <w:pPr>
              <w:adjustRightInd w:val="0"/>
              <w:snapToGrid w:val="0"/>
              <w:spacing w:line="440" w:lineRule="exact"/>
              <w:ind w:left="0" w:leftChars="-95" w:hanging="199" w:hangingChars="95"/>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  1</w:t>
            </w:r>
          </w:p>
        </w:tc>
        <w:tc>
          <w:tcPr>
            <w:tcW w:w="4779" w:type="dxa"/>
            <w:tcBorders>
              <w:tl2br w:val="nil"/>
              <w:tr2bl w:val="nil"/>
            </w:tcBorders>
            <w:vAlign w:val="center"/>
          </w:tcPr>
          <w:p w14:paraId="79A6FF2A">
            <w:pPr>
              <w:adjustRightInd w:val="0"/>
              <w:snapToGrid w:val="0"/>
              <w:spacing w:line="440" w:lineRule="exact"/>
              <w:ind w:firstLine="424" w:firstLineChars="202"/>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总监理工程师：1名，高级工程师或以上职称（公路工程相关专业），持有交通运输部或人社部和交通运输部联合颁发的监理工程师资格证书且在投标人单位注册登记；作为总监理工程师近五年内（2020年11月1日至投标文件递交截止日，以交工或竣工验收时间为准）至少</w:t>
            </w:r>
            <w:bookmarkStart w:id="15" w:name="_GoBack"/>
            <w:bookmarkEnd w:id="15"/>
            <w:r>
              <w:rPr>
                <w:rFonts w:hint="eastAsia" w:ascii="仿宋" w:hAnsi="仿宋" w:eastAsia="仿宋" w:cs="仿宋"/>
                <w:kern w:val="0"/>
                <w:sz w:val="21"/>
                <w:szCs w:val="21"/>
                <w:lang w:val="en-US" w:eastAsia="zh-CN" w:bidi="ar-SA"/>
              </w:rPr>
              <w:t>完成过1项高速公路养护工程施工监理业绩。</w:t>
            </w:r>
          </w:p>
        </w:tc>
        <w:tc>
          <w:tcPr>
            <w:tcW w:w="2190" w:type="dxa"/>
            <w:tcBorders>
              <w:tl2br w:val="nil"/>
              <w:tr2bl w:val="nil"/>
            </w:tcBorders>
            <w:vAlign w:val="center"/>
          </w:tcPr>
          <w:p w14:paraId="01A3DA3A">
            <w:pPr>
              <w:adjustRightInd w:val="0"/>
              <w:snapToGrid w:val="0"/>
              <w:spacing w:line="440" w:lineRule="exact"/>
              <w:ind w:firstLine="424" w:firstLineChars="202"/>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highlight w:val="none"/>
                <w:lang w:val="en-US" w:eastAsia="zh-CN" w:bidi="ar-SA"/>
              </w:rPr>
              <w:t>无在岗项目（指目前未在其他项目上任职，或虽在其他项目上任职但可提供业主出具的项目完工可撤离证明材料）</w:t>
            </w:r>
          </w:p>
        </w:tc>
      </w:tr>
    </w:tbl>
    <w:p w14:paraId="136928A4">
      <w:pPr>
        <w:widowControl w:val="0"/>
        <w:kinsoku/>
        <w:overflowPunct w:val="0"/>
        <w:autoSpaceDE/>
        <w:autoSpaceDN/>
        <w:adjustRightInd/>
        <w:snapToGrid/>
        <w:spacing w:line="360" w:lineRule="auto"/>
        <w:jc w:val="both"/>
        <w:textAlignment w:val="auto"/>
        <w:rPr>
          <w:rFonts w:hint="eastAsia" w:ascii="宋体" w:hAnsi="宋体" w:eastAsia="宋体" w:cs="宋体"/>
          <w:b/>
          <w:color w:val="auto"/>
          <w:sz w:val="36"/>
          <w:szCs w:val="36"/>
          <w:highlight w:val="none"/>
        </w:rPr>
      </w:pPr>
      <w:r>
        <w:rPr>
          <w:rFonts w:hint="eastAsia" w:ascii="仿宋" w:hAnsi="仿宋" w:eastAsia="仿宋" w:cs="仿宋"/>
          <w:b/>
          <w:bCs w:val="0"/>
        </w:rPr>
        <w:t>注：</w:t>
      </w:r>
      <w:r>
        <w:rPr>
          <w:rFonts w:hint="eastAsia" w:ascii="仿宋" w:hAnsi="仿宋" w:eastAsia="仿宋" w:cs="仿宋"/>
          <w:b/>
          <w:bCs w:val="0"/>
          <w:lang w:val="en-US" w:eastAsia="zh-CN"/>
        </w:rPr>
        <w:t>1、</w:t>
      </w:r>
      <w:r>
        <w:rPr>
          <w:rFonts w:hint="eastAsia" w:ascii="仿宋" w:hAnsi="仿宋" w:eastAsia="仿宋" w:cs="仿宋"/>
          <w:b/>
          <w:bCs w:val="0"/>
        </w:rPr>
        <w:t>本表为强制性基本要求，投标人如不满足上述强制性资格条件中的任何一条，将被认为资格审查不合格。</w:t>
      </w:r>
    </w:p>
    <w:bookmarkEnd w:id="3"/>
    <w:p w14:paraId="18F2E3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highlight w:val="none"/>
        </w:rPr>
      </w:pPr>
    </w:p>
    <w:p w14:paraId="5BECA1D8">
      <w:pPr>
        <w:keepNext w:val="0"/>
        <w:keepLines w:val="0"/>
        <w:pageBreakBefore w:val="0"/>
        <w:widowControl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9C59F0D-E5B0-4D4A-B90F-70B366B93C7C}"/>
  </w:font>
  <w:font w:name="仿宋">
    <w:panose1 w:val="02010609060101010101"/>
    <w:charset w:val="86"/>
    <w:family w:val="auto"/>
    <w:pitch w:val="default"/>
    <w:sig w:usb0="800002BF" w:usb1="38CF7CFA" w:usb2="00000016" w:usb3="00000000" w:csb0="00040001" w:csb1="00000000"/>
    <w:embedRegular r:id="rId2" w:fontKey="{80FE4808-B945-4C96-A4BB-9FB3206B6299}"/>
  </w:font>
  <w:font w:name="方正仿宋_GB2312">
    <w:panose1 w:val="02000000000000000000"/>
    <w:charset w:val="86"/>
    <w:family w:val="auto"/>
    <w:pitch w:val="default"/>
    <w:sig w:usb0="A00002BF" w:usb1="184F6CFA" w:usb2="00000012" w:usb3="00000000" w:csb0="00040001" w:csb1="00000000"/>
    <w:embedRegular r:id="rId3" w:fontKey="{A1A7670F-548F-4486-9737-11061F8F92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2C461"/>
    <w:multiLevelType w:val="singleLevel"/>
    <w:tmpl w:val="3C22C4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A7ADE"/>
    <w:rsid w:val="02141BFD"/>
    <w:rsid w:val="1095444C"/>
    <w:rsid w:val="2FBB48D4"/>
    <w:rsid w:val="35FE78E1"/>
    <w:rsid w:val="4E4D6EC1"/>
    <w:rsid w:val="53CA7ADE"/>
    <w:rsid w:val="74214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rPr>
      <w:rFonts w:ascii="宋体" w:eastAsia="宋体"/>
      <w:sz w:val="18"/>
      <w:szCs w:val="18"/>
    </w:rPr>
  </w:style>
  <w:style w:type="paragraph" w:styleId="5">
    <w:name w:val="Body Text 3"/>
    <w:basedOn w:val="1"/>
    <w:qFormat/>
    <w:uiPriority w:val="0"/>
    <w:pPr>
      <w:spacing w:after="120"/>
    </w:pPr>
    <w:rPr>
      <w:sz w:val="16"/>
      <w:szCs w:val="16"/>
    </w:rPr>
  </w:style>
  <w:style w:type="paragraph" w:styleId="6">
    <w:name w:val="Body Text"/>
    <w:basedOn w:val="1"/>
    <w:next w:val="1"/>
    <w:qFormat/>
    <w:uiPriority w:val="0"/>
    <w:pPr>
      <w:spacing w:after="120"/>
    </w:pPr>
  </w:style>
  <w:style w:type="paragraph" w:styleId="7">
    <w:name w:val="Body Text Indent"/>
    <w:basedOn w:val="1"/>
    <w:next w:val="4"/>
    <w:unhideWhenUsed/>
    <w:qFormat/>
    <w:uiPriority w:val="99"/>
    <w:pPr>
      <w:spacing w:line="360" w:lineRule="auto"/>
      <w:ind w:firstLine="360" w:firstLineChars="150"/>
    </w:pPr>
    <w:rPr>
      <w:sz w:val="24"/>
      <w:szCs w:val="24"/>
    </w:rPr>
  </w:style>
  <w:style w:type="paragraph" w:styleId="8">
    <w:name w:val="Normal (Web)"/>
    <w:basedOn w:val="1"/>
    <w:next w:val="1"/>
    <w:qFormat/>
    <w:uiPriority w:val="99"/>
    <w:pPr>
      <w:widowControl/>
      <w:spacing w:before="100" w:beforeAutospacing="1" w:after="100" w:afterAutospacing="1"/>
      <w:jc w:val="left"/>
    </w:pPr>
    <w:rPr>
      <w:rFonts w:ascii="宋体" w:hAnsi="宋体" w:cs="Arial"/>
      <w:color w:val="0000FF"/>
      <w:kern w:val="0"/>
      <w:sz w:val="24"/>
    </w:rPr>
  </w:style>
  <w:style w:type="paragraph" w:styleId="9">
    <w:name w:val="Body Text First Indent 2"/>
    <w:basedOn w:val="7"/>
    <w:qFormat/>
    <w:uiPriority w:val="0"/>
    <w:pPr>
      <w:ind w:firstLine="420" w:firstLineChars="200"/>
    </w:pPr>
    <w:rPr>
      <w:rFonts w:ascii="Times New Roman" w:hAnsi="Times New Roman"/>
      <w:sz w:val="21"/>
    </w:rPr>
  </w:style>
  <w:style w:type="paragraph" w:customStyle="1" w:styleId="12">
    <w:name w:val="Normal"/>
    <w:qFormat/>
    <w:uiPriority w:val="0"/>
    <w:pPr>
      <w:jc w:val="both"/>
    </w:pPr>
    <w:rPr>
      <w:rFonts w:ascii="Times New Roman" w:hAnsi="Times New Roman" w:eastAsia="宋体" w:cs="Times New Roman"/>
      <w:kern w:val="2"/>
      <w:sz w:val="21"/>
      <w:szCs w:val="21"/>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10108</Words>
  <Characters>10763</Characters>
  <Lines>0</Lines>
  <Paragraphs>0</Paragraphs>
  <TotalTime>0</TotalTime>
  <ScaleCrop>false</ScaleCrop>
  <LinksUpToDate>false</LinksUpToDate>
  <CharactersWithSpaces>10830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2025-03-26T14:07:00Z</dcterms:created>
  <dc:creator>咨询公司张凯</dc:creator>
  <cp:lastModifiedBy>WPS_1739778079</cp:lastModifiedBy>
  <dcterms:modified xsi:type="dcterms:W3CDTF">2025-11-26T04:47:41Z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AF821236CA264807820CDCB51E985D3C_13</vt:lpwstr>
  </property>
  <property fmtid="{D5CDD505-2E9C-101B-9397-08002B2CF9AE}" pid="4" name="KSOTemplateDocerSaveRecord">
    <vt:lpwstr>eyJoZGlkIjoiNWRmNWM4YTQ3OTk5NWJjYTZkNGJhYWJlZWI1ZWNjZGQiLCJ1c2VySWQiOiIxNjc5MjQ4OTMzIn0=</vt:lpwstr>
  </property>
</Properties>
</file>