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topLinePunct w:val="0"/>
        <w:bidi w:val="0"/>
        <w:spacing w:line="360" w:lineRule="auto"/>
        <w:jc w:val="center"/>
        <w:textAlignment w:val="auto"/>
        <w:rPr>
          <w:rFonts w:hint="eastAsia" w:ascii="宋体" w:hAnsi="宋体" w:eastAsia="宋体" w:cs="宋体"/>
          <w:b/>
          <w:bCs/>
          <w:sz w:val="30"/>
          <w:szCs w:val="30"/>
          <w:highlight w:val="none"/>
          <w:lang w:eastAsia="zh-CN"/>
        </w:rPr>
      </w:pPr>
      <w:r>
        <w:rPr>
          <w:rFonts w:hint="eastAsia" w:ascii="宋体" w:hAnsi="宋体" w:eastAsia="宋体" w:cs="宋体"/>
          <w:b/>
          <w:bCs/>
          <w:sz w:val="30"/>
          <w:szCs w:val="30"/>
          <w:highlight w:val="none"/>
          <w:lang w:eastAsia="zh-CN"/>
        </w:rPr>
        <w:t>中部高速公路管理（山西）有限公司2023—2025年度勘察设计服务集中采购项目招标关键内容公开</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eastAsia="宋体" w:cs="Times New Roman"/>
          <w:b/>
          <w:bCs/>
          <w:color w:val="auto"/>
          <w:spacing w:val="0"/>
          <w:w w:val="100"/>
          <w:kern w:val="21"/>
          <w:position w:val="0"/>
          <w:sz w:val="24"/>
          <w:szCs w:val="24"/>
          <w:highlight w:val="none"/>
          <w:lang w:val="en-US" w:eastAsia="zh-CN"/>
        </w:rPr>
        <w:t>一、</w:t>
      </w:r>
      <w:r>
        <w:rPr>
          <w:rFonts w:hint="default" w:ascii="Times New Roman" w:hAnsi="Times New Roman" w:eastAsia="宋体" w:cs="Times New Roman"/>
          <w:b/>
          <w:bCs/>
          <w:color w:val="auto"/>
          <w:spacing w:val="0"/>
          <w:w w:val="100"/>
          <w:kern w:val="21"/>
          <w:position w:val="0"/>
          <w:sz w:val="24"/>
          <w:szCs w:val="24"/>
          <w:highlight w:val="none"/>
        </w:rPr>
        <w:t>项目概况与招标范围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1.项目规模：中部高速公路管理（山西）有限公司所辖G2003太原绕城高速东环段、南环段、西北环段，G5京昆高速太祁段、祁临段，S56太古高速，S45天黎高速阳黎段的包含路基路面、桥梁、隧道、交通安全设施、机电、消防、房建、电力及环保等项目内容，本次拟对中部高速公路管理（山西）有限公司2023—2025年度勘察设计服务集中采购项目进行招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2.招标内容与范围：本招标项目划分为1个标包，本次招标为其中的001标包。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内容包括：根据招标人实际委托，按照现行规范，开展2023—2025年公司指定项目的勘察设计服务，包括现场调查、编制可行性研究报告（如需）、编制初步设计（如需）、施工图设计及预算、工程量清单、施工技术规范，并提供施工期间的后续服务及其他设计服务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3.服务周期：自合同签订之日起至2025年12月31日，具体项目按照任务单日期为准（如个别项目建设工期超出服务期限，以任务单日期为准）。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4.质量要求：符合国家相关法律法规、技术标准和规范的要求。</w:t>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default" w:ascii="Times New Roman" w:hAnsi="Times New Roman" w:eastAsia="宋体" w:cs="Times New Roman"/>
          <w:b/>
          <w:bCs/>
          <w:color w:val="auto"/>
          <w:spacing w:val="0"/>
          <w:w w:val="100"/>
          <w:kern w:val="21"/>
          <w:position w:val="0"/>
          <w:sz w:val="24"/>
          <w:szCs w:val="24"/>
          <w:highlight w:val="none"/>
        </w:rPr>
      </w:pPr>
      <w:r>
        <w:rPr>
          <w:rFonts w:hint="default" w:ascii="Times New Roman" w:hAnsi="Times New Roman" w:cs="Times New Roman"/>
          <w:b/>
          <w:bCs/>
          <w:color w:val="auto"/>
          <w:spacing w:val="0"/>
          <w:w w:val="100"/>
          <w:kern w:val="21"/>
          <w:position w:val="0"/>
          <w:sz w:val="24"/>
          <w:szCs w:val="24"/>
          <w:highlight w:val="none"/>
          <w:lang w:val="en-US" w:eastAsia="zh-CN"/>
        </w:rPr>
        <w:t>二、</w:t>
      </w:r>
      <w:r>
        <w:rPr>
          <w:rFonts w:hint="default" w:ascii="Times New Roman" w:hAnsi="Times New Roman" w:eastAsia="宋体" w:cs="Times New Roman"/>
          <w:b/>
          <w:bCs/>
          <w:color w:val="auto"/>
          <w:spacing w:val="0"/>
          <w:w w:val="100"/>
          <w:kern w:val="21"/>
          <w:position w:val="0"/>
          <w:sz w:val="24"/>
          <w:szCs w:val="24"/>
          <w:highlight w:val="none"/>
        </w:rPr>
        <w:t>投标人资格要求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001标包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2.1资质要求：本次招标要求投标人是在中国境内合法注册，营业执照合法有效，并具有建设行政主管部门颁发的工程勘察综合类甲级资质和公路行业设计甲级资质。投标人应进入交通运输部“全国公路建设市场信用信息管理系统（http://glxy.gov.cn）”中的公路工程设计资质企业名录，且投标人名称和资质与该名录中的相应企业名称和资质完全一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2.2业绩要求：投标人近五年（2018年3月1日至投标文件递交截止日，以合同协议书签订时间为准）至少完成过3项高速公路工程设计业绩,且其中1项为高速公路养护工程设计业绩。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2.3主要人员要求：拟任项目负责人须具有高级工程师及以上职称（公路工程相关专业），作为项目负责人近五年(2018年3月1日至投标文件递交截止日，以合同协议书签订时间为准)至少完成过2项高速公路工程设计业绩，且其中1项为高速公路养护工程设计业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2.4财务要求：投标人在2021年度或2022年度的年末流动资产与流动负债比大于1。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2.5投标人具有下列情况之一的，不得同时参与加本项目的投标，否则相关投标均无效。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（一）单位负责人为同一人或者存在控股、管理关系的不同单位；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 xml:space="preserve">（二）具有投资参股关系的关联企业；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（三）董事、监事、总经理、副总经理和财务负责人相互兼职的关联企业。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2.6投标人及其法定代表人、拟担任项目负责人近三年内（2020年3月1日至今）无行贿犯罪行为。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2.7投标人在“信用中国”网站平台中未被列入“严重失信主体”名单的。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2.8投标人在“国家企业信用信息公示系统”中未被列入“列入严重违法失信企业名单（黑名单）信息”。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2.9凡被交通运输部或山西省交通运输厅取消或暂停投标资格或被山西省交通运输厅最新信用评价为D级的企业，在处罚期内无资格参与本项目的投标。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aps w:val="0"/>
          <w:smallCaps w:val="0"/>
          <w:color w:val="auto"/>
          <w:spacing w:val="0"/>
          <w:w w:val="100"/>
          <w:position w:val="0"/>
          <w:sz w:val="21"/>
          <w:szCs w:val="21"/>
          <w:highlight w:val="none"/>
          <w:lang w:val="en-US" w:eastAsia="zh-CN"/>
        </w:rPr>
      </w:pPr>
      <w:r>
        <w:rPr>
          <w:rFonts w:hint="eastAsia" w:ascii="宋体" w:hAnsi="宋体" w:eastAsia="宋体" w:cs="宋体"/>
          <w:caps w:val="0"/>
          <w:smallCaps w:val="0"/>
          <w:color w:val="auto"/>
          <w:spacing w:val="0"/>
          <w:w w:val="100"/>
          <w:position w:val="0"/>
          <w:sz w:val="21"/>
          <w:szCs w:val="21"/>
          <w:highlight w:val="none"/>
          <w:lang w:val="en-US" w:eastAsia="zh-CN"/>
        </w:rPr>
        <w:t>2.10本次招标不接受联合体投标。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pacing w:val="0"/>
          <w:w w:val="100"/>
          <w:kern w:val="21"/>
          <w:position w:val="0"/>
          <w:sz w:val="24"/>
          <w:szCs w:val="24"/>
          <w:highlight w:val="none"/>
          <w:lang w:val="en-US" w:eastAsia="zh-CN"/>
        </w:rPr>
      </w:pPr>
      <w:r>
        <w:rPr>
          <w:rFonts w:hint="default" w:ascii="Times New Roman" w:hAnsi="Times New Roman" w:cs="Times New Roman"/>
          <w:b/>
          <w:bCs/>
          <w:color w:val="auto"/>
          <w:spacing w:val="0"/>
          <w:w w:val="100"/>
          <w:kern w:val="21"/>
          <w:position w:val="0"/>
          <w:sz w:val="24"/>
          <w:szCs w:val="24"/>
          <w:highlight w:val="none"/>
          <w:lang w:val="en-US" w:eastAsia="zh-CN"/>
        </w:rPr>
        <w:br w:type="page"/>
      </w:r>
    </w:p>
    <w:p>
      <w:pPr>
        <w:pStyle w:val="2"/>
        <w:keepNext w:val="0"/>
        <w:keepLines w:val="0"/>
        <w:pageBreakBefore w:val="0"/>
        <w:widowControl w:val="0"/>
        <w:numPr>
          <w:ilvl w:val="0"/>
          <w:numId w:val="0"/>
        </w:numPr>
        <w:tabs>
          <w:tab w:val="left" w:pos="1709"/>
        </w:tabs>
        <w:kinsoku w:val="0"/>
        <w:wordWrap/>
        <w:overflowPunct w:val="0"/>
        <w:topLinePunct w:val="0"/>
        <w:autoSpaceDE w:val="0"/>
        <w:autoSpaceDN w:val="0"/>
        <w:bidi w:val="0"/>
        <w:adjustRightInd w:val="0"/>
        <w:snapToGrid/>
        <w:spacing w:before="26" w:line="360" w:lineRule="auto"/>
        <w:ind w:right="0" w:rightChars="0"/>
        <w:jc w:val="left"/>
        <w:textAlignment w:val="auto"/>
        <w:outlineLvl w:val="9"/>
        <w:rPr>
          <w:rFonts w:hint="eastAsia" w:ascii="Times New Roman" w:hAnsi="Times New Roman" w:eastAsia="宋体" w:cs="Times New Roman"/>
          <w:b/>
          <w:bCs/>
          <w:color w:val="auto"/>
          <w:spacing w:val="0"/>
          <w:w w:val="100"/>
          <w:kern w:val="21"/>
          <w:position w:val="0"/>
          <w:sz w:val="24"/>
          <w:szCs w:val="24"/>
          <w:highlight w:val="none"/>
          <w:lang w:val="en-US" w:eastAsia="zh-CN"/>
        </w:rPr>
      </w:pPr>
      <w:bookmarkStart w:id="0" w:name="_Toc26872"/>
      <w:r>
        <w:rPr>
          <w:rFonts w:hint="eastAsia" w:ascii="Times New Roman" w:hAnsi="Times New Roman" w:eastAsia="宋体" w:cs="Times New Roman"/>
          <w:b/>
          <w:bCs/>
          <w:color w:val="auto"/>
          <w:spacing w:val="0"/>
          <w:w w:val="100"/>
          <w:kern w:val="21"/>
          <w:position w:val="0"/>
          <w:sz w:val="24"/>
          <w:szCs w:val="24"/>
          <w:highlight w:val="none"/>
          <w:lang w:val="en-US" w:eastAsia="zh-CN"/>
        </w:rPr>
        <w:t>三、</w:t>
      </w:r>
      <w:bookmarkEnd w:id="0"/>
      <w:r>
        <w:rPr>
          <w:rFonts w:hint="eastAsia" w:ascii="Times New Roman" w:hAnsi="Times New Roman" w:eastAsia="宋体" w:cs="Times New Roman"/>
          <w:b/>
          <w:bCs/>
          <w:color w:val="auto"/>
          <w:spacing w:val="0"/>
          <w:w w:val="100"/>
          <w:kern w:val="21"/>
          <w:position w:val="0"/>
          <w:sz w:val="24"/>
          <w:szCs w:val="24"/>
          <w:highlight w:val="none"/>
          <w:lang w:val="en-US" w:eastAsia="zh-CN"/>
        </w:rPr>
        <w:t>评标办法（双信封综合评分法）</w:t>
      </w:r>
    </w:p>
    <w:p>
      <w:pPr>
        <w:keepNext w:val="0"/>
        <w:keepLines w:val="0"/>
        <w:pageBreakBefore w:val="0"/>
        <w:widowControl w:val="0"/>
        <w:kinsoku/>
        <w:wordWrap/>
        <w:overflowPunct w:val="0"/>
        <w:topLinePunct w:val="0"/>
        <w:autoSpaceDE/>
        <w:autoSpaceDN/>
        <w:bidi w:val="0"/>
        <w:adjustRightInd/>
        <w:snapToGrid/>
        <w:spacing w:line="440" w:lineRule="exact"/>
        <w:ind w:right="0"/>
        <w:jc w:val="both"/>
        <w:textAlignment w:val="auto"/>
        <w:rPr>
          <w:rFonts w:hint="eastAsia" w:ascii="宋体" w:hAnsi="宋体" w:eastAsia="宋体" w:cs="宋体"/>
          <w:b/>
          <w:bCs/>
          <w:snapToGrid/>
          <w:color w:val="auto"/>
          <w:kern w:val="2"/>
          <w:sz w:val="24"/>
          <w:szCs w:val="24"/>
          <w:highlight w:val="none"/>
        </w:rPr>
      </w:pPr>
      <w:r>
        <w:rPr>
          <w:rFonts w:hint="eastAsia" w:ascii="宋体" w:hAnsi="宋体" w:eastAsia="宋体" w:cs="宋体"/>
          <w:b/>
          <w:bCs/>
          <w:snapToGrid/>
          <w:color w:val="auto"/>
          <w:kern w:val="2"/>
          <w:sz w:val="24"/>
          <w:szCs w:val="24"/>
          <w:highlight w:val="none"/>
        </w:rPr>
        <w:t>评标办法前附表</w:t>
      </w:r>
    </w:p>
    <w:p>
      <w:pPr>
        <w:spacing w:line="94" w:lineRule="auto"/>
        <w:rPr>
          <w:rFonts w:ascii="宋体" w:hAnsi="宋体" w:eastAsia="宋体" w:cs="宋体"/>
          <w:color w:val="auto"/>
          <w:sz w:val="2"/>
          <w:highlight w:val="none"/>
        </w:rPr>
      </w:pPr>
    </w:p>
    <w:tbl>
      <w:tblPr>
        <w:tblStyle w:val="21"/>
        <w:tblW w:w="974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63"/>
        <w:gridCol w:w="655"/>
        <w:gridCol w:w="774"/>
        <w:gridCol w:w="302"/>
        <w:gridCol w:w="675"/>
        <w:gridCol w:w="674"/>
        <w:gridCol w:w="587"/>
        <w:gridCol w:w="1739"/>
        <w:gridCol w:w="731"/>
        <w:gridCol w:w="27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jc w:val="center"/>
        </w:trPr>
        <w:tc>
          <w:tcPr>
            <w:tcW w:w="2594" w:type="dxa"/>
            <w:gridSpan w:val="4"/>
            <w:vAlign w:val="center"/>
          </w:tcPr>
          <w:p>
            <w:pPr>
              <w:keepNext w:val="0"/>
              <w:keepLines w:val="0"/>
              <w:pageBreakBefore w:val="0"/>
              <w:widowControl/>
              <w:kinsoku w:val="0"/>
              <w:wordWrap/>
              <w:overflowPunct/>
              <w:topLinePunct w:val="0"/>
              <w:autoSpaceDE w:val="0"/>
              <w:autoSpaceDN w:val="0"/>
              <w:bidi w:val="0"/>
              <w:adjustRightInd w:val="0"/>
              <w:snapToGrid w:val="0"/>
              <w:spacing w:line="189" w:lineRule="auto"/>
              <w:jc w:val="center"/>
              <w:textAlignment w:val="baseline"/>
              <w:rPr>
                <w:rFonts w:hint="eastAsia" w:ascii="黑体" w:hAnsi="黑体" w:eastAsia="黑体" w:cs="黑体"/>
                <w:color w:val="auto"/>
                <w:highlight w:val="none"/>
              </w:rPr>
            </w:pPr>
            <w:r>
              <w:rPr>
                <w:rFonts w:hint="eastAsia" w:ascii="黑体" w:hAnsi="黑体" w:eastAsia="黑体" w:cs="黑体"/>
                <w:color w:val="auto"/>
                <w:highlight w:val="none"/>
              </w:rPr>
              <w:t>条款号/名称</w:t>
            </w:r>
          </w:p>
        </w:tc>
        <w:tc>
          <w:tcPr>
            <w:tcW w:w="7150" w:type="dxa"/>
            <w:gridSpan w:val="6"/>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firstLine="2740"/>
              <w:jc w:val="left"/>
              <w:textAlignment w:val="baseline"/>
              <w:rPr>
                <w:rFonts w:hint="eastAsia" w:ascii="黑体" w:hAnsi="黑体" w:eastAsia="黑体" w:cs="黑体"/>
                <w:color w:val="auto"/>
                <w:highlight w:val="none"/>
              </w:rPr>
            </w:pPr>
            <w:r>
              <w:rPr>
                <w:rFonts w:hint="eastAsia" w:ascii="黑体" w:hAnsi="黑体" w:eastAsia="黑体" w:cs="黑体"/>
                <w:color w:val="auto"/>
                <w:spacing w:val="1"/>
                <w:highlight w:val="none"/>
              </w:rPr>
              <w:t>评</w:t>
            </w:r>
            <w:r>
              <w:rPr>
                <w:rFonts w:hint="eastAsia" w:ascii="黑体" w:hAnsi="黑体" w:eastAsia="黑体" w:cs="黑体"/>
                <w:color w:val="auto"/>
                <w:highlight w:val="none"/>
              </w:rPr>
              <w:t>审因素与标准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0" w:hRule="atLeast"/>
          <w:jc w:val="center"/>
        </w:trPr>
        <w:tc>
          <w:tcPr>
            <w:tcW w:w="863" w:type="dxa"/>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1731" w:type="dxa"/>
            <w:gridSpan w:val="3"/>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评标办法</w:t>
            </w:r>
          </w:p>
        </w:tc>
        <w:tc>
          <w:tcPr>
            <w:tcW w:w="7150" w:type="dxa"/>
            <w:gridSpan w:val="6"/>
            <w:vAlign w:val="center"/>
          </w:tcPr>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综合评分相等时，评标委员会依次按照以下优先顺序推荐中标候选人或确定中标人：</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（1）评标价低的投标人优先；</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（2）信用评价等级较高者优先；</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（3）技术得分较高的投标人优先；</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（4）最终投标文件上传至交易平台较早的投标人优先。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33" w:hRule="atLeast"/>
          <w:jc w:val="center"/>
        </w:trPr>
        <w:tc>
          <w:tcPr>
            <w:tcW w:w="863" w:type="dxa"/>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2.1.1</w:t>
            </w:r>
          </w:p>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2.1.3</w:t>
            </w:r>
          </w:p>
        </w:tc>
        <w:tc>
          <w:tcPr>
            <w:tcW w:w="1731" w:type="dxa"/>
            <w:gridSpan w:val="3"/>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形式评审与响</w:t>
            </w:r>
          </w:p>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应性评审标准</w:t>
            </w:r>
          </w:p>
        </w:tc>
        <w:tc>
          <w:tcPr>
            <w:tcW w:w="7150" w:type="dxa"/>
            <w:gridSpan w:val="6"/>
            <w:vAlign w:val="center"/>
          </w:tcPr>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第一个信封（商务及技术文件）评审标准：</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（1）投标文件按照招标文件规定的格式、内容填写，字迹清晰可辩：</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a.投标函按招标文件规定填报了项目名称、补遗书编号（如有）、</w:t>
            </w:r>
            <w:r>
              <w:rPr>
                <w:rFonts w:hint="eastAsia" w:ascii="宋体" w:hAnsi="宋体" w:eastAsia="宋体" w:cs="宋体"/>
                <w:color w:val="auto"/>
                <w:highlight w:val="none"/>
                <w:lang w:val="en-US" w:eastAsia="zh-CN"/>
              </w:rPr>
              <w:t>项目负责人姓名、身份证、职称证、</w:t>
            </w:r>
            <w:r>
              <w:rPr>
                <w:rFonts w:hint="eastAsia" w:ascii="宋体" w:hAnsi="宋体" w:eastAsia="宋体" w:cs="宋体"/>
                <w:color w:val="auto"/>
                <w:highlight w:val="none"/>
              </w:rPr>
              <w:t>勘察设计服务</w:t>
            </w:r>
            <w:r>
              <w:rPr>
                <w:rFonts w:hint="eastAsia" w:ascii="宋体" w:hAnsi="宋体" w:eastAsia="宋体" w:cs="宋体"/>
                <w:color w:val="auto"/>
                <w:highlight w:val="none"/>
                <w:lang w:val="en-US" w:eastAsia="zh-CN"/>
              </w:rPr>
              <w:t>周期</w:t>
            </w:r>
            <w:r>
              <w:rPr>
                <w:rFonts w:hint="eastAsia" w:ascii="宋体" w:hAnsi="宋体" w:eastAsia="宋体" w:cs="宋体"/>
                <w:color w:val="auto"/>
                <w:highlight w:val="none"/>
              </w:rPr>
              <w:t>、质量要求及安全目标；</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b.投标文件组成齐全完整，内容均按规定填写；</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（2）投标文件上法定代表人的电子签名、投标人单位的电子签章齐全，符合招标文件规定。</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（3）投标人按照招标文件的规定提供了投标保证金：</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a.投标保证金金额符合招标文件规定的金额，且投标保证金有效期满足要求；</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b.若投标保证金采用现金或支票形式提交，投标人应在递交投标文件截止时间之前，将投标保证金由投标人的基本账户转入招标人指定账户；</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c.若投标保证金采用保函形式提交，保函的格式、开具保函的机构均满足招标文件要求，且在递交投标文件截止时间之前向招标人提交了保函原件。</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（4）投标人未以联合体形式进行投标。</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）投标人无分包计划。</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）同一投标人未提交两个以上不同的投标文件。</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）投标文件中未出现有关投标报价的内容。</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）投标文件载明的招标项目完成期限满足招标文件规定。</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）投标文件对招标文件的实质性要求和条件作出响应。</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）权利义务符合招标文件规定：</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a.投标人应接受招标文件规定的风险划分原则，未提出新的风险划分办法； b.投标人未增加发包人的责任范围，或减少投标人义务；</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c.投标人未提出不同的工程验收、计量、支付办法；</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d.投标人对合同纠纷、事故处理办法未提出异议；</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e.投标人在投标活动中无欺诈行为；</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f.投标人未对合同条款有重要保留。</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）投标人名称与营业执照、基本账户开户许可证（或开户行出具的基本存款账户信息表）</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资质证书</w:t>
            </w:r>
            <w:r>
              <w:rPr>
                <w:rFonts w:hint="eastAsia" w:ascii="宋体" w:hAnsi="宋体" w:eastAsia="宋体" w:cs="宋体"/>
                <w:color w:val="auto"/>
                <w:highlight w:val="none"/>
              </w:rPr>
              <w:t>一致，如企业名称有变更的，应提供变更记录或相关部门的合法批件</w:t>
            </w:r>
            <w:r>
              <w:rPr>
                <w:rFonts w:hint="eastAsia" w:ascii="宋体" w:hAnsi="宋体" w:eastAsia="宋体" w:cs="宋体"/>
                <w:color w:val="auto"/>
                <w:highlight w:val="none"/>
                <w:lang w:eastAsia="zh-CN"/>
              </w:rPr>
              <w:t>影印件</w:t>
            </w:r>
            <w:r>
              <w:rPr>
                <w:rFonts w:hint="eastAsia" w:ascii="宋体" w:hAnsi="宋体" w:eastAsia="宋体" w:cs="宋体"/>
                <w:color w:val="auto"/>
                <w:highlight w:val="none"/>
              </w:rPr>
              <w:t>。</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）投标人不存在《中华人民共和国招标投标法实施条例》（国务院令第</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613号）第三十九条、第四十条、第四十一条所列的投标人相互串通投标、或者招标人与投标人串通投标情形之一的。</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rPr>
              <w:t>）电子投标文件符合招标文件规定且不存在投标人须知第10.5款第（1）条规定的情形。</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）投标文件未附有招标人不能接受的其他条件。</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第二个信封（报价文件） 评审标准：</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（1）投标文件按照招标文件规定的格式、内容填写，字迹清晰可辨，内容齐全完整：</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a．投标函按照招标文件规定填报了项目名称、补遗书编号（如有）、投标价（包括大写金额和小写金额）；</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b．已标价报价清单说明文字与招标文件规定一致，未进行实质性修改和删减；</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C.投标文件组成齐全完整，内容均按规定填写。</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（2）投标文件上法定代表人的电子签名、投标人的单位电子签章齐全，符合招标文件规定。</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（3）投标报价未超过招标文件设定的最高投标限价或最终控制价上限。</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（4）投标报价的大写金额能够确定具体数值。</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（5）同一投标人未提交两个以上不同的投标报价，但招标文件要求提交备选投标的除外。</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（6）电子投标文件符合招标文件规定且不存在投标人须知第10.5款第（1）条规定的情形。</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rPr>
              <w:t>（7）投标文件未附有招标人不能接受的其他条件。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5" w:hRule="atLeast"/>
          <w:jc w:val="center"/>
        </w:trPr>
        <w:tc>
          <w:tcPr>
            <w:tcW w:w="863" w:type="dxa"/>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2.1.2</w:t>
            </w:r>
          </w:p>
        </w:tc>
        <w:tc>
          <w:tcPr>
            <w:tcW w:w="1731" w:type="dxa"/>
            <w:gridSpan w:val="3"/>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资格评标准</w:t>
            </w:r>
          </w:p>
        </w:tc>
        <w:tc>
          <w:tcPr>
            <w:tcW w:w="7150" w:type="dxa"/>
            <w:gridSpan w:val="6"/>
            <w:vAlign w:val="center"/>
          </w:tcPr>
          <w:p>
            <w:pPr>
              <w:keepNext w:val="0"/>
              <w:keepLines w:val="0"/>
              <w:pageBreakBefore w:val="0"/>
              <w:widowControl w:val="0"/>
              <w:kinsoku/>
              <w:wordWrap/>
              <w:topLinePunct w:val="0"/>
              <w:autoSpaceDE/>
              <w:autoSpaceDN/>
              <w:bidi w:val="0"/>
              <w:adjustRightInd/>
              <w:snapToGrid/>
              <w:spacing w:line="240" w:lineRule="exact"/>
              <w:ind w:left="0" w:right="0" w:rightChars="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33"/>
                <w:highlight w:val="none"/>
              </w:rPr>
              <w:t>）</w:t>
            </w:r>
            <w:r>
              <w:rPr>
                <w:rFonts w:hint="eastAsia" w:ascii="宋体" w:hAnsi="宋体" w:eastAsia="宋体" w:cs="宋体"/>
                <w:color w:val="auto"/>
                <w:highlight w:val="none"/>
              </w:rPr>
              <w:t>投标人具备有效的营业执照</w:t>
            </w:r>
            <w:r>
              <w:rPr>
                <w:rFonts w:hint="eastAsia" w:ascii="宋体" w:hAnsi="宋体" w:eastAsia="宋体" w:cs="宋体"/>
                <w:color w:val="auto"/>
                <w:spacing w:val="-32"/>
                <w:highlight w:val="none"/>
              </w:rPr>
              <w:t>、</w:t>
            </w:r>
            <w:r>
              <w:rPr>
                <w:rFonts w:hint="eastAsia" w:ascii="宋体" w:hAnsi="宋体" w:eastAsia="宋体" w:cs="宋体"/>
                <w:color w:val="auto"/>
                <w:spacing w:val="-1"/>
                <w:highlight w:val="none"/>
              </w:rPr>
              <w:t>资质证书和基本账户开户许</w:t>
            </w:r>
            <w:r>
              <w:rPr>
                <w:rFonts w:hint="eastAsia" w:ascii="宋体" w:hAnsi="宋体" w:eastAsia="宋体" w:cs="宋体"/>
                <w:color w:val="auto"/>
                <w:highlight w:val="none"/>
              </w:rPr>
              <w:t>可证（或开户行出具的基本存款账户信息表</w:t>
            </w:r>
            <w:r>
              <w:rPr>
                <w:rFonts w:hint="eastAsia" w:ascii="宋体" w:hAnsi="宋体" w:eastAsia="宋体" w:cs="宋体"/>
                <w:color w:val="auto"/>
                <w:spacing w:val="-106"/>
                <w:highlight w:val="none"/>
              </w:rPr>
              <w:t>）</w:t>
            </w:r>
            <w:r>
              <w:rPr>
                <w:rFonts w:hint="eastAsia" w:ascii="宋体" w:hAnsi="宋体" w:eastAsia="宋体" w:cs="宋体"/>
                <w:color w:val="auto"/>
                <w:spacing w:val="-106"/>
                <w:highlight w:val="none"/>
                <w:lang w:eastAsia="zh-CN"/>
              </w:rPr>
              <w:t>、</w:t>
            </w:r>
            <w:r>
              <w:rPr>
                <w:rFonts w:hint="eastAsia" w:ascii="宋体" w:hAnsi="宋体" w:eastAsia="宋体" w:cs="宋体"/>
                <w:snapToGrid w:val="0"/>
                <w:color w:val="auto"/>
                <w:sz w:val="22"/>
                <w:szCs w:val="22"/>
                <w:highlight w:val="none"/>
                <w:lang w:val="en-US" w:eastAsia="zh-CN" w:bidi="ar-SA"/>
              </w:rPr>
              <w:t>进入了交通运输部“全国公路建设市场信用信息管理系统中的公路工程设计资质企业名录。</w:t>
            </w:r>
          </w:p>
          <w:p>
            <w:pPr>
              <w:spacing w:before="76" w:line="240" w:lineRule="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6"/>
                <w:highlight w:val="none"/>
              </w:rPr>
              <w:t>）</w:t>
            </w:r>
            <w:r>
              <w:rPr>
                <w:rFonts w:hint="eastAsia" w:ascii="宋体" w:hAnsi="宋体" w:eastAsia="宋体" w:cs="宋体"/>
                <w:color w:val="auto"/>
                <w:highlight w:val="none"/>
              </w:rPr>
              <w:t>投标人的资质等级符合招标文件</w:t>
            </w:r>
            <w:r>
              <w:rPr>
                <w:rFonts w:hint="eastAsia" w:ascii="宋体" w:hAnsi="宋体" w:eastAsia="宋体" w:cs="宋体"/>
                <w:color w:val="auto"/>
                <w:highlight w:val="none"/>
                <w:lang w:val="en-US" w:eastAsia="zh-CN"/>
              </w:rPr>
              <w:t>附录1</w:t>
            </w:r>
            <w:r>
              <w:rPr>
                <w:rFonts w:hint="eastAsia" w:ascii="宋体" w:hAnsi="宋体" w:eastAsia="宋体" w:cs="宋体"/>
                <w:color w:val="auto"/>
                <w:highlight w:val="none"/>
              </w:rPr>
              <w:t>规定</w:t>
            </w:r>
            <w:r>
              <w:rPr>
                <w:rFonts w:hint="eastAsia" w:ascii="宋体" w:hAnsi="宋体" w:eastAsia="宋体" w:cs="宋体"/>
                <w:color w:val="auto"/>
                <w:spacing w:val="-5"/>
                <w:highlight w:val="none"/>
              </w:rPr>
              <w:t>。</w:t>
            </w:r>
          </w:p>
          <w:p>
            <w:pPr>
              <w:spacing w:before="61" w:line="240" w:lineRule="auto"/>
              <w:rPr>
                <w:rFonts w:hint="eastAsia" w:ascii="宋体" w:hAnsi="宋体" w:eastAsia="宋体" w:cs="宋体"/>
                <w:color w:val="auto"/>
                <w:spacing w:val="-6"/>
                <w:highlight w:val="none"/>
              </w:rPr>
            </w:pPr>
            <w:r>
              <w:rPr>
                <w:rFonts w:hint="eastAsia" w:ascii="宋体" w:hAnsi="宋体" w:eastAsia="宋体" w:cs="宋体"/>
                <w:color w:val="auto"/>
                <w:highlight w:val="none"/>
              </w:rPr>
              <w:t>（3</w:t>
            </w:r>
            <w:r>
              <w:rPr>
                <w:rFonts w:hint="eastAsia" w:ascii="宋体" w:hAnsi="宋体" w:eastAsia="宋体" w:cs="宋体"/>
                <w:color w:val="auto"/>
                <w:spacing w:val="-6"/>
                <w:highlight w:val="none"/>
              </w:rPr>
              <w:t>）投标人的财务状况符合招标文件</w:t>
            </w:r>
            <w:r>
              <w:rPr>
                <w:rFonts w:hint="eastAsia" w:ascii="宋体" w:hAnsi="宋体" w:eastAsia="宋体" w:cs="宋体"/>
                <w:color w:val="auto"/>
                <w:spacing w:val="-6"/>
                <w:highlight w:val="none"/>
                <w:lang w:val="en-US" w:eastAsia="zh-CN"/>
              </w:rPr>
              <w:t>附录2</w:t>
            </w:r>
            <w:r>
              <w:rPr>
                <w:rFonts w:hint="eastAsia" w:ascii="宋体" w:hAnsi="宋体" w:eastAsia="宋体" w:cs="宋体"/>
                <w:color w:val="auto"/>
                <w:spacing w:val="-6"/>
                <w:highlight w:val="none"/>
              </w:rPr>
              <w:t>规定。</w:t>
            </w:r>
          </w:p>
          <w:p>
            <w:pPr>
              <w:spacing w:before="61" w:line="240" w:lineRule="auto"/>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6"/>
                <w:highlight w:val="none"/>
              </w:rPr>
              <w:t>）</w:t>
            </w:r>
            <w:r>
              <w:rPr>
                <w:rFonts w:hint="eastAsia" w:ascii="宋体" w:hAnsi="宋体" w:eastAsia="宋体" w:cs="宋体"/>
                <w:color w:val="auto"/>
                <w:highlight w:val="none"/>
              </w:rPr>
              <w:t>投标人的类似项目业绩符合招标文件</w:t>
            </w:r>
            <w:r>
              <w:rPr>
                <w:rFonts w:hint="eastAsia" w:ascii="宋体" w:hAnsi="宋体" w:eastAsia="宋体" w:cs="宋体"/>
                <w:color w:val="auto"/>
                <w:highlight w:val="none"/>
                <w:lang w:val="en-US" w:eastAsia="zh-CN"/>
              </w:rPr>
              <w:t>附录3</w:t>
            </w:r>
            <w:r>
              <w:rPr>
                <w:rFonts w:hint="eastAsia" w:ascii="宋体" w:hAnsi="宋体" w:eastAsia="宋体" w:cs="宋体"/>
                <w:color w:val="auto"/>
                <w:highlight w:val="none"/>
              </w:rPr>
              <w:t>规定</w:t>
            </w:r>
            <w:r>
              <w:rPr>
                <w:rFonts w:hint="eastAsia" w:ascii="宋体" w:hAnsi="宋体" w:eastAsia="宋体" w:cs="宋体"/>
                <w:color w:val="auto"/>
                <w:spacing w:val="-5"/>
                <w:highlight w:val="none"/>
              </w:rPr>
              <w:t>。</w:t>
            </w:r>
          </w:p>
          <w:p>
            <w:pPr>
              <w:spacing w:before="61" w:line="24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5</w:t>
            </w:r>
            <w:r>
              <w:rPr>
                <w:rFonts w:hint="eastAsia" w:ascii="宋体" w:hAnsi="宋体" w:eastAsia="宋体" w:cs="宋体"/>
                <w:color w:val="auto"/>
                <w:spacing w:val="-14"/>
                <w:highlight w:val="none"/>
              </w:rPr>
              <w:t>）</w:t>
            </w:r>
            <w:r>
              <w:rPr>
                <w:rFonts w:hint="eastAsia" w:ascii="宋体" w:hAnsi="宋体" w:eastAsia="宋体" w:cs="宋体"/>
                <w:color w:val="auto"/>
                <w:highlight w:val="none"/>
              </w:rPr>
              <w:t>投标人的项目负责人资格符合招标文件</w:t>
            </w:r>
            <w:r>
              <w:rPr>
                <w:rFonts w:hint="eastAsia" w:ascii="宋体" w:hAnsi="宋体" w:eastAsia="宋体" w:cs="宋体"/>
                <w:color w:val="auto"/>
                <w:highlight w:val="none"/>
                <w:lang w:val="en-US" w:eastAsia="zh-CN"/>
              </w:rPr>
              <w:t>附录4</w:t>
            </w:r>
            <w:r>
              <w:rPr>
                <w:rFonts w:hint="eastAsia" w:ascii="宋体" w:hAnsi="宋体" w:eastAsia="宋体" w:cs="宋体"/>
                <w:color w:val="auto"/>
                <w:highlight w:val="none"/>
              </w:rPr>
              <w:t>规定</w:t>
            </w:r>
            <w:r>
              <w:rPr>
                <w:rFonts w:hint="eastAsia" w:ascii="宋体" w:hAnsi="宋体" w:eastAsia="宋体" w:cs="宋体"/>
                <w:color w:val="auto"/>
                <w:spacing w:val="-13"/>
                <w:highlight w:val="none"/>
              </w:rPr>
              <w:t>。</w:t>
            </w:r>
          </w:p>
          <w:p>
            <w:pPr>
              <w:spacing w:before="63" w:line="240" w:lineRule="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6</w:t>
            </w:r>
            <w:r>
              <w:rPr>
                <w:rFonts w:hint="eastAsia" w:ascii="宋体" w:hAnsi="宋体" w:eastAsia="宋体" w:cs="宋体"/>
                <w:color w:val="auto"/>
                <w:spacing w:val="-6"/>
                <w:highlight w:val="none"/>
              </w:rPr>
              <w:t>）</w:t>
            </w:r>
            <w:r>
              <w:rPr>
                <w:rFonts w:hint="eastAsia" w:ascii="宋体" w:hAnsi="宋体" w:eastAsia="宋体" w:cs="宋体"/>
                <w:color w:val="auto"/>
                <w:highlight w:val="none"/>
              </w:rPr>
              <w:t>投标人的信誉符合招标文件</w:t>
            </w:r>
            <w:r>
              <w:rPr>
                <w:rFonts w:hint="eastAsia" w:ascii="宋体" w:hAnsi="宋体" w:eastAsia="宋体" w:cs="宋体"/>
                <w:color w:val="auto"/>
                <w:highlight w:val="none"/>
                <w:lang w:val="en-US" w:eastAsia="zh-CN"/>
              </w:rPr>
              <w:t>附录5</w:t>
            </w:r>
            <w:r>
              <w:rPr>
                <w:rFonts w:hint="eastAsia" w:ascii="宋体" w:hAnsi="宋体" w:eastAsia="宋体" w:cs="宋体"/>
                <w:color w:val="auto"/>
                <w:highlight w:val="none"/>
              </w:rPr>
              <w:t>规定</w:t>
            </w:r>
            <w:r>
              <w:rPr>
                <w:rFonts w:hint="eastAsia" w:ascii="宋体" w:hAnsi="宋体" w:eastAsia="宋体" w:cs="宋体"/>
                <w:color w:val="auto"/>
                <w:spacing w:val="-6"/>
                <w:highlight w:val="none"/>
              </w:rPr>
              <w:t>。</w:t>
            </w:r>
          </w:p>
          <w:p>
            <w:pPr>
              <w:spacing w:before="62" w:line="240" w:lineRule="auto"/>
              <w:ind w:right="104" w:rightChars="0"/>
              <w:rPr>
                <w:rFonts w:hint="eastAsia" w:ascii="宋体" w:hAnsi="宋体" w:eastAsia="宋体" w:cs="宋体"/>
                <w:color w:val="auto"/>
                <w:highlight w:val="none"/>
              </w:rPr>
            </w:pPr>
            <w:r>
              <w:rPr>
                <w:rFonts w:hint="eastAsia" w:ascii="宋体" w:hAnsi="宋体" w:eastAsia="宋体" w:cs="宋体"/>
                <w:color w:val="auto"/>
                <w:spacing w:val="-1"/>
                <w:highlight w:val="none"/>
              </w:rPr>
              <w:t>（7</w:t>
            </w:r>
            <w:r>
              <w:rPr>
                <w:rFonts w:hint="eastAsia" w:ascii="宋体" w:hAnsi="宋体" w:eastAsia="宋体" w:cs="宋体"/>
                <w:color w:val="auto"/>
                <w:spacing w:val="-106"/>
                <w:highlight w:val="none"/>
              </w:rPr>
              <w:t>）</w:t>
            </w:r>
            <w:r>
              <w:rPr>
                <w:rFonts w:hint="eastAsia" w:ascii="宋体" w:hAnsi="宋体" w:eastAsia="宋体" w:cs="宋体"/>
                <w:color w:val="auto"/>
                <w:spacing w:val="-1"/>
                <w:highlight w:val="none"/>
              </w:rPr>
              <w:t>投标人不存在第二章“投标人须知”第1.4.</w:t>
            </w:r>
            <w:r>
              <w:rPr>
                <w:rFonts w:hint="eastAsia" w:ascii="宋体" w:hAnsi="宋体" w:eastAsia="宋体" w:cs="宋体"/>
                <w:color w:val="auto"/>
                <w:highlight w:val="none"/>
              </w:rPr>
              <w:t>3项或第1.4.4项规定的任何一种情形</w:t>
            </w:r>
            <w:r>
              <w:rPr>
                <w:rFonts w:hint="eastAsia" w:ascii="宋体" w:hAnsi="宋体" w:eastAsia="宋体" w:cs="宋体"/>
                <w:color w:val="auto"/>
                <w:spacing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4" w:hRule="atLeast"/>
          <w:jc w:val="center"/>
        </w:trPr>
        <w:tc>
          <w:tcPr>
            <w:tcW w:w="863" w:type="dxa"/>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2.2.1</w:t>
            </w:r>
          </w:p>
        </w:tc>
        <w:tc>
          <w:tcPr>
            <w:tcW w:w="1731" w:type="dxa"/>
            <w:gridSpan w:val="3"/>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分值构成</w:t>
            </w:r>
          </w:p>
        </w:tc>
        <w:tc>
          <w:tcPr>
            <w:tcW w:w="7150" w:type="dxa"/>
            <w:gridSpan w:val="6"/>
            <w:vAlign w:val="center"/>
          </w:tcPr>
          <w:p>
            <w:pPr>
              <w:spacing w:before="34" w:line="240" w:lineRule="auto"/>
              <w:ind w:right="42"/>
              <w:rPr>
                <w:rFonts w:hint="eastAsia" w:ascii="宋体" w:hAnsi="宋体" w:eastAsia="宋体" w:cs="宋体"/>
                <w:b/>
                <w:bCs/>
                <w:color w:val="auto"/>
                <w:highlight w:val="none"/>
                <w:u w:val="none"/>
              </w:rPr>
            </w:pPr>
            <w:r>
              <w:rPr>
                <w:rFonts w:hint="eastAsia" w:ascii="宋体" w:hAnsi="宋体" w:eastAsia="宋体" w:cs="宋体"/>
                <w:b/>
                <w:bCs/>
                <w:color w:val="auto"/>
                <w:highlight w:val="none"/>
                <w:u w:val="none"/>
              </w:rPr>
              <w:t>第一个信封（商务及技术文件）评分分值构成：</w:t>
            </w:r>
          </w:p>
          <w:p>
            <w:pPr>
              <w:spacing w:before="34" w:line="240" w:lineRule="auto"/>
              <w:ind w:right="42"/>
              <w:rPr>
                <w:rFonts w:hint="eastAsia" w:ascii="宋体" w:hAnsi="宋体" w:eastAsia="宋体" w:cs="宋体"/>
                <w:color w:val="auto"/>
                <w:highlight w:val="none"/>
                <w:u w:val="none"/>
              </w:rPr>
            </w:pPr>
            <w:r>
              <w:rPr>
                <w:rFonts w:hint="eastAsia" w:ascii="宋体" w:hAnsi="宋体" w:eastAsia="宋体" w:cs="宋体"/>
                <w:color w:val="auto"/>
                <w:highlight w:val="none"/>
                <w:u w:val="none"/>
              </w:rPr>
              <w:t>技术建议书：</w:t>
            </w:r>
            <w:r>
              <w:rPr>
                <w:rFonts w:hint="eastAsia" w:ascii="宋体" w:hAnsi="宋体" w:eastAsia="宋体" w:cs="宋体"/>
                <w:color w:val="auto"/>
                <w:highlight w:val="none"/>
                <w:u w:val="none"/>
                <w:lang w:val="en-US" w:eastAsia="zh-CN"/>
              </w:rPr>
              <w:t>10</w:t>
            </w:r>
            <w:r>
              <w:rPr>
                <w:rFonts w:hint="eastAsia" w:ascii="宋体" w:hAnsi="宋体" w:eastAsia="宋体" w:cs="宋体"/>
                <w:color w:val="auto"/>
                <w:highlight w:val="none"/>
                <w:u w:val="none"/>
              </w:rPr>
              <w:t>分</w:t>
            </w:r>
          </w:p>
          <w:p>
            <w:pPr>
              <w:spacing w:before="34" w:line="240" w:lineRule="auto"/>
              <w:ind w:right="42"/>
              <w:rPr>
                <w:rFonts w:hint="eastAsia" w:ascii="宋体" w:hAnsi="宋体" w:eastAsia="宋体" w:cs="宋体"/>
                <w:color w:val="auto"/>
                <w:highlight w:val="none"/>
                <w:u w:val="none"/>
              </w:rPr>
            </w:pPr>
            <w:r>
              <w:rPr>
                <w:rFonts w:hint="eastAsia" w:ascii="宋体" w:hAnsi="宋体" w:eastAsia="宋体" w:cs="宋体"/>
                <w:color w:val="auto"/>
                <w:highlight w:val="none"/>
                <w:u w:val="none"/>
              </w:rPr>
              <w:t>主要人员：</w:t>
            </w:r>
            <w:r>
              <w:rPr>
                <w:rFonts w:hint="eastAsia" w:ascii="宋体" w:hAnsi="宋体" w:eastAsia="宋体" w:cs="宋体"/>
                <w:color w:val="auto"/>
                <w:highlight w:val="none"/>
                <w:u w:val="none"/>
                <w:lang w:val="en-US" w:eastAsia="zh-CN"/>
              </w:rPr>
              <w:t>35</w:t>
            </w:r>
            <w:r>
              <w:rPr>
                <w:rFonts w:hint="eastAsia" w:ascii="宋体" w:hAnsi="宋体" w:eastAsia="宋体" w:cs="宋体"/>
                <w:color w:val="auto"/>
                <w:highlight w:val="none"/>
                <w:u w:val="none"/>
              </w:rPr>
              <w:t>分</w:t>
            </w:r>
          </w:p>
          <w:p>
            <w:pPr>
              <w:spacing w:before="34" w:line="240" w:lineRule="auto"/>
              <w:ind w:right="42"/>
              <w:rPr>
                <w:rFonts w:hint="eastAsia" w:ascii="宋体" w:hAnsi="宋体" w:eastAsia="宋体" w:cs="宋体"/>
                <w:color w:val="auto"/>
                <w:highlight w:val="none"/>
                <w:u w:val="none"/>
              </w:rPr>
            </w:pPr>
            <w:r>
              <w:rPr>
                <w:rFonts w:hint="eastAsia" w:ascii="宋体" w:hAnsi="宋体" w:eastAsia="宋体" w:cs="宋体"/>
                <w:color w:val="auto"/>
                <w:highlight w:val="none"/>
                <w:u w:val="none"/>
              </w:rPr>
              <w:t>业    绩：</w:t>
            </w:r>
            <w:r>
              <w:rPr>
                <w:rFonts w:hint="eastAsia" w:ascii="宋体" w:hAnsi="宋体" w:eastAsia="宋体" w:cs="宋体"/>
                <w:color w:val="auto"/>
                <w:highlight w:val="none"/>
                <w:u w:val="none"/>
                <w:lang w:val="en-US" w:eastAsia="zh-CN"/>
              </w:rPr>
              <w:t>35</w:t>
            </w:r>
            <w:r>
              <w:rPr>
                <w:rFonts w:hint="eastAsia" w:ascii="宋体" w:hAnsi="宋体" w:eastAsia="宋体" w:cs="宋体"/>
                <w:color w:val="auto"/>
                <w:highlight w:val="none"/>
                <w:u w:val="none"/>
              </w:rPr>
              <w:t>分</w:t>
            </w:r>
          </w:p>
          <w:p>
            <w:pPr>
              <w:spacing w:before="34" w:line="240" w:lineRule="auto"/>
              <w:ind w:right="42"/>
              <w:rPr>
                <w:rFonts w:hint="eastAsia" w:ascii="宋体" w:hAnsi="宋体" w:eastAsia="宋体" w:cs="宋体"/>
                <w:color w:val="auto"/>
                <w:highlight w:val="none"/>
                <w:u w:val="none"/>
              </w:rPr>
            </w:pPr>
            <w:r>
              <w:rPr>
                <w:rFonts w:hint="eastAsia" w:ascii="宋体" w:hAnsi="宋体" w:eastAsia="宋体" w:cs="宋体"/>
                <w:color w:val="auto"/>
                <w:highlight w:val="none"/>
                <w:u w:val="none"/>
              </w:rPr>
              <w:t>履约信誉：</w:t>
            </w:r>
            <w:r>
              <w:rPr>
                <w:rFonts w:hint="eastAsia" w:ascii="宋体" w:hAnsi="宋体" w:eastAsia="宋体" w:cs="宋体"/>
                <w:color w:val="auto"/>
                <w:highlight w:val="none"/>
                <w:u w:val="none"/>
                <w:lang w:val="en-US" w:eastAsia="zh-CN"/>
              </w:rPr>
              <w:t>10</w:t>
            </w:r>
            <w:r>
              <w:rPr>
                <w:rFonts w:hint="eastAsia" w:ascii="宋体" w:hAnsi="宋体" w:eastAsia="宋体" w:cs="宋体"/>
                <w:color w:val="auto"/>
                <w:highlight w:val="none"/>
                <w:u w:val="none"/>
              </w:rPr>
              <w:t>分</w:t>
            </w:r>
          </w:p>
          <w:p>
            <w:pPr>
              <w:spacing w:before="34" w:line="240" w:lineRule="auto"/>
              <w:ind w:right="42"/>
              <w:rPr>
                <w:rFonts w:hint="eastAsia" w:ascii="宋体" w:hAnsi="宋体" w:eastAsia="宋体" w:cs="宋体"/>
                <w:b/>
                <w:bCs/>
                <w:color w:val="auto"/>
                <w:highlight w:val="none"/>
                <w:u w:val="none"/>
              </w:rPr>
            </w:pPr>
            <w:r>
              <w:rPr>
                <w:rFonts w:hint="eastAsia" w:ascii="宋体" w:hAnsi="宋体" w:eastAsia="宋体" w:cs="宋体"/>
                <w:b/>
                <w:bCs/>
                <w:color w:val="auto"/>
                <w:highlight w:val="none"/>
                <w:u w:val="none"/>
              </w:rPr>
              <w:t>第二个信封（报价文件）评分分值构成：</w:t>
            </w:r>
          </w:p>
          <w:p>
            <w:pPr>
              <w:spacing w:before="34" w:line="240" w:lineRule="auto"/>
              <w:ind w:right="42"/>
              <w:rPr>
                <w:rFonts w:hint="eastAsia" w:ascii="宋体" w:hAnsi="宋体" w:eastAsia="宋体" w:cs="宋体"/>
                <w:color w:val="auto"/>
                <w:highlight w:val="none"/>
              </w:rPr>
            </w:pPr>
            <w:r>
              <w:rPr>
                <w:rFonts w:hint="eastAsia" w:ascii="宋体" w:hAnsi="宋体" w:eastAsia="宋体" w:cs="宋体"/>
                <w:color w:val="auto"/>
                <w:highlight w:val="none"/>
                <w:u w:val="none"/>
              </w:rPr>
              <w:t>评标价：10分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4" w:hRule="atLeast"/>
          <w:jc w:val="center"/>
        </w:trPr>
        <w:tc>
          <w:tcPr>
            <w:tcW w:w="863" w:type="dxa"/>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2.2.2</w:t>
            </w:r>
          </w:p>
        </w:tc>
        <w:tc>
          <w:tcPr>
            <w:tcW w:w="1731" w:type="dxa"/>
            <w:gridSpan w:val="3"/>
            <w:vAlign w:val="center"/>
          </w:tcPr>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评标基准</w:t>
            </w:r>
          </w:p>
          <w:p>
            <w:pPr>
              <w:spacing w:before="60" w:line="189"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价计算方法</w:t>
            </w:r>
          </w:p>
        </w:tc>
        <w:tc>
          <w:tcPr>
            <w:tcW w:w="7150" w:type="dxa"/>
            <w:gridSpan w:val="6"/>
          </w:tcPr>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评标基准价的计算：</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（1）评标价的确定：</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有效评标价＝第二个信封开标现场未被宣布为无效投标的投标报价函文字报价出现第二章“投标人须知”第5.2.4项所规定情况的投标文件，应做投标无效处理，其投标报价视为无效报价，不参与任何计算。</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（2）确定最终控制价上限G2</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第二个信封开标现场随机抽取投标控制价上限的下浮系数X1。</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（X1为0.5%、1%、1.5%、2%、2.5%、3%六个数值中的一个）。</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最终控制价上限G2=G1×（1-X1）</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G1=各标包最高投标限价（含暂列金额）。</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如投标人评标价高于本标包的G2，则视其为超出招标人的支付能力，将不再参与后续任何计算，按投标无效处理。</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（3）确定理论成本价LC</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所有不高于G2的有效评标价的算术平均值的50%（当有效评标价有5个及以上时，应去掉其中的最高值和最低值）与G2的50%相加后，乘以成本价系数Z所得数值为该标包的理论成本价。</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LC=（0.5×G2+0.5×SP1）×0.85</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SP1——该标包所有不高于G2的有效评标价的算术平均值（当有效评标价有5个及以上时，应去掉其中的最高值和最低值）</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（4）确定评标基准价JZ</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评标基准价＝［最终投标控制价上限×加权系数＋有效评标价算术平均值×（1-加权系数）］×评标基准价系数</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式中：加权系数（X2）应从0.3、0.35、0.4中选取，评标基准价系数（X3）应从0.96、0.97、0.98、0.99中选取，均由投标人代表或现场监督在开标现场随机抽取确定。</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有效评标价指介于理论成本价（含）与最终投标控制价上限（含）范围内的评标价。当有效评标价数量大于5时，应去掉其中的最高和最低值，再进行有效评标价算术平均值计算。</w:t>
            </w:r>
          </w:p>
          <w:p>
            <w:pPr>
              <w:spacing w:line="240" w:lineRule="auto"/>
              <w:rPr>
                <w:rFonts w:hint="eastAsia" w:ascii="宋体" w:hAnsi="宋体" w:eastAsia="宋体" w:cs="宋体"/>
                <w:color w:val="auto"/>
                <w:highlight w:val="none"/>
              </w:rPr>
            </w:pPr>
            <w:r>
              <w:rPr>
                <w:rFonts w:hint="eastAsia" w:ascii="宋体" w:hAnsi="宋体" w:eastAsia="宋体" w:cs="宋体"/>
                <w:color w:val="auto"/>
                <w:highlight w:val="none"/>
              </w:rPr>
              <w:t>在评标过程中，评标委员会应对招标人计算的评标基准价进行复核，存在计算错误的应予以修正并在评标报告中作出说明。除此之外，评标基准价在整个评标期间保持不变，不随任何因素发生变化。</w:t>
            </w:r>
          </w:p>
          <w:p>
            <w:pPr>
              <w:spacing w:before="34" w:line="240" w:lineRule="auto"/>
              <w:ind w:left="121" w:right="42" w:hanging="2"/>
              <w:rPr>
                <w:rFonts w:hint="eastAsia" w:ascii="宋体" w:hAnsi="宋体" w:eastAsia="宋体" w:cs="宋体"/>
                <w:color w:val="auto"/>
                <w:highlight w:val="none"/>
              </w:rPr>
            </w:pPr>
            <w:r>
              <w:rPr>
                <w:rFonts w:hint="eastAsia" w:ascii="宋体" w:hAnsi="宋体" w:eastAsia="宋体" w:cs="宋体"/>
                <w:color w:val="auto"/>
                <w:highlight w:val="none"/>
              </w:rPr>
              <w:t>上述相关系数（X1、X2、X3）在开标现场由投标人推举代表或监督人按标包随机抽取。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2" w:hRule="atLeast"/>
          <w:jc w:val="center"/>
        </w:trPr>
        <w:tc>
          <w:tcPr>
            <w:tcW w:w="863" w:type="dxa"/>
            <w:vAlign w:val="center"/>
          </w:tcPr>
          <w:p>
            <w:pPr>
              <w:spacing w:before="61" w:line="189" w:lineRule="auto"/>
              <w:jc w:val="center"/>
              <w:rPr>
                <w:rFonts w:hint="eastAsia"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2.3</w:t>
            </w:r>
          </w:p>
        </w:tc>
        <w:tc>
          <w:tcPr>
            <w:tcW w:w="1731" w:type="dxa"/>
            <w:gridSpan w:val="3"/>
            <w:vAlign w:val="center"/>
          </w:tcPr>
          <w:p>
            <w:pPr>
              <w:spacing w:before="34" w:line="219" w:lineRule="auto"/>
              <w:jc w:val="center"/>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评标价的</w:t>
            </w:r>
          </w:p>
          <w:p>
            <w:pPr>
              <w:spacing w:before="34" w:line="219" w:lineRule="auto"/>
              <w:jc w:val="center"/>
              <w:rPr>
                <w:rFonts w:hint="eastAsia" w:ascii="宋体" w:hAnsi="宋体" w:eastAsia="宋体" w:cs="宋体"/>
                <w:color w:val="auto"/>
                <w:highlight w:val="none"/>
              </w:rPr>
            </w:pPr>
            <w:r>
              <w:rPr>
                <w:rFonts w:hint="eastAsia" w:ascii="宋体" w:hAnsi="宋体" w:eastAsia="宋体" w:cs="宋体"/>
                <w:color w:val="auto"/>
                <w:spacing w:val="-2"/>
                <w:highlight w:val="none"/>
              </w:rPr>
              <w:t>偏</w:t>
            </w:r>
            <w:r>
              <w:rPr>
                <w:rFonts w:hint="eastAsia" w:ascii="宋体" w:hAnsi="宋体" w:eastAsia="宋体" w:cs="宋体"/>
                <w:color w:val="auto"/>
                <w:spacing w:val="-1"/>
                <w:highlight w:val="none"/>
              </w:rPr>
              <w:t>差率计</w:t>
            </w:r>
            <w:r>
              <w:rPr>
                <w:rFonts w:hint="eastAsia" w:ascii="宋体" w:hAnsi="宋体" w:eastAsia="宋体" w:cs="宋体"/>
                <w:color w:val="auto"/>
                <w:spacing w:val="-2"/>
                <w:highlight w:val="none"/>
              </w:rPr>
              <w:t>算公</w:t>
            </w:r>
            <w:r>
              <w:rPr>
                <w:rFonts w:hint="eastAsia" w:ascii="宋体" w:hAnsi="宋体" w:eastAsia="宋体" w:cs="宋体"/>
                <w:color w:val="auto"/>
                <w:spacing w:val="-1"/>
                <w:highlight w:val="none"/>
              </w:rPr>
              <w:t>式</w:t>
            </w:r>
          </w:p>
        </w:tc>
        <w:tc>
          <w:tcPr>
            <w:tcW w:w="7150" w:type="dxa"/>
            <w:gridSpan w:val="6"/>
            <w:vAlign w:val="center"/>
          </w:tcPr>
          <w:p>
            <w:pPr>
              <w:spacing w:before="34" w:line="233" w:lineRule="auto"/>
              <w:ind w:firstLine="112"/>
              <w:rPr>
                <w:rFonts w:hint="eastAsia" w:ascii="宋体" w:hAnsi="宋体" w:eastAsia="宋体" w:cs="宋体"/>
                <w:color w:val="auto"/>
                <w:highlight w:val="none"/>
              </w:rPr>
            </w:pPr>
            <w:r>
              <w:rPr>
                <w:rFonts w:hint="eastAsia" w:ascii="宋体" w:hAnsi="宋体" w:eastAsia="宋体" w:cs="宋体"/>
                <w:color w:val="auto"/>
                <w:highlight w:val="none"/>
              </w:rPr>
              <w:t>偏差率=100%×（投标人评标价-评标基准价</w:t>
            </w:r>
            <w:r>
              <w:rPr>
                <w:rFonts w:hint="eastAsia" w:ascii="宋体" w:hAnsi="宋体" w:eastAsia="宋体" w:cs="宋体"/>
                <w:color w:val="auto"/>
                <w:spacing w:val="-106"/>
                <w:highlight w:val="none"/>
              </w:rPr>
              <w:t>）</w:t>
            </w:r>
            <w:r>
              <w:rPr>
                <w:rFonts w:hint="eastAsia" w:ascii="宋体" w:hAnsi="宋体" w:eastAsia="宋体" w:cs="宋体"/>
                <w:color w:val="auto"/>
                <w:highlight w:val="none"/>
              </w:rPr>
              <w:t>/评标基准价</w:t>
            </w:r>
          </w:p>
          <w:p>
            <w:pPr>
              <w:spacing w:before="6" w:line="229" w:lineRule="auto"/>
              <w:ind w:left="122" w:right="102" w:hanging="58"/>
              <w:rPr>
                <w:rFonts w:hint="eastAsia" w:ascii="宋体" w:hAnsi="宋体" w:eastAsia="宋体" w:cs="宋体"/>
                <w:color w:val="auto"/>
                <w:highlight w:val="none"/>
              </w:rPr>
            </w:pPr>
            <w:r>
              <w:rPr>
                <w:rFonts w:hint="eastAsia" w:ascii="宋体" w:hAnsi="宋体" w:eastAsia="宋体" w:cs="宋体"/>
                <w:color w:val="auto"/>
                <w:spacing w:val="1"/>
                <w:highlight w:val="none"/>
              </w:rPr>
              <w:t>“（投标人评标价－评标基准价）/评标基准价”保留</w:t>
            </w:r>
            <w:r>
              <w:rPr>
                <w:rFonts w:hint="eastAsia" w:ascii="宋体" w:hAnsi="宋体" w:eastAsia="宋体" w:cs="宋体"/>
                <w:color w:val="auto"/>
                <w:highlight w:val="none"/>
              </w:rPr>
              <w:t>至小数点后三位</w:t>
            </w:r>
            <w:r>
              <w:rPr>
                <w:rFonts w:hint="eastAsia" w:ascii="宋体" w:hAnsi="宋体" w:eastAsia="宋体" w:cs="宋体"/>
                <w:color w:val="auto"/>
                <w:spacing w:val="1"/>
                <w:highlight w:val="none"/>
              </w:rPr>
              <w:t>，</w:t>
            </w:r>
            <w:r>
              <w:rPr>
                <w:rFonts w:hint="eastAsia" w:ascii="宋体" w:hAnsi="宋体" w:eastAsia="宋体" w:cs="宋体"/>
                <w:color w:val="auto"/>
                <w:highlight w:val="none"/>
              </w:rPr>
              <w:t>小数点后第四位“四舍五入”</w:t>
            </w:r>
            <w:r>
              <w:rPr>
                <w:rFonts w:hint="eastAsia" w:ascii="宋体" w:hAnsi="宋体" w:eastAsia="宋体" w:cs="宋体"/>
                <w:color w:val="auto"/>
                <w:spacing w:val="-17"/>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3" w:hRule="atLeast"/>
          <w:jc w:val="center"/>
        </w:trPr>
        <w:tc>
          <w:tcPr>
            <w:tcW w:w="7000" w:type="dxa"/>
            <w:gridSpan w:val="9"/>
          </w:tcPr>
          <w:p>
            <w:pPr>
              <w:spacing w:before="175" w:line="221" w:lineRule="auto"/>
              <w:ind w:firstLine="2135"/>
              <w:rPr>
                <w:rFonts w:hint="eastAsia" w:ascii="宋体" w:hAnsi="宋体" w:eastAsia="宋体" w:cs="宋体"/>
                <w:color w:val="auto"/>
                <w:highlight w:val="none"/>
              </w:rPr>
            </w:pPr>
            <w:r>
              <w:rPr>
                <w:rFonts w:hint="eastAsia" w:ascii="宋体" w:hAnsi="宋体" w:eastAsia="宋体" w:cs="宋体"/>
                <w:color w:val="auto"/>
                <w:spacing w:val="-1"/>
                <w:highlight w:val="none"/>
              </w:rPr>
              <w:t>评分因素</w:t>
            </w:r>
            <w:r>
              <w:rPr>
                <w:rFonts w:hint="eastAsia" w:ascii="宋体" w:hAnsi="宋体" w:eastAsia="宋体" w:cs="宋体"/>
                <w:color w:val="auto"/>
                <w:highlight w:val="none"/>
              </w:rPr>
              <w:t>与权重分值</w:t>
            </w:r>
          </w:p>
          <w:p>
            <w:pPr>
              <w:spacing w:before="21" w:line="4" w:lineRule="exact"/>
              <w:ind w:firstLine="2061"/>
              <w:rPr>
                <w:rFonts w:hint="eastAsia" w:ascii="宋体" w:hAnsi="宋体" w:eastAsia="宋体" w:cs="宋体"/>
                <w:color w:val="auto"/>
                <w:highlight w:val="none"/>
              </w:rPr>
            </w:pPr>
            <w:r>
              <w:rPr>
                <w:rFonts w:hint="eastAsia" w:ascii="宋体" w:hAnsi="宋体" w:eastAsia="宋体" w:cs="宋体"/>
                <w:color w:val="auto"/>
                <w:highlight w:val="none"/>
              </w:rPr>
              <w:drawing>
                <wp:inline distT="0" distB="0" distL="0" distR="0">
                  <wp:extent cx="685800" cy="2540"/>
                  <wp:effectExtent l="0" t="0" r="0" b="0"/>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5"/>
                          <a:stretch>
                            <a:fillRect/>
                          </a:stretch>
                        </pic:blipFill>
                        <pic:spPr>
                          <a:xfrm>
                            <a:off x="0" y="0"/>
                            <a:ext cx="686180" cy="2540"/>
                          </a:xfrm>
                          <a:prstGeom prst="rect">
                            <a:avLst/>
                          </a:prstGeom>
                        </pic:spPr>
                      </pic:pic>
                    </a:graphicData>
                  </a:graphic>
                </wp:inline>
              </w:drawing>
            </w:r>
          </w:p>
        </w:tc>
        <w:tc>
          <w:tcPr>
            <w:tcW w:w="2744" w:type="dxa"/>
            <w:vMerge w:val="restart"/>
            <w:tcBorders>
              <w:bottom w:val="nil"/>
            </w:tcBorders>
          </w:tcPr>
          <w:p>
            <w:pPr>
              <w:spacing w:line="261" w:lineRule="auto"/>
              <w:rPr>
                <w:rFonts w:hint="eastAsia" w:ascii="宋体" w:hAnsi="宋体" w:eastAsia="宋体" w:cs="宋体"/>
                <w:color w:val="auto"/>
                <w:highlight w:val="none"/>
              </w:rPr>
            </w:pPr>
          </w:p>
          <w:p>
            <w:pPr>
              <w:spacing w:line="261" w:lineRule="auto"/>
              <w:rPr>
                <w:rFonts w:hint="eastAsia" w:ascii="宋体" w:hAnsi="宋体" w:eastAsia="宋体" w:cs="宋体"/>
                <w:color w:val="auto"/>
                <w:highlight w:val="none"/>
              </w:rPr>
            </w:pPr>
          </w:p>
          <w:p>
            <w:pPr>
              <w:spacing w:before="69" w:line="221" w:lineRule="auto"/>
              <w:ind w:firstLine="1120"/>
              <w:rPr>
                <w:rFonts w:hint="eastAsia" w:ascii="宋体" w:hAnsi="宋体" w:eastAsia="宋体" w:cs="宋体"/>
                <w:color w:val="auto"/>
                <w:highlight w:val="none"/>
              </w:rPr>
            </w:pPr>
            <w:r>
              <w:rPr>
                <w:rFonts w:hint="eastAsia" w:ascii="宋体" w:hAnsi="宋体" w:eastAsia="宋体" w:cs="宋体"/>
                <w:color w:val="auto"/>
                <w:spacing w:val="-1"/>
                <w:highlight w:val="none"/>
              </w:rPr>
              <w:t>评分标准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jc w:val="center"/>
        </w:trPr>
        <w:tc>
          <w:tcPr>
            <w:tcW w:w="86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highlight w:val="none"/>
              </w:rPr>
              <w:t>条款</w:t>
            </w:r>
            <w:r>
              <w:rPr>
                <w:rFonts w:hint="eastAsia" w:ascii="宋体" w:hAnsi="宋体" w:eastAsia="宋体" w:cs="宋体"/>
                <w:color w:val="auto"/>
                <w:spacing w:val="-1"/>
                <w:highlight w:val="none"/>
              </w:rPr>
              <w:t>号</w:t>
            </w:r>
          </w:p>
        </w:tc>
        <w:tc>
          <w:tcPr>
            <w:tcW w:w="142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highlight w:val="none"/>
              </w:rPr>
              <w:t>评分因素</w:t>
            </w:r>
          </w:p>
        </w:tc>
        <w:tc>
          <w:tcPr>
            <w:tcW w:w="97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1"/>
                <w:highlight w:val="none"/>
              </w:rPr>
            </w:pPr>
            <w:r>
              <w:rPr>
                <w:rFonts w:hint="eastAsia" w:ascii="宋体" w:hAnsi="宋体" w:eastAsia="宋体" w:cs="宋体"/>
                <w:color w:val="auto"/>
                <w:spacing w:val="-2"/>
                <w:highlight w:val="none"/>
              </w:rPr>
              <w:t>评</w:t>
            </w:r>
            <w:r>
              <w:rPr>
                <w:rFonts w:hint="eastAsia" w:ascii="宋体" w:hAnsi="宋体" w:eastAsia="宋体" w:cs="宋体"/>
                <w:color w:val="auto"/>
                <w:spacing w:val="-1"/>
                <w:highlight w:val="none"/>
              </w:rPr>
              <w:t>分因素</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2"/>
                <w:highlight w:val="none"/>
              </w:rPr>
              <w:t>权</w:t>
            </w:r>
            <w:r>
              <w:rPr>
                <w:rFonts w:hint="eastAsia" w:ascii="宋体" w:hAnsi="宋体" w:eastAsia="宋体" w:cs="宋体"/>
                <w:color w:val="auto"/>
                <w:spacing w:val="-1"/>
                <w:highlight w:val="none"/>
              </w:rPr>
              <w:t>重分值</w:t>
            </w:r>
          </w:p>
        </w:tc>
        <w:tc>
          <w:tcPr>
            <w:tcW w:w="3000"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highlight w:val="none"/>
              </w:rPr>
            </w:pPr>
            <w:r>
              <w:rPr>
                <w:rFonts w:hint="eastAsia" w:ascii="宋体" w:hAnsi="宋体" w:eastAsia="宋体" w:cs="宋体"/>
                <w:color w:val="auto"/>
                <w:highlight w:val="none"/>
              </w:rPr>
              <w:t>各评分因素细分项</w:t>
            </w:r>
          </w:p>
        </w:tc>
        <w:tc>
          <w:tcPr>
            <w:tcW w:w="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3"/>
                <w:highlight w:val="none"/>
              </w:rPr>
              <w:t>分</w:t>
            </w:r>
            <w:r>
              <w:rPr>
                <w:rFonts w:hint="eastAsia" w:ascii="宋体" w:hAnsi="宋体" w:eastAsia="宋体" w:cs="宋体"/>
                <w:color w:val="auto"/>
                <w:spacing w:val="-2"/>
                <w:highlight w:val="none"/>
              </w:rPr>
              <w:t>值</w:t>
            </w:r>
          </w:p>
        </w:tc>
        <w:tc>
          <w:tcPr>
            <w:tcW w:w="2744" w:type="dxa"/>
            <w:vMerge w:val="continue"/>
            <w:tcBorders>
              <w:top w:val="nil"/>
            </w:tcBorders>
          </w:tcPr>
          <w:p>
            <w:pPr>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86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2.2.4</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w:t>
            </w:r>
          </w:p>
        </w:tc>
        <w:tc>
          <w:tcPr>
            <w:tcW w:w="1429"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技术</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建议书</w:t>
            </w:r>
          </w:p>
        </w:tc>
        <w:tc>
          <w:tcPr>
            <w:tcW w:w="977"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lang w:val="en-US" w:eastAsia="zh-CN"/>
              </w:rPr>
              <w:t>10</w:t>
            </w:r>
            <w:r>
              <w:rPr>
                <w:rFonts w:hint="eastAsia" w:ascii="宋体" w:hAnsi="宋体" w:eastAsia="宋体" w:cs="宋体"/>
                <w:color w:val="auto"/>
                <w:spacing w:val="-2"/>
                <w:highlight w:val="none"/>
              </w:rPr>
              <w:t>分</w:t>
            </w:r>
          </w:p>
        </w:tc>
        <w:tc>
          <w:tcPr>
            <w:tcW w:w="3000" w:type="dxa"/>
            <w:gridSpan w:val="3"/>
            <w:vAlign w:val="center"/>
          </w:tcPr>
          <w:p>
            <w:pPr>
              <w:spacing w:line="24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对招标项目的理解和总体设计思路</w:t>
            </w:r>
            <w:r>
              <w:rPr>
                <w:rFonts w:hint="eastAsia" w:ascii="宋体" w:hAnsi="宋体" w:eastAsia="宋体" w:cs="宋体"/>
                <w:color w:val="auto"/>
                <w:highlight w:val="none"/>
                <w:lang w:eastAsia="zh-CN"/>
              </w:rPr>
              <w:t>。</w:t>
            </w:r>
          </w:p>
        </w:tc>
        <w:tc>
          <w:tcPr>
            <w:tcW w:w="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3"/>
                <w:highlight w:val="none"/>
                <w:lang w:eastAsia="zh-CN"/>
              </w:rPr>
            </w:pPr>
            <w:r>
              <w:rPr>
                <w:rFonts w:hint="eastAsia" w:ascii="宋体" w:hAnsi="宋体" w:eastAsia="宋体" w:cs="宋体"/>
                <w:color w:val="auto"/>
                <w:spacing w:val="-3"/>
                <w:highlight w:val="none"/>
                <w:lang w:eastAsia="zh-CN"/>
              </w:rPr>
              <w:t>2</w:t>
            </w:r>
          </w:p>
        </w:tc>
        <w:tc>
          <w:tcPr>
            <w:tcW w:w="2744" w:type="dxa"/>
            <w:vMerge w:val="restart"/>
            <w:tcBorders>
              <w:bottom w:val="nil"/>
            </w:tcBorders>
            <w:vAlign w:val="center"/>
          </w:tcPr>
          <w:p>
            <w:pPr>
              <w:spacing w:before="68" w:line="250" w:lineRule="auto"/>
              <w:ind w:right="71"/>
              <w:rPr>
                <w:rFonts w:hint="eastAsia" w:ascii="宋体" w:hAnsi="宋体" w:eastAsia="宋体" w:cs="宋体"/>
                <w:color w:val="auto"/>
                <w:spacing w:val="-22"/>
                <w:highlight w:val="none"/>
              </w:rPr>
            </w:pPr>
            <w:r>
              <w:rPr>
                <w:rFonts w:hint="eastAsia" w:ascii="宋体" w:hAnsi="宋体" w:eastAsia="宋体" w:cs="宋体"/>
                <w:color w:val="auto"/>
                <w:highlight w:val="none"/>
              </w:rPr>
              <w:t>每项基本分</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分</w:t>
            </w:r>
            <w:r>
              <w:rPr>
                <w:rFonts w:hint="eastAsia" w:ascii="宋体" w:hAnsi="宋体" w:eastAsia="宋体" w:cs="宋体"/>
                <w:color w:val="auto"/>
                <w:spacing w:val="-22"/>
                <w:highlight w:val="none"/>
              </w:rPr>
              <w:t>。</w:t>
            </w:r>
          </w:p>
          <w:p>
            <w:pPr>
              <w:spacing w:before="68" w:line="250" w:lineRule="auto"/>
              <w:ind w:right="71"/>
              <w:rPr>
                <w:rFonts w:hint="eastAsia" w:ascii="宋体" w:hAnsi="宋体" w:eastAsia="宋体" w:cs="宋体"/>
                <w:color w:val="auto"/>
                <w:highlight w:val="none"/>
              </w:rPr>
            </w:pPr>
            <w:r>
              <w:rPr>
                <w:rFonts w:hint="eastAsia" w:ascii="宋体" w:hAnsi="宋体" w:eastAsia="宋体" w:cs="宋体"/>
                <w:color w:val="auto"/>
                <w:highlight w:val="none"/>
              </w:rPr>
              <w:t>评标委员会根据技术建议书是否合理</w:t>
            </w:r>
            <w:r>
              <w:rPr>
                <w:rFonts w:hint="eastAsia" w:ascii="宋体" w:hAnsi="宋体" w:eastAsia="宋体" w:cs="宋体"/>
                <w:color w:val="auto"/>
                <w:spacing w:val="-23"/>
                <w:highlight w:val="none"/>
              </w:rPr>
              <w:t>，</w:t>
            </w:r>
            <w:r>
              <w:rPr>
                <w:rFonts w:hint="eastAsia" w:ascii="宋体" w:hAnsi="宋体" w:eastAsia="宋体" w:cs="宋体"/>
                <w:color w:val="auto"/>
                <w:highlight w:val="none"/>
              </w:rPr>
              <w:t>酌情加分</w:t>
            </w:r>
            <w:r>
              <w:rPr>
                <w:rFonts w:hint="eastAsia" w:ascii="宋体" w:hAnsi="宋体" w:eastAsia="宋体" w:cs="宋体"/>
                <w:color w:val="auto"/>
                <w:spacing w:val="-34"/>
                <w:highlight w:val="none"/>
              </w:rPr>
              <w:t>，</w:t>
            </w:r>
            <w:r>
              <w:rPr>
                <w:rFonts w:hint="eastAsia" w:ascii="宋体" w:hAnsi="宋体" w:eastAsia="宋体" w:cs="宋体"/>
                <w:color w:val="auto"/>
                <w:spacing w:val="-105"/>
                <w:highlight w:val="none"/>
              </w:rPr>
              <w:t xml:space="preserve"> </w:t>
            </w:r>
            <w:r>
              <w:rPr>
                <w:rFonts w:hint="eastAsia" w:ascii="宋体" w:hAnsi="宋体" w:eastAsia="宋体" w:cs="宋体"/>
                <w:color w:val="auto"/>
                <w:highlight w:val="none"/>
              </w:rPr>
              <w:t>每项最高加</w:t>
            </w:r>
            <w:r>
              <w:rPr>
                <w:rFonts w:hint="eastAsia" w:ascii="宋体" w:hAnsi="宋体" w:eastAsia="宋体" w:cs="宋体"/>
                <w:color w:val="auto"/>
                <w:highlight w:val="none"/>
                <w:lang w:val="en-US" w:eastAsia="zh-CN"/>
              </w:rPr>
              <w:t>0.8</w:t>
            </w:r>
            <w:r>
              <w:rPr>
                <w:rFonts w:hint="eastAsia" w:ascii="宋体" w:hAnsi="宋体" w:eastAsia="宋体" w:cs="宋体"/>
                <w:color w:val="auto"/>
                <w:highlight w:val="none"/>
              </w:rPr>
              <w:t>分</w:t>
            </w:r>
            <w:r>
              <w:rPr>
                <w:rFonts w:hint="eastAsia" w:ascii="宋体" w:hAnsi="宋体" w:eastAsia="宋体" w:cs="宋体"/>
                <w:color w:val="auto"/>
                <w:spacing w:val="-3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863" w:type="dxa"/>
            <w:vMerge w:val="continue"/>
            <w:tcBorders>
              <w:top w:val="nil"/>
              <w:bottom w:val="nil"/>
            </w:tcBorders>
          </w:tcPr>
          <w:p>
            <w:pPr>
              <w:rPr>
                <w:rFonts w:hint="eastAsia" w:ascii="宋体" w:hAnsi="宋体" w:eastAsia="宋体" w:cs="宋体"/>
                <w:color w:val="auto"/>
                <w:highlight w:val="none"/>
              </w:rPr>
            </w:pPr>
          </w:p>
        </w:tc>
        <w:tc>
          <w:tcPr>
            <w:tcW w:w="1429" w:type="dxa"/>
            <w:gridSpan w:val="2"/>
            <w:vMerge w:val="continue"/>
            <w:tcBorders>
              <w:top w:val="nil"/>
              <w:bottom w:val="nil"/>
            </w:tcBorders>
          </w:tcPr>
          <w:p>
            <w:pPr>
              <w:rPr>
                <w:rFonts w:hint="eastAsia" w:ascii="宋体" w:hAnsi="宋体" w:eastAsia="宋体" w:cs="宋体"/>
                <w:color w:val="auto"/>
                <w:highlight w:val="none"/>
              </w:rPr>
            </w:pPr>
          </w:p>
        </w:tc>
        <w:tc>
          <w:tcPr>
            <w:tcW w:w="977" w:type="dxa"/>
            <w:gridSpan w:val="2"/>
            <w:vMerge w:val="continue"/>
            <w:tcBorders>
              <w:top w:val="nil"/>
              <w:bottom w:val="nil"/>
            </w:tcBorders>
          </w:tcPr>
          <w:p>
            <w:pPr>
              <w:rPr>
                <w:rFonts w:hint="eastAsia" w:ascii="宋体" w:hAnsi="宋体" w:eastAsia="宋体" w:cs="宋体"/>
                <w:color w:val="auto"/>
                <w:highlight w:val="none"/>
              </w:rPr>
            </w:pPr>
          </w:p>
        </w:tc>
        <w:tc>
          <w:tcPr>
            <w:tcW w:w="3000" w:type="dxa"/>
            <w:gridSpan w:val="3"/>
            <w:vAlign w:val="center"/>
          </w:tcPr>
          <w:p>
            <w:pPr>
              <w:spacing w:line="24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招标项目勘察设计的特点、关键技术问题的认识及其对策措施</w:t>
            </w:r>
            <w:r>
              <w:rPr>
                <w:rFonts w:hint="eastAsia" w:ascii="宋体" w:hAnsi="宋体" w:eastAsia="宋体" w:cs="宋体"/>
                <w:color w:val="auto"/>
                <w:highlight w:val="none"/>
                <w:lang w:eastAsia="zh-CN"/>
              </w:rPr>
              <w:t>。</w:t>
            </w:r>
          </w:p>
        </w:tc>
        <w:tc>
          <w:tcPr>
            <w:tcW w:w="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3"/>
                <w:highlight w:val="none"/>
                <w:lang w:eastAsia="zh-CN"/>
              </w:rPr>
            </w:pPr>
            <w:r>
              <w:rPr>
                <w:rFonts w:hint="eastAsia" w:ascii="宋体" w:hAnsi="宋体" w:eastAsia="宋体" w:cs="宋体"/>
                <w:color w:val="auto"/>
                <w:spacing w:val="-3"/>
                <w:highlight w:val="none"/>
                <w:lang w:val="en-US" w:eastAsia="zh-CN"/>
              </w:rPr>
              <w:t>2</w:t>
            </w:r>
          </w:p>
        </w:tc>
        <w:tc>
          <w:tcPr>
            <w:tcW w:w="2744" w:type="dxa"/>
            <w:vMerge w:val="continue"/>
            <w:tcBorders>
              <w:top w:val="nil"/>
              <w:bottom w:val="nil"/>
            </w:tcBorders>
          </w:tcPr>
          <w:p>
            <w:pPr>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863" w:type="dxa"/>
            <w:vMerge w:val="continue"/>
            <w:tcBorders>
              <w:top w:val="nil"/>
              <w:bottom w:val="nil"/>
            </w:tcBorders>
          </w:tcPr>
          <w:p>
            <w:pPr>
              <w:rPr>
                <w:rFonts w:hint="eastAsia" w:ascii="宋体" w:hAnsi="宋体" w:eastAsia="宋体" w:cs="宋体"/>
                <w:color w:val="auto"/>
                <w:highlight w:val="none"/>
              </w:rPr>
            </w:pPr>
          </w:p>
        </w:tc>
        <w:tc>
          <w:tcPr>
            <w:tcW w:w="1429" w:type="dxa"/>
            <w:gridSpan w:val="2"/>
            <w:vMerge w:val="continue"/>
            <w:tcBorders>
              <w:top w:val="nil"/>
              <w:bottom w:val="nil"/>
            </w:tcBorders>
          </w:tcPr>
          <w:p>
            <w:pPr>
              <w:rPr>
                <w:rFonts w:hint="eastAsia" w:ascii="宋体" w:hAnsi="宋体" w:eastAsia="宋体" w:cs="宋体"/>
                <w:color w:val="auto"/>
                <w:highlight w:val="none"/>
              </w:rPr>
            </w:pPr>
          </w:p>
        </w:tc>
        <w:tc>
          <w:tcPr>
            <w:tcW w:w="977" w:type="dxa"/>
            <w:gridSpan w:val="2"/>
            <w:vMerge w:val="continue"/>
            <w:tcBorders>
              <w:top w:val="nil"/>
              <w:bottom w:val="nil"/>
            </w:tcBorders>
          </w:tcPr>
          <w:p>
            <w:pPr>
              <w:rPr>
                <w:rFonts w:hint="eastAsia" w:ascii="宋体" w:hAnsi="宋体" w:eastAsia="宋体" w:cs="宋体"/>
                <w:color w:val="auto"/>
                <w:highlight w:val="none"/>
              </w:rPr>
            </w:pPr>
          </w:p>
        </w:tc>
        <w:tc>
          <w:tcPr>
            <w:tcW w:w="3000" w:type="dxa"/>
            <w:gridSpan w:val="3"/>
            <w:vAlign w:val="center"/>
          </w:tcPr>
          <w:p>
            <w:pPr>
              <w:spacing w:line="24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勘察设计工作量及计划安排</w:t>
            </w:r>
            <w:r>
              <w:rPr>
                <w:rFonts w:hint="eastAsia" w:ascii="宋体" w:hAnsi="宋体" w:eastAsia="宋体" w:cs="宋体"/>
                <w:color w:val="auto"/>
                <w:highlight w:val="none"/>
                <w:lang w:eastAsia="zh-CN"/>
              </w:rPr>
              <w:t>。</w:t>
            </w:r>
          </w:p>
        </w:tc>
        <w:tc>
          <w:tcPr>
            <w:tcW w:w="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3"/>
                <w:highlight w:val="none"/>
                <w:lang w:eastAsia="zh-CN"/>
              </w:rPr>
            </w:pPr>
            <w:r>
              <w:rPr>
                <w:rFonts w:hint="eastAsia" w:ascii="宋体" w:hAnsi="宋体" w:eastAsia="宋体" w:cs="宋体"/>
                <w:color w:val="auto"/>
                <w:spacing w:val="-3"/>
                <w:highlight w:val="none"/>
                <w:lang w:val="en-US" w:eastAsia="zh-CN"/>
              </w:rPr>
              <w:t>2</w:t>
            </w:r>
          </w:p>
        </w:tc>
        <w:tc>
          <w:tcPr>
            <w:tcW w:w="2744" w:type="dxa"/>
            <w:vMerge w:val="continue"/>
            <w:tcBorders>
              <w:top w:val="nil"/>
              <w:bottom w:val="nil"/>
            </w:tcBorders>
          </w:tcPr>
          <w:p>
            <w:pPr>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863" w:type="dxa"/>
            <w:vMerge w:val="continue"/>
            <w:tcBorders>
              <w:top w:val="nil"/>
              <w:bottom w:val="nil"/>
            </w:tcBorders>
          </w:tcPr>
          <w:p>
            <w:pPr>
              <w:rPr>
                <w:rFonts w:hint="eastAsia" w:ascii="宋体" w:hAnsi="宋体" w:eastAsia="宋体" w:cs="宋体"/>
                <w:color w:val="auto"/>
                <w:highlight w:val="none"/>
              </w:rPr>
            </w:pPr>
          </w:p>
        </w:tc>
        <w:tc>
          <w:tcPr>
            <w:tcW w:w="1429" w:type="dxa"/>
            <w:gridSpan w:val="2"/>
            <w:vMerge w:val="continue"/>
            <w:tcBorders>
              <w:top w:val="nil"/>
              <w:bottom w:val="nil"/>
            </w:tcBorders>
          </w:tcPr>
          <w:p>
            <w:pPr>
              <w:rPr>
                <w:rFonts w:hint="eastAsia" w:ascii="宋体" w:hAnsi="宋体" w:eastAsia="宋体" w:cs="宋体"/>
                <w:color w:val="auto"/>
                <w:highlight w:val="none"/>
              </w:rPr>
            </w:pPr>
          </w:p>
        </w:tc>
        <w:tc>
          <w:tcPr>
            <w:tcW w:w="977" w:type="dxa"/>
            <w:gridSpan w:val="2"/>
            <w:vMerge w:val="continue"/>
            <w:tcBorders>
              <w:top w:val="nil"/>
              <w:bottom w:val="nil"/>
            </w:tcBorders>
          </w:tcPr>
          <w:p>
            <w:pPr>
              <w:rPr>
                <w:rFonts w:hint="eastAsia" w:ascii="宋体" w:hAnsi="宋体" w:eastAsia="宋体" w:cs="宋体"/>
                <w:color w:val="auto"/>
                <w:highlight w:val="none"/>
              </w:rPr>
            </w:pPr>
          </w:p>
        </w:tc>
        <w:tc>
          <w:tcPr>
            <w:tcW w:w="3000" w:type="dxa"/>
            <w:gridSpan w:val="3"/>
            <w:vAlign w:val="center"/>
          </w:tcPr>
          <w:p>
            <w:pPr>
              <w:spacing w:line="24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勘察设计的质量保证措施、进度保证措施、安全保证措施</w:t>
            </w:r>
            <w:r>
              <w:rPr>
                <w:rFonts w:hint="eastAsia" w:ascii="宋体" w:hAnsi="宋体" w:eastAsia="宋体" w:cs="宋体"/>
                <w:color w:val="auto"/>
                <w:highlight w:val="none"/>
                <w:lang w:eastAsia="zh-CN"/>
              </w:rPr>
              <w:t>。</w:t>
            </w:r>
          </w:p>
        </w:tc>
        <w:tc>
          <w:tcPr>
            <w:tcW w:w="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3"/>
                <w:highlight w:val="none"/>
                <w:lang w:eastAsia="zh-CN"/>
              </w:rPr>
            </w:pPr>
            <w:r>
              <w:rPr>
                <w:rFonts w:hint="eastAsia" w:ascii="宋体" w:hAnsi="宋体" w:eastAsia="宋体" w:cs="宋体"/>
                <w:color w:val="auto"/>
                <w:spacing w:val="-3"/>
                <w:highlight w:val="none"/>
                <w:lang w:val="en-US" w:eastAsia="zh-CN"/>
              </w:rPr>
              <w:t>2</w:t>
            </w:r>
          </w:p>
        </w:tc>
        <w:tc>
          <w:tcPr>
            <w:tcW w:w="2744" w:type="dxa"/>
            <w:vMerge w:val="continue"/>
            <w:tcBorders>
              <w:top w:val="nil"/>
              <w:bottom w:val="nil"/>
            </w:tcBorders>
          </w:tcPr>
          <w:p>
            <w:pPr>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exact"/>
          <w:jc w:val="center"/>
        </w:trPr>
        <w:tc>
          <w:tcPr>
            <w:tcW w:w="863" w:type="dxa"/>
            <w:vMerge w:val="continue"/>
            <w:tcBorders>
              <w:top w:val="nil"/>
            </w:tcBorders>
          </w:tcPr>
          <w:p>
            <w:pPr>
              <w:rPr>
                <w:rFonts w:hint="eastAsia" w:ascii="宋体" w:hAnsi="宋体" w:eastAsia="宋体" w:cs="宋体"/>
                <w:color w:val="auto"/>
                <w:highlight w:val="none"/>
              </w:rPr>
            </w:pPr>
          </w:p>
        </w:tc>
        <w:tc>
          <w:tcPr>
            <w:tcW w:w="1429" w:type="dxa"/>
            <w:gridSpan w:val="2"/>
            <w:vMerge w:val="continue"/>
            <w:tcBorders>
              <w:top w:val="nil"/>
            </w:tcBorders>
          </w:tcPr>
          <w:p>
            <w:pPr>
              <w:rPr>
                <w:rFonts w:hint="eastAsia" w:ascii="宋体" w:hAnsi="宋体" w:eastAsia="宋体" w:cs="宋体"/>
                <w:color w:val="auto"/>
                <w:highlight w:val="none"/>
              </w:rPr>
            </w:pPr>
          </w:p>
        </w:tc>
        <w:tc>
          <w:tcPr>
            <w:tcW w:w="977" w:type="dxa"/>
            <w:gridSpan w:val="2"/>
            <w:vMerge w:val="continue"/>
            <w:tcBorders>
              <w:top w:val="nil"/>
            </w:tcBorders>
          </w:tcPr>
          <w:p>
            <w:pPr>
              <w:rPr>
                <w:rFonts w:hint="eastAsia" w:ascii="宋体" w:hAnsi="宋体" w:eastAsia="宋体" w:cs="宋体"/>
                <w:color w:val="auto"/>
                <w:highlight w:val="none"/>
              </w:rPr>
            </w:pPr>
          </w:p>
        </w:tc>
        <w:tc>
          <w:tcPr>
            <w:tcW w:w="3000" w:type="dxa"/>
            <w:gridSpan w:val="3"/>
            <w:vAlign w:val="center"/>
          </w:tcPr>
          <w:p>
            <w:pPr>
              <w:spacing w:line="240" w:lineRule="auto"/>
              <w:rPr>
                <w:rFonts w:hint="eastAsia" w:ascii="宋体" w:hAnsi="宋体" w:eastAsia="宋体" w:cs="宋体"/>
                <w:color w:val="auto"/>
                <w:highlight w:val="none"/>
                <w:lang w:eastAsia="zh-CN"/>
              </w:rPr>
            </w:pPr>
            <w:r>
              <w:rPr>
                <w:rFonts w:hint="eastAsia" w:ascii="宋体" w:hAnsi="宋体" w:eastAsia="宋体" w:cs="宋体"/>
                <w:color w:val="auto"/>
                <w:highlight w:val="none"/>
              </w:rPr>
              <w:t>后续服务的安排、保证措施及疫情防控措施</w:t>
            </w:r>
            <w:r>
              <w:rPr>
                <w:rFonts w:hint="eastAsia" w:ascii="宋体" w:hAnsi="宋体" w:eastAsia="宋体" w:cs="宋体"/>
                <w:color w:val="auto"/>
                <w:highlight w:val="none"/>
                <w:lang w:eastAsia="zh-CN"/>
              </w:rPr>
              <w:t>。</w:t>
            </w:r>
          </w:p>
        </w:tc>
        <w:tc>
          <w:tcPr>
            <w:tcW w:w="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3"/>
                <w:highlight w:val="none"/>
                <w:lang w:val="en-US" w:eastAsia="zh-CN"/>
              </w:rPr>
            </w:pPr>
            <w:r>
              <w:rPr>
                <w:rFonts w:hint="eastAsia" w:ascii="宋体" w:hAnsi="宋体" w:eastAsia="宋体" w:cs="宋体"/>
                <w:color w:val="auto"/>
                <w:spacing w:val="-3"/>
                <w:highlight w:val="none"/>
                <w:lang w:val="en-US" w:eastAsia="zh-CN"/>
              </w:rPr>
              <w:t>2</w:t>
            </w:r>
          </w:p>
        </w:tc>
        <w:tc>
          <w:tcPr>
            <w:tcW w:w="2744" w:type="dxa"/>
            <w:vMerge w:val="continue"/>
            <w:tcBorders>
              <w:top w:val="nil"/>
            </w:tcBorders>
          </w:tcPr>
          <w:p>
            <w:pPr>
              <w:rPr>
                <w:rFonts w:hint="eastAsia" w:ascii="宋体" w:hAnsi="宋体" w:eastAsia="宋体" w:cs="宋体"/>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9" w:hRule="atLeast"/>
          <w:jc w:val="center"/>
        </w:trPr>
        <w:tc>
          <w:tcPr>
            <w:tcW w:w="86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2.2.4</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w:t>
            </w:r>
          </w:p>
        </w:tc>
        <w:tc>
          <w:tcPr>
            <w:tcW w:w="142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主要人员</w:t>
            </w:r>
          </w:p>
        </w:tc>
        <w:tc>
          <w:tcPr>
            <w:tcW w:w="97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lang w:val="en-US" w:eastAsia="zh-CN"/>
              </w:rPr>
              <w:t>35</w:t>
            </w:r>
            <w:r>
              <w:rPr>
                <w:rFonts w:hint="eastAsia" w:ascii="宋体" w:hAnsi="宋体" w:eastAsia="宋体" w:cs="宋体"/>
                <w:color w:val="auto"/>
                <w:spacing w:val="-2"/>
                <w:highlight w:val="none"/>
              </w:rPr>
              <w:t>分</w:t>
            </w:r>
          </w:p>
        </w:tc>
        <w:tc>
          <w:tcPr>
            <w:tcW w:w="3000" w:type="dxa"/>
            <w:gridSpan w:val="3"/>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项目负责人任职资格与业绩</w:t>
            </w:r>
          </w:p>
        </w:tc>
        <w:tc>
          <w:tcPr>
            <w:tcW w:w="73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lang w:val="en-US" w:eastAsia="zh-CN"/>
              </w:rPr>
              <w:t>35</w:t>
            </w:r>
          </w:p>
        </w:tc>
        <w:tc>
          <w:tcPr>
            <w:tcW w:w="2744" w:type="dxa"/>
            <w:vAlign w:val="center"/>
          </w:tcPr>
          <w:p>
            <w:pPr>
              <w:spacing w:before="173" w:line="239" w:lineRule="auto"/>
              <w:ind w:left="80" w:right="71" w:hanging="2"/>
              <w:rPr>
                <w:rFonts w:hint="eastAsia" w:ascii="宋体" w:hAnsi="宋体" w:eastAsia="宋体" w:cs="宋体"/>
                <w:color w:val="auto"/>
                <w:highlight w:val="none"/>
              </w:rPr>
            </w:pPr>
            <w:r>
              <w:rPr>
                <w:rFonts w:hint="eastAsia" w:ascii="宋体" w:hAnsi="宋体" w:eastAsia="宋体" w:cs="宋体"/>
                <w:color w:val="auto"/>
                <w:spacing w:val="-2"/>
                <w:highlight w:val="none"/>
              </w:rPr>
              <w:t>满足资格审查条件</w:t>
            </w:r>
            <w:r>
              <w:rPr>
                <w:rFonts w:hint="eastAsia" w:ascii="宋体" w:hAnsi="宋体" w:eastAsia="宋体" w:cs="宋体"/>
                <w:color w:val="auto"/>
                <w:spacing w:val="-1"/>
                <w:highlight w:val="none"/>
              </w:rPr>
              <w:t>（项目负责人</w:t>
            </w:r>
            <w:r>
              <w:rPr>
                <w:rFonts w:hint="eastAsia" w:ascii="宋体" w:hAnsi="宋体" w:eastAsia="宋体" w:cs="宋体"/>
                <w:color w:val="auto"/>
                <w:highlight w:val="none"/>
              </w:rPr>
              <w:t>最低要求</w:t>
            </w:r>
            <w:r>
              <w:rPr>
                <w:rFonts w:hint="eastAsia" w:ascii="宋体" w:hAnsi="宋体" w:eastAsia="宋体" w:cs="宋体"/>
                <w:color w:val="auto"/>
                <w:spacing w:val="-39"/>
                <w:highlight w:val="none"/>
              </w:rPr>
              <w:t>）</w:t>
            </w:r>
            <w:r>
              <w:rPr>
                <w:rFonts w:hint="eastAsia" w:ascii="宋体" w:hAnsi="宋体" w:eastAsia="宋体" w:cs="宋体"/>
                <w:color w:val="auto"/>
                <w:spacing w:val="-105"/>
                <w:highlight w:val="none"/>
              </w:rPr>
              <w:t xml:space="preserve"> </w:t>
            </w:r>
            <w:r>
              <w:rPr>
                <w:rFonts w:hint="eastAsia" w:ascii="宋体" w:hAnsi="宋体" w:eastAsia="宋体" w:cs="宋体"/>
                <w:color w:val="auto"/>
                <w:highlight w:val="none"/>
              </w:rPr>
              <w:t>得</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分</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在满足资格条件基础上，每增加1项高速公路工程设计业绩加2分，最多加14分。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9" w:hRule="atLeast"/>
          <w:jc w:val="center"/>
        </w:trPr>
        <w:tc>
          <w:tcPr>
            <w:tcW w:w="863"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2.2.4</w:t>
            </w:r>
          </w:p>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（3）</w:t>
            </w:r>
          </w:p>
        </w:tc>
        <w:tc>
          <w:tcPr>
            <w:tcW w:w="1429"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评标价</w:t>
            </w:r>
          </w:p>
        </w:tc>
        <w:tc>
          <w:tcPr>
            <w:tcW w:w="97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0"/>
              <w:jc w:val="center"/>
              <w:textAlignment w:val="baseline"/>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10分</w:t>
            </w:r>
          </w:p>
        </w:tc>
        <w:tc>
          <w:tcPr>
            <w:tcW w:w="6475" w:type="dxa"/>
            <w:gridSpan w:val="5"/>
            <w:vAlign w:val="center"/>
          </w:tcPr>
          <w:p>
            <w:pPr>
              <w:spacing w:before="6" w:line="229" w:lineRule="auto"/>
              <w:ind w:left="122" w:right="102" w:hanging="58"/>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投标价得分计算公式:</w:t>
            </w:r>
          </w:p>
          <w:p>
            <w:pPr>
              <w:spacing w:before="6" w:line="229" w:lineRule="auto"/>
              <w:ind w:left="122" w:right="102" w:hanging="58"/>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（1）如果投标人的评标价＞评标基准价，则投标价得分=10-偏差率×100×E1；</w:t>
            </w:r>
          </w:p>
          <w:p>
            <w:pPr>
              <w:spacing w:before="6" w:line="229" w:lineRule="auto"/>
              <w:ind w:left="122" w:right="102" w:hanging="58"/>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（2）如果投标人的评标价≤评标基准价，则投标价得分=10+偏差率×100×E2。</w:t>
            </w:r>
          </w:p>
          <w:p>
            <w:pPr>
              <w:spacing w:before="6" w:line="229" w:lineRule="auto"/>
              <w:ind w:left="122" w:right="102" w:hanging="58"/>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其中：E1=1，E2=0.5。</w:t>
            </w:r>
          </w:p>
          <w:p>
            <w:pPr>
              <w:spacing w:before="6" w:line="229" w:lineRule="auto"/>
              <w:ind w:left="122" w:right="102" w:hanging="58"/>
              <w:rPr>
                <w:rFonts w:hint="eastAsia" w:ascii="宋体" w:hAnsi="宋体" w:eastAsia="宋体" w:cs="宋体"/>
                <w:color w:val="auto"/>
                <w:highlight w:val="none"/>
              </w:rPr>
            </w:pPr>
            <w:r>
              <w:rPr>
                <w:rFonts w:hint="eastAsia" w:ascii="宋体" w:hAnsi="宋体" w:eastAsia="宋体" w:cs="宋体"/>
                <w:color w:val="auto"/>
                <w:spacing w:val="1"/>
                <w:highlight w:val="none"/>
              </w:rPr>
              <w:t>评标价最高得分为10分，最低得分为0分。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4" w:hRule="atLeast"/>
          <w:jc w:val="center"/>
        </w:trPr>
        <w:tc>
          <w:tcPr>
            <w:tcW w:w="863" w:type="dxa"/>
            <w:vMerge w:val="restart"/>
            <w:vAlign w:val="center"/>
          </w:tcPr>
          <w:p>
            <w:pPr>
              <w:spacing w:before="60" w:line="224" w:lineRule="auto"/>
              <w:jc w:val="center"/>
              <w:rPr>
                <w:rFonts w:hint="eastAsia"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highlight w:val="none"/>
              </w:rPr>
              <w:t>2.4</w:t>
            </w:r>
          </w:p>
          <w:p>
            <w:pPr>
              <w:spacing w:line="232" w:lineRule="auto"/>
              <w:ind w:firstLine="167"/>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pacing w:val="-13"/>
                <w:highlight w:val="none"/>
              </w:rPr>
              <w:t>）</w:t>
            </w:r>
          </w:p>
        </w:tc>
        <w:tc>
          <w:tcPr>
            <w:tcW w:w="655" w:type="dxa"/>
            <w:vMerge w:val="restart"/>
            <w:vAlign w:val="center"/>
          </w:tcPr>
          <w:p>
            <w:pPr>
              <w:spacing w:before="68" w:line="238" w:lineRule="auto"/>
              <w:jc w:val="center"/>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其他</w:t>
            </w:r>
          </w:p>
          <w:p>
            <w:pPr>
              <w:spacing w:before="68" w:line="238" w:lineRule="auto"/>
              <w:jc w:val="center"/>
              <w:rPr>
                <w:rFonts w:hint="eastAsia" w:ascii="宋体" w:hAnsi="宋体" w:eastAsia="宋体" w:cs="宋体"/>
                <w:color w:val="auto"/>
                <w:highlight w:val="none"/>
              </w:rPr>
            </w:pPr>
            <w:r>
              <w:rPr>
                <w:rFonts w:hint="eastAsia" w:ascii="宋体" w:hAnsi="宋体" w:eastAsia="宋体" w:cs="宋体"/>
                <w:color w:val="auto"/>
                <w:spacing w:val="-6"/>
                <w:highlight w:val="none"/>
              </w:rPr>
              <w:t>因素</w:t>
            </w:r>
          </w:p>
        </w:tc>
        <w:tc>
          <w:tcPr>
            <w:tcW w:w="774" w:type="dxa"/>
            <w:vAlign w:val="center"/>
          </w:tcPr>
          <w:p>
            <w:pPr>
              <w:spacing w:before="68" w:line="238" w:lineRule="auto"/>
              <w:jc w:val="center"/>
              <w:rPr>
                <w:rFonts w:hint="eastAsia" w:ascii="宋体" w:hAnsi="宋体" w:eastAsia="宋体" w:cs="宋体"/>
                <w:color w:val="auto"/>
                <w:spacing w:val="-2"/>
                <w:highlight w:val="none"/>
                <w:lang w:val="en-US" w:eastAsia="zh-CN"/>
              </w:rPr>
            </w:pPr>
            <w:r>
              <w:rPr>
                <w:rFonts w:hint="eastAsia" w:ascii="宋体" w:hAnsi="宋体" w:eastAsia="宋体" w:cs="宋体"/>
                <w:color w:val="auto"/>
                <w:spacing w:val="-2"/>
                <w:highlight w:val="none"/>
                <w:lang w:val="en-US" w:eastAsia="zh-CN"/>
              </w:rPr>
              <w:t>业绩</w:t>
            </w:r>
          </w:p>
        </w:tc>
        <w:tc>
          <w:tcPr>
            <w:tcW w:w="977" w:type="dxa"/>
            <w:gridSpan w:val="2"/>
            <w:vAlign w:val="center"/>
          </w:tcPr>
          <w:p>
            <w:pPr>
              <w:spacing w:before="68" w:line="221"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35分</w:t>
            </w:r>
          </w:p>
        </w:tc>
        <w:tc>
          <w:tcPr>
            <w:tcW w:w="6475" w:type="dxa"/>
            <w:gridSpan w:val="5"/>
          </w:tcPr>
          <w:p>
            <w:pPr>
              <w:spacing w:before="175" w:line="221" w:lineRule="auto"/>
              <w:ind w:firstLine="92"/>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pacing w:val="-31"/>
                <w:highlight w:val="none"/>
                <w:lang w:val="en-US" w:eastAsia="zh-CN"/>
              </w:rPr>
              <w:t>.</w:t>
            </w:r>
            <w:r>
              <w:rPr>
                <w:rFonts w:hint="eastAsia" w:ascii="宋体" w:hAnsi="宋体" w:eastAsia="宋体" w:cs="宋体"/>
                <w:color w:val="auto"/>
                <w:highlight w:val="none"/>
              </w:rPr>
              <w:t>满足资格审查条件（业绩最低要求</w:t>
            </w:r>
            <w:r>
              <w:rPr>
                <w:rFonts w:hint="eastAsia" w:ascii="宋体" w:hAnsi="宋体" w:eastAsia="宋体" w:cs="宋体"/>
                <w:color w:val="auto"/>
                <w:spacing w:val="-31"/>
                <w:highlight w:val="none"/>
              </w:rPr>
              <w:t>）</w:t>
            </w:r>
            <w:r>
              <w:rPr>
                <w:rFonts w:hint="eastAsia" w:ascii="宋体" w:hAnsi="宋体" w:eastAsia="宋体" w:cs="宋体"/>
                <w:color w:val="auto"/>
                <w:highlight w:val="none"/>
              </w:rPr>
              <w:t>得</w:t>
            </w:r>
            <w:r>
              <w:rPr>
                <w:rFonts w:hint="eastAsia" w:ascii="宋体" w:hAnsi="宋体" w:eastAsia="宋体" w:cs="宋体"/>
                <w:color w:val="auto"/>
                <w:highlight w:val="none"/>
                <w:lang w:val="en-US" w:eastAsia="zh-CN"/>
              </w:rPr>
              <w:t>21</w:t>
            </w:r>
            <w:r>
              <w:rPr>
                <w:rFonts w:hint="eastAsia" w:ascii="宋体" w:hAnsi="宋体" w:eastAsia="宋体" w:cs="宋体"/>
                <w:color w:val="auto"/>
                <w:highlight w:val="none"/>
              </w:rPr>
              <w:t>分</w:t>
            </w:r>
            <w:r>
              <w:rPr>
                <w:rFonts w:hint="eastAsia" w:ascii="宋体" w:hAnsi="宋体" w:eastAsia="宋体" w:cs="宋体"/>
                <w:color w:val="auto"/>
                <w:spacing w:val="-31"/>
                <w:highlight w:val="none"/>
              </w:rPr>
              <w:t>；</w:t>
            </w:r>
          </w:p>
          <w:p>
            <w:pPr>
              <w:spacing w:before="91" w:line="273" w:lineRule="auto"/>
              <w:ind w:left="78" w:right="71" w:hanging="6"/>
              <w:rPr>
                <w:rFonts w:hint="eastAsia" w:ascii="宋体" w:hAnsi="宋体" w:eastAsia="宋体" w:cs="宋体"/>
                <w:color w:val="auto"/>
                <w:highlight w:val="none"/>
              </w:rPr>
            </w:pPr>
            <w:r>
              <w:rPr>
                <w:rFonts w:hint="eastAsia" w:ascii="宋体" w:hAnsi="宋体" w:eastAsia="宋体" w:cs="宋体"/>
                <w:color w:val="auto"/>
                <w:spacing w:val="-1"/>
                <w:highlight w:val="none"/>
              </w:rPr>
              <w:t>2</w:t>
            </w:r>
            <w:r>
              <w:rPr>
                <w:rFonts w:hint="eastAsia" w:ascii="宋体" w:hAnsi="宋体" w:eastAsia="宋体" w:cs="宋体"/>
                <w:color w:val="auto"/>
                <w:spacing w:val="-1"/>
                <w:highlight w:val="none"/>
                <w:lang w:val="en-US" w:eastAsia="zh-CN"/>
              </w:rPr>
              <w:t>.</w:t>
            </w:r>
            <w:r>
              <w:rPr>
                <w:rFonts w:hint="eastAsia" w:ascii="宋体" w:hAnsi="宋体" w:eastAsia="宋体" w:cs="宋体"/>
                <w:color w:val="auto"/>
                <w:spacing w:val="-106"/>
                <w:highlight w:val="none"/>
                <w:lang w:val="en-US" w:eastAsia="zh-CN"/>
              </w:rPr>
              <w:t>..</w:t>
            </w:r>
            <w:r>
              <w:rPr>
                <w:rFonts w:hint="eastAsia" w:ascii="宋体" w:hAnsi="宋体" w:eastAsia="宋体" w:cs="宋体"/>
                <w:color w:val="auto"/>
                <w:spacing w:val="-1"/>
                <w:highlight w:val="none"/>
              </w:rPr>
              <w:t>投标人近5年（</w:t>
            </w:r>
            <w:r>
              <w:rPr>
                <w:rFonts w:hint="eastAsia" w:ascii="宋体" w:hAnsi="宋体" w:eastAsia="宋体" w:cs="宋体"/>
                <w:color w:val="auto"/>
                <w:spacing w:val="-1"/>
                <w:highlight w:val="none"/>
                <w:lang w:eastAsia="zh-CN"/>
              </w:rPr>
              <w:t>2018年3月</w:t>
            </w:r>
            <w:r>
              <w:rPr>
                <w:rFonts w:hint="eastAsia" w:ascii="宋体" w:hAnsi="宋体" w:eastAsia="宋体" w:cs="宋体"/>
                <w:color w:val="auto"/>
                <w:spacing w:val="-1"/>
                <w:highlight w:val="none"/>
              </w:rPr>
              <w:t>1日至投标文件递交截止日，</w:t>
            </w:r>
            <w:r>
              <w:rPr>
                <w:rFonts w:hint="eastAsia" w:ascii="宋体" w:hAnsi="宋体" w:eastAsia="宋体" w:cs="宋体"/>
                <w:color w:val="auto"/>
                <w:spacing w:val="-1"/>
                <w:highlight w:val="none"/>
                <w:lang w:eastAsia="zh-CN"/>
              </w:rPr>
              <w:t>以合同协议书签订时间为准</w:t>
            </w:r>
            <w:r>
              <w:rPr>
                <w:rFonts w:hint="eastAsia" w:ascii="宋体" w:hAnsi="宋体" w:eastAsia="宋体" w:cs="宋体"/>
                <w:color w:val="auto"/>
                <w:spacing w:val="-1"/>
                <w:highlight w:val="none"/>
              </w:rPr>
              <w:t>）</w:t>
            </w:r>
            <w:r>
              <w:rPr>
                <w:rFonts w:hint="eastAsia" w:ascii="宋体" w:hAnsi="宋体" w:eastAsia="宋体" w:cs="宋体"/>
                <w:color w:val="auto"/>
                <w:spacing w:val="-105"/>
                <w:highlight w:val="none"/>
              </w:rPr>
              <w:t xml:space="preserve"> </w:t>
            </w:r>
            <w:r>
              <w:rPr>
                <w:rFonts w:hint="eastAsia" w:ascii="宋体" w:hAnsi="宋体" w:eastAsia="宋体" w:cs="宋体"/>
                <w:color w:val="auto"/>
                <w:highlight w:val="none"/>
              </w:rPr>
              <w:t>每增加1项高速公路工程设计业绩加</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w:t>
            </w:r>
            <w:r>
              <w:rPr>
                <w:rFonts w:hint="eastAsia" w:ascii="宋体" w:hAnsi="宋体" w:eastAsia="宋体" w:cs="宋体"/>
                <w:color w:val="auto"/>
                <w:spacing w:val="-14"/>
                <w:highlight w:val="none"/>
              </w:rPr>
              <w:t>，</w:t>
            </w:r>
            <w:r>
              <w:rPr>
                <w:rFonts w:hint="eastAsia" w:ascii="宋体" w:hAnsi="宋体" w:eastAsia="宋体" w:cs="宋体"/>
                <w:color w:val="auto"/>
                <w:highlight w:val="none"/>
              </w:rPr>
              <w:t>最高加</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4分</w:t>
            </w:r>
            <w:r>
              <w:rPr>
                <w:rFonts w:hint="eastAsia" w:ascii="宋体" w:hAnsi="宋体" w:eastAsia="宋体" w:cs="宋体"/>
                <w:color w:val="auto"/>
                <w:spacing w:val="-1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6" w:hRule="atLeast"/>
          <w:jc w:val="center"/>
        </w:trPr>
        <w:tc>
          <w:tcPr>
            <w:tcW w:w="863" w:type="dxa"/>
            <w:vMerge w:val="continue"/>
            <w:tcBorders>
              <w:bottom w:val="single" w:color="000000" w:sz="2" w:space="0"/>
            </w:tcBorders>
          </w:tcPr>
          <w:p>
            <w:pPr>
              <w:rPr>
                <w:rFonts w:hint="eastAsia" w:ascii="宋体" w:hAnsi="宋体" w:eastAsia="宋体" w:cs="宋体"/>
                <w:color w:val="auto"/>
                <w:highlight w:val="none"/>
              </w:rPr>
            </w:pPr>
          </w:p>
        </w:tc>
        <w:tc>
          <w:tcPr>
            <w:tcW w:w="655" w:type="dxa"/>
            <w:vMerge w:val="continue"/>
            <w:tcBorders>
              <w:bottom w:val="single" w:color="000000" w:sz="2" w:space="0"/>
            </w:tcBorders>
          </w:tcPr>
          <w:p>
            <w:pPr>
              <w:rPr>
                <w:rFonts w:hint="eastAsia" w:ascii="宋体" w:hAnsi="宋体" w:eastAsia="宋体" w:cs="宋体"/>
                <w:color w:val="auto"/>
                <w:highlight w:val="none"/>
              </w:rPr>
            </w:pPr>
          </w:p>
        </w:tc>
        <w:tc>
          <w:tcPr>
            <w:tcW w:w="774" w:type="dxa"/>
            <w:tcBorders>
              <w:bottom w:val="single" w:color="000000" w:sz="2" w:space="0"/>
            </w:tcBorders>
            <w:vAlign w:val="center"/>
          </w:tcPr>
          <w:p>
            <w:pPr>
              <w:spacing w:before="68" w:line="238" w:lineRule="auto"/>
              <w:jc w:val="center"/>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履约</w:t>
            </w:r>
          </w:p>
          <w:p>
            <w:pPr>
              <w:spacing w:before="68" w:line="238" w:lineRule="auto"/>
              <w:jc w:val="center"/>
              <w:rPr>
                <w:rFonts w:hint="eastAsia" w:ascii="宋体" w:hAnsi="宋体" w:eastAsia="宋体" w:cs="宋体"/>
                <w:color w:val="auto"/>
                <w:spacing w:val="-2"/>
                <w:highlight w:val="none"/>
              </w:rPr>
            </w:pPr>
            <w:r>
              <w:rPr>
                <w:rFonts w:hint="eastAsia" w:ascii="宋体" w:hAnsi="宋体" w:eastAsia="宋体" w:cs="宋体"/>
                <w:color w:val="auto"/>
                <w:spacing w:val="-2"/>
                <w:highlight w:val="none"/>
              </w:rPr>
              <w:t>信誉</w:t>
            </w:r>
          </w:p>
        </w:tc>
        <w:tc>
          <w:tcPr>
            <w:tcW w:w="977" w:type="dxa"/>
            <w:gridSpan w:val="2"/>
            <w:tcBorders>
              <w:bottom w:val="single" w:color="000000" w:sz="2" w:space="0"/>
            </w:tcBorders>
            <w:vAlign w:val="center"/>
          </w:tcPr>
          <w:p>
            <w:pPr>
              <w:spacing w:before="68" w:line="221"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10分</w:t>
            </w:r>
          </w:p>
        </w:tc>
        <w:tc>
          <w:tcPr>
            <w:tcW w:w="674" w:type="dxa"/>
            <w:tcBorders>
              <w:bottom w:val="single" w:color="000000" w:sz="2" w:space="0"/>
            </w:tcBorders>
            <w:vAlign w:val="center"/>
          </w:tcPr>
          <w:p>
            <w:pPr>
              <w:spacing w:before="68" w:line="221"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信用</w:t>
            </w:r>
          </w:p>
          <w:p>
            <w:pPr>
              <w:spacing w:before="68" w:line="221" w:lineRule="auto"/>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等级</w:t>
            </w:r>
          </w:p>
        </w:tc>
        <w:tc>
          <w:tcPr>
            <w:tcW w:w="587" w:type="dxa"/>
            <w:tcBorders>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before="69" w:line="221" w:lineRule="auto"/>
              <w:jc w:val="center"/>
              <w:textAlignment w:val="baseline"/>
              <w:rPr>
                <w:rFonts w:hint="eastAsia" w:ascii="宋体" w:hAnsi="宋体" w:eastAsia="宋体" w:cs="宋体"/>
                <w:color w:val="auto"/>
                <w:highlight w:val="none"/>
              </w:rPr>
            </w:pPr>
            <w:r>
              <w:rPr>
                <w:rFonts w:hint="eastAsia" w:ascii="宋体" w:hAnsi="宋体" w:eastAsia="宋体" w:cs="宋体"/>
                <w:color w:val="auto"/>
                <w:spacing w:val="-1"/>
                <w:highlight w:val="none"/>
                <w:lang w:val="en-US" w:eastAsia="zh-CN"/>
              </w:rPr>
              <w:t>10</w:t>
            </w:r>
            <w:r>
              <w:rPr>
                <w:rFonts w:hint="eastAsia" w:ascii="宋体" w:hAnsi="宋体" w:eastAsia="宋体" w:cs="宋体"/>
                <w:color w:val="auto"/>
                <w:spacing w:val="-1"/>
                <w:highlight w:val="none"/>
              </w:rPr>
              <w:t>分</w:t>
            </w:r>
          </w:p>
        </w:tc>
        <w:tc>
          <w:tcPr>
            <w:tcW w:w="5214" w:type="dxa"/>
            <w:gridSpan w:val="3"/>
            <w:tcBorders>
              <w:bottom w:val="single" w:color="000000" w:sz="2" w:space="0"/>
            </w:tcBorders>
          </w:tcPr>
          <w:p>
            <w:pPr>
              <w:keepNext w:val="0"/>
              <w:keepLines w:val="0"/>
              <w:pageBreakBefore w:val="0"/>
              <w:widowControl/>
              <w:kinsoku w:val="0"/>
              <w:wordWrap/>
              <w:overflowPunct/>
              <w:topLinePunct w:val="0"/>
              <w:autoSpaceDE w:val="0"/>
              <w:autoSpaceDN w:val="0"/>
              <w:bidi w:val="0"/>
              <w:adjustRightInd w:val="0"/>
              <w:snapToGrid w:val="0"/>
              <w:spacing w:before="34" w:line="240" w:lineRule="auto"/>
              <w:jc w:val="both"/>
              <w:textAlignment w:val="baseline"/>
              <w:rPr>
                <w:rFonts w:hint="eastAsia" w:ascii="宋体" w:hAnsi="宋体" w:eastAsia="宋体" w:cs="宋体"/>
                <w:snapToGrid/>
                <w:color w:val="auto"/>
                <w:kern w:val="2"/>
                <w:szCs w:val="24"/>
                <w:highlight w:val="none"/>
              </w:rPr>
            </w:pPr>
            <w:r>
              <w:rPr>
                <w:rFonts w:hint="eastAsia" w:ascii="宋体" w:hAnsi="宋体" w:eastAsia="宋体" w:cs="宋体"/>
                <w:snapToGrid/>
                <w:color w:val="auto"/>
                <w:kern w:val="2"/>
                <w:szCs w:val="24"/>
                <w:highlight w:val="none"/>
              </w:rPr>
              <w:t>（a）满足资格审查条件（信誉最低要求）得</w:t>
            </w:r>
            <w:r>
              <w:rPr>
                <w:rFonts w:hint="eastAsia" w:ascii="宋体" w:hAnsi="宋体" w:eastAsia="宋体" w:cs="宋体"/>
                <w:snapToGrid/>
                <w:color w:val="auto"/>
                <w:kern w:val="2"/>
                <w:szCs w:val="24"/>
                <w:highlight w:val="none"/>
                <w:lang w:val="en-US" w:eastAsia="zh-CN"/>
              </w:rPr>
              <w:t>6</w:t>
            </w:r>
            <w:r>
              <w:rPr>
                <w:rFonts w:hint="eastAsia" w:ascii="宋体" w:hAnsi="宋体" w:eastAsia="宋体" w:cs="宋体"/>
                <w:snapToGrid/>
                <w:color w:val="auto"/>
                <w:kern w:val="2"/>
                <w:szCs w:val="24"/>
                <w:highlight w:val="none"/>
              </w:rPr>
              <w:t>分；</w:t>
            </w:r>
          </w:p>
          <w:p>
            <w:pPr>
              <w:keepNext w:val="0"/>
              <w:keepLines w:val="0"/>
              <w:pageBreakBefore w:val="0"/>
              <w:widowControl/>
              <w:kinsoku w:val="0"/>
              <w:wordWrap/>
              <w:overflowPunct/>
              <w:topLinePunct w:val="0"/>
              <w:autoSpaceDE w:val="0"/>
              <w:autoSpaceDN w:val="0"/>
              <w:bidi w:val="0"/>
              <w:adjustRightInd w:val="0"/>
              <w:snapToGrid w:val="0"/>
              <w:spacing w:before="34" w:line="240" w:lineRule="auto"/>
              <w:jc w:val="both"/>
              <w:textAlignment w:val="baseline"/>
              <w:rPr>
                <w:rFonts w:hint="eastAsia" w:ascii="宋体" w:hAnsi="宋体" w:eastAsia="宋体" w:cs="宋体"/>
                <w:snapToGrid/>
                <w:color w:val="auto"/>
                <w:kern w:val="2"/>
                <w:szCs w:val="24"/>
                <w:highlight w:val="none"/>
              </w:rPr>
            </w:pPr>
            <w:r>
              <w:rPr>
                <w:rFonts w:hint="eastAsia" w:ascii="宋体" w:hAnsi="宋体" w:eastAsia="宋体" w:cs="宋体"/>
                <w:snapToGrid/>
                <w:color w:val="auto"/>
                <w:kern w:val="2"/>
                <w:szCs w:val="24"/>
                <w:highlight w:val="none"/>
              </w:rPr>
              <w:t>（b）按照交通运输部</w:t>
            </w:r>
            <w:r>
              <w:rPr>
                <w:rFonts w:hint="eastAsia" w:ascii="宋体" w:hAnsi="宋体" w:eastAsia="宋体" w:cs="宋体"/>
                <w:snapToGrid/>
                <w:color w:val="auto"/>
                <w:kern w:val="2"/>
                <w:szCs w:val="24"/>
                <w:highlight w:val="none"/>
                <w:lang w:val="en-US" w:eastAsia="zh-CN"/>
              </w:rPr>
              <w:t>或</w:t>
            </w:r>
            <w:r>
              <w:rPr>
                <w:rFonts w:hint="eastAsia" w:ascii="宋体" w:hAnsi="宋体" w:eastAsia="宋体" w:cs="宋体"/>
                <w:snapToGrid/>
                <w:color w:val="auto"/>
                <w:kern w:val="2"/>
                <w:szCs w:val="24"/>
                <w:highlight w:val="none"/>
              </w:rPr>
              <w:t>山西省交通运输厅公布的公路建设市场</w:t>
            </w:r>
            <w:r>
              <w:rPr>
                <w:rFonts w:hint="eastAsia" w:ascii="宋体" w:hAnsi="宋体" w:eastAsia="宋体" w:cs="宋体"/>
                <w:snapToGrid/>
                <w:color w:val="auto"/>
                <w:kern w:val="2"/>
                <w:szCs w:val="24"/>
                <w:highlight w:val="none"/>
                <w:lang w:val="en-US"/>
              </w:rPr>
              <w:t>设计</w:t>
            </w:r>
            <w:r>
              <w:rPr>
                <w:rFonts w:hint="eastAsia" w:ascii="宋体" w:hAnsi="宋体" w:eastAsia="宋体" w:cs="宋体"/>
                <w:snapToGrid/>
                <w:color w:val="auto"/>
                <w:kern w:val="2"/>
                <w:szCs w:val="24"/>
                <w:highlight w:val="none"/>
              </w:rPr>
              <w:t>信用评价结果公告，对投标人近三年（</w:t>
            </w:r>
            <w:r>
              <w:rPr>
                <w:rFonts w:hint="eastAsia" w:ascii="宋体" w:hAnsi="宋体" w:eastAsia="宋体" w:cs="宋体"/>
                <w:snapToGrid/>
                <w:color w:val="auto"/>
                <w:kern w:val="2"/>
                <w:szCs w:val="24"/>
                <w:highlight w:val="none"/>
                <w:lang w:val="en-US" w:eastAsia="zh-CN"/>
              </w:rPr>
              <w:t>按照网站公布的最新连续三年的</w:t>
            </w:r>
            <w:r>
              <w:rPr>
                <w:rFonts w:hint="eastAsia" w:ascii="宋体" w:hAnsi="宋体" w:eastAsia="宋体" w:cs="宋体"/>
                <w:snapToGrid/>
                <w:color w:val="auto"/>
                <w:kern w:val="2"/>
                <w:szCs w:val="24"/>
                <w:highlight w:val="none"/>
                <w:lang w:val="en-US"/>
              </w:rPr>
              <w:t>设计</w:t>
            </w:r>
            <w:r>
              <w:rPr>
                <w:rFonts w:hint="eastAsia" w:ascii="宋体" w:hAnsi="宋体" w:eastAsia="宋体" w:cs="宋体"/>
                <w:snapToGrid/>
                <w:color w:val="auto"/>
                <w:kern w:val="2"/>
                <w:szCs w:val="24"/>
                <w:highlight w:val="none"/>
                <w:lang w:val="en-US" w:eastAsia="zh-CN"/>
              </w:rPr>
              <w:t>信用评价计算</w:t>
            </w:r>
            <w:r>
              <w:rPr>
                <w:rFonts w:hint="eastAsia" w:ascii="宋体" w:hAnsi="宋体" w:eastAsia="宋体" w:cs="宋体"/>
                <w:snapToGrid/>
                <w:color w:val="auto"/>
                <w:kern w:val="2"/>
                <w:szCs w:val="24"/>
                <w:highlight w:val="none"/>
              </w:rPr>
              <w:t>）的信用等级评价进行评分，标准如下：</w:t>
            </w:r>
          </w:p>
          <w:p>
            <w:pPr>
              <w:keepNext w:val="0"/>
              <w:keepLines w:val="0"/>
              <w:pageBreakBefore w:val="0"/>
              <w:widowControl/>
              <w:kinsoku w:val="0"/>
              <w:wordWrap/>
              <w:overflowPunct/>
              <w:topLinePunct w:val="0"/>
              <w:autoSpaceDE w:val="0"/>
              <w:autoSpaceDN w:val="0"/>
              <w:bidi w:val="0"/>
              <w:adjustRightInd w:val="0"/>
              <w:snapToGrid w:val="0"/>
              <w:spacing w:before="34" w:line="240" w:lineRule="auto"/>
              <w:jc w:val="both"/>
              <w:textAlignment w:val="baseline"/>
              <w:rPr>
                <w:rFonts w:hint="eastAsia" w:ascii="宋体" w:hAnsi="宋体" w:eastAsia="宋体" w:cs="宋体"/>
                <w:snapToGrid/>
                <w:color w:val="auto"/>
                <w:kern w:val="2"/>
                <w:szCs w:val="24"/>
                <w:highlight w:val="none"/>
              </w:rPr>
            </w:pPr>
            <w:r>
              <w:rPr>
                <w:rFonts w:hint="eastAsia" w:ascii="宋体" w:hAnsi="宋体" w:eastAsia="宋体" w:cs="宋体"/>
                <w:snapToGrid/>
                <w:color w:val="auto"/>
                <w:kern w:val="2"/>
                <w:szCs w:val="24"/>
                <w:highlight w:val="none"/>
              </w:rPr>
              <w:t>（1）连续三年被交通运输部</w:t>
            </w:r>
            <w:r>
              <w:rPr>
                <w:rFonts w:hint="eastAsia" w:ascii="宋体" w:hAnsi="宋体" w:eastAsia="宋体" w:cs="宋体"/>
                <w:snapToGrid/>
                <w:color w:val="auto"/>
                <w:kern w:val="2"/>
                <w:szCs w:val="24"/>
                <w:highlight w:val="none"/>
                <w:lang w:val="en-US" w:eastAsia="zh-CN"/>
              </w:rPr>
              <w:t>或</w:t>
            </w:r>
            <w:r>
              <w:rPr>
                <w:rFonts w:hint="eastAsia" w:ascii="宋体" w:hAnsi="宋体" w:eastAsia="宋体" w:cs="宋体"/>
                <w:snapToGrid/>
                <w:color w:val="auto"/>
                <w:kern w:val="2"/>
                <w:szCs w:val="24"/>
                <w:highlight w:val="none"/>
              </w:rPr>
              <w:t>山西省交通运输厅评为AA级，加4分；</w:t>
            </w:r>
          </w:p>
          <w:p>
            <w:pPr>
              <w:keepNext w:val="0"/>
              <w:keepLines w:val="0"/>
              <w:pageBreakBefore w:val="0"/>
              <w:widowControl/>
              <w:kinsoku w:val="0"/>
              <w:wordWrap/>
              <w:overflowPunct/>
              <w:topLinePunct w:val="0"/>
              <w:autoSpaceDE w:val="0"/>
              <w:autoSpaceDN w:val="0"/>
              <w:bidi w:val="0"/>
              <w:adjustRightInd w:val="0"/>
              <w:snapToGrid w:val="0"/>
              <w:spacing w:before="34" w:line="240" w:lineRule="auto"/>
              <w:jc w:val="both"/>
              <w:textAlignment w:val="baseline"/>
              <w:rPr>
                <w:rFonts w:hint="eastAsia" w:ascii="宋体" w:hAnsi="宋体" w:eastAsia="宋体" w:cs="宋体"/>
                <w:snapToGrid/>
                <w:color w:val="auto"/>
                <w:kern w:val="2"/>
                <w:szCs w:val="24"/>
                <w:highlight w:val="none"/>
              </w:rPr>
            </w:pPr>
            <w:r>
              <w:rPr>
                <w:rFonts w:hint="eastAsia" w:ascii="宋体" w:hAnsi="宋体" w:eastAsia="宋体" w:cs="宋体"/>
                <w:snapToGrid/>
                <w:color w:val="auto"/>
                <w:kern w:val="2"/>
                <w:szCs w:val="24"/>
                <w:highlight w:val="none"/>
              </w:rPr>
              <w:t>（2）连续两年被交通运输部</w:t>
            </w:r>
            <w:r>
              <w:rPr>
                <w:rFonts w:hint="eastAsia" w:ascii="宋体" w:hAnsi="宋体" w:eastAsia="宋体" w:cs="宋体"/>
                <w:snapToGrid/>
                <w:color w:val="auto"/>
                <w:kern w:val="2"/>
                <w:szCs w:val="24"/>
                <w:highlight w:val="none"/>
                <w:lang w:val="en-US" w:eastAsia="zh-CN"/>
              </w:rPr>
              <w:t>或</w:t>
            </w:r>
            <w:r>
              <w:rPr>
                <w:rFonts w:hint="eastAsia" w:ascii="宋体" w:hAnsi="宋体" w:eastAsia="宋体" w:cs="宋体"/>
                <w:snapToGrid/>
                <w:color w:val="auto"/>
                <w:kern w:val="2"/>
                <w:szCs w:val="24"/>
                <w:highlight w:val="none"/>
              </w:rPr>
              <w:t>山西省交通运输厅评为AA级，加2分；</w:t>
            </w:r>
          </w:p>
          <w:p>
            <w:pPr>
              <w:keepNext w:val="0"/>
              <w:keepLines w:val="0"/>
              <w:pageBreakBefore w:val="0"/>
              <w:widowControl/>
              <w:kinsoku w:val="0"/>
              <w:wordWrap/>
              <w:overflowPunct/>
              <w:topLinePunct w:val="0"/>
              <w:autoSpaceDE w:val="0"/>
              <w:autoSpaceDN w:val="0"/>
              <w:bidi w:val="0"/>
              <w:adjustRightInd w:val="0"/>
              <w:snapToGrid w:val="0"/>
              <w:spacing w:before="34" w:line="240" w:lineRule="auto"/>
              <w:jc w:val="both"/>
              <w:textAlignment w:val="baseline"/>
              <w:rPr>
                <w:rFonts w:hint="eastAsia" w:ascii="宋体" w:hAnsi="宋体" w:eastAsia="宋体" w:cs="宋体"/>
                <w:snapToGrid/>
                <w:color w:val="auto"/>
                <w:kern w:val="2"/>
                <w:szCs w:val="24"/>
                <w:highlight w:val="none"/>
              </w:rPr>
            </w:pPr>
            <w:r>
              <w:rPr>
                <w:rFonts w:hint="eastAsia" w:ascii="宋体" w:hAnsi="宋体" w:eastAsia="宋体" w:cs="宋体"/>
                <w:snapToGrid/>
                <w:color w:val="auto"/>
                <w:kern w:val="2"/>
                <w:szCs w:val="24"/>
                <w:highlight w:val="none"/>
              </w:rPr>
              <w:t>（3）仅一年被交通运输部</w:t>
            </w:r>
            <w:r>
              <w:rPr>
                <w:rFonts w:hint="eastAsia" w:ascii="宋体" w:hAnsi="宋体" w:eastAsia="宋体" w:cs="宋体"/>
                <w:snapToGrid/>
                <w:color w:val="auto"/>
                <w:kern w:val="2"/>
                <w:szCs w:val="24"/>
                <w:highlight w:val="none"/>
                <w:lang w:val="en-US" w:eastAsia="zh-CN"/>
              </w:rPr>
              <w:t>或</w:t>
            </w:r>
            <w:r>
              <w:rPr>
                <w:rFonts w:hint="eastAsia" w:ascii="宋体" w:hAnsi="宋体" w:eastAsia="宋体" w:cs="宋体"/>
                <w:snapToGrid/>
                <w:color w:val="auto"/>
                <w:kern w:val="2"/>
                <w:szCs w:val="24"/>
                <w:highlight w:val="none"/>
              </w:rPr>
              <w:t>山西省交通运输厅评为AA级，加1分。</w:t>
            </w:r>
          </w:p>
          <w:p>
            <w:pPr>
              <w:keepNext w:val="0"/>
              <w:keepLines w:val="0"/>
              <w:pageBreakBefore w:val="0"/>
              <w:widowControl/>
              <w:kinsoku w:val="0"/>
              <w:wordWrap/>
              <w:overflowPunct/>
              <w:topLinePunct w:val="0"/>
              <w:autoSpaceDE w:val="0"/>
              <w:autoSpaceDN w:val="0"/>
              <w:bidi w:val="0"/>
              <w:adjustRightInd w:val="0"/>
              <w:snapToGrid w:val="0"/>
              <w:spacing w:before="34" w:line="240" w:lineRule="auto"/>
              <w:jc w:val="both"/>
              <w:textAlignment w:val="baseline"/>
              <w:rPr>
                <w:rFonts w:hint="eastAsia"/>
                <w:color w:val="auto"/>
                <w:highlight w:val="none"/>
              </w:rPr>
            </w:pPr>
            <w:r>
              <w:rPr>
                <w:rFonts w:hint="eastAsia" w:ascii="宋体" w:hAnsi="宋体" w:eastAsia="宋体" w:cs="宋体"/>
                <w:snapToGrid/>
                <w:color w:val="auto"/>
                <w:kern w:val="2"/>
                <w:szCs w:val="24"/>
                <w:highlight w:val="none"/>
                <w:lang w:val="en-US" w:eastAsia="zh-CN"/>
              </w:rPr>
              <w:t xml:space="preserve">注：信用评价按同一交通运输主管部门的评价结果评分。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1" w:hRule="atLeast"/>
          <w:jc w:val="center"/>
        </w:trPr>
        <w:tc>
          <w:tcPr>
            <w:tcW w:w="9744" w:type="dxa"/>
            <w:gridSpan w:val="10"/>
          </w:tcPr>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需要补充的其他内容：</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本项目采用双信封综合评分法进行评标，评标办法正文第3条部分条款内容细化如下：</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第3.1.1项内容细化为：</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3.1.1评标委员会依据本章第2.1款规定的标准对投标文件第一个信封（商务及技术文件） 进行初步评审。有一项不符合评审标准的，评标委员会应否决其投标。</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通过第一个信封初步评审的投标人不足3个时，不再进行后续评审，招标人将重新组织招标。</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第3.2款内容细化如下：</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w:t>
            </w:r>
            <w:r>
              <w:rPr>
                <w:rFonts w:hint="eastAsia" w:ascii="宋体" w:hAnsi="宋体" w:eastAsia="宋体" w:cs="宋体"/>
                <w:color w:val="auto"/>
                <w:spacing w:val="1"/>
                <w:highlight w:val="none"/>
                <w:lang w:val="en-US" w:eastAsia="zh-CN"/>
              </w:rPr>
              <w:t>2</w:t>
            </w:r>
            <w:r>
              <w:rPr>
                <w:rFonts w:hint="eastAsia" w:ascii="宋体" w:hAnsi="宋体" w:eastAsia="宋体" w:cs="宋体"/>
                <w:color w:val="auto"/>
                <w:spacing w:val="1"/>
                <w:highlight w:val="none"/>
              </w:rPr>
              <w:t>第一个信封详细评审</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3.2.1评标委员会按本章第2.2款规定的量化因素和分值进行打分，并计算出各投标人的商务技术得分。</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（1）按本章第2.2.4项（1）目规定的评审因素和分值对技术建议书部分计算出得分A；</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（2）按本章第2.2.4项（2）目规定的评审因素和分值对主要人员部分计算出得分B；</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（3）按本章第2.2.4项（4）目规定的评审因素和分值对其他部分计算出得分D。</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3.2.2投标人的商务和技术得分分值计算保留小数点后两位，小数点后第三位“四舍五入”。</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3.2.3投标人的商务和技术得分=A+B+D。</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评标委员会对通过初步评审商务文件和技术建议书进行评分。各评分因素（评标价和履约信誉评分项除外）得分一般不得低于其权重分值的60%，评标委员会成员对某一项评分因素的评分低于权重分值60%的，应在评标报告中作出说明。</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3.6投标文件相关信息的核查</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补充3.6.3投标人存在晋交建管发</w:t>
            </w:r>
            <w:r>
              <w:rPr>
                <w:rFonts w:hint="eastAsia" w:ascii="仿宋" w:hAnsi="仿宋" w:eastAsia="仿宋" w:cs="仿宋"/>
                <w:color w:val="auto"/>
                <w:spacing w:val="1"/>
                <w:highlight w:val="none"/>
              </w:rPr>
              <w:t>〔</w:t>
            </w:r>
            <w:r>
              <w:rPr>
                <w:rFonts w:hint="eastAsia" w:ascii="宋体" w:hAnsi="宋体" w:eastAsia="宋体" w:cs="宋体"/>
                <w:color w:val="auto"/>
                <w:spacing w:val="1"/>
                <w:highlight w:val="none"/>
              </w:rPr>
              <w:t>2021</w:t>
            </w:r>
            <w:r>
              <w:rPr>
                <w:rFonts w:hint="eastAsia" w:ascii="仿宋" w:hAnsi="仿宋" w:eastAsia="仿宋" w:cs="仿宋"/>
                <w:color w:val="auto"/>
                <w:spacing w:val="1"/>
                <w:highlight w:val="none"/>
              </w:rPr>
              <w:t>〕</w:t>
            </w:r>
            <w:r>
              <w:rPr>
                <w:rFonts w:hint="eastAsia" w:ascii="宋体" w:hAnsi="宋体" w:eastAsia="宋体" w:cs="宋体"/>
                <w:color w:val="auto"/>
                <w:spacing w:val="1"/>
                <w:highlight w:val="none"/>
              </w:rPr>
              <w:t>2号文规定的，否决其投标：</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（1）不同投标人间不得有下列情形：</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a.不同投标人的投标文件由同一电子设备编制、打印加密或者上传；</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b.不同投标人的投标文件的实质性内容存在两处以上细节错误一致；</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c.电子投标文件记录的MAC地址、硬盘序列号等硬件信息出现任一相同情况，包含不同投标人在不同批次投标活动中信息相同情况；</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d.投标文件的制作、记录上传IP地址，投标人购买招标文件IP地址等信息出现任一相同情况。</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2）发现（1）所列情形的，评标委员会应当否决相应投标文件并详细记录至评标报告。因此导致有效投标不足3个使得投标明显缺乏竞争的，可以否决全部投标；未否决全部投标的，评标委员会应当在评标报告中阐明理由并推荐中标候选人。</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第3.9款内容细化如下：</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3.9评标结果</w:t>
            </w:r>
          </w:p>
          <w:p>
            <w:pPr>
              <w:spacing w:before="73" w:line="240" w:lineRule="auto"/>
              <w:ind w:left="78" w:right="71" w:firstLine="4"/>
              <w:rPr>
                <w:rFonts w:hint="eastAsia" w:ascii="宋体" w:hAnsi="宋体" w:eastAsia="宋体" w:cs="宋体"/>
                <w:color w:val="auto"/>
                <w:spacing w:val="1"/>
                <w:highlight w:val="none"/>
              </w:rPr>
            </w:pPr>
            <w:r>
              <w:rPr>
                <w:rFonts w:hint="eastAsia" w:ascii="宋体" w:hAnsi="宋体" w:eastAsia="宋体" w:cs="宋体"/>
                <w:color w:val="auto"/>
                <w:spacing w:val="1"/>
                <w:highlight w:val="none"/>
              </w:rPr>
              <w:t>3.9.1评标委员会根据投标人得分由高到低的顺序，推荐1名中标候选人。</w:t>
            </w:r>
          </w:p>
          <w:p>
            <w:pPr>
              <w:spacing w:before="73" w:line="240" w:lineRule="auto"/>
              <w:ind w:left="78" w:right="71" w:firstLine="4"/>
              <w:rPr>
                <w:rFonts w:hint="eastAsia" w:ascii="宋体" w:hAnsi="宋体" w:eastAsia="宋体" w:cs="宋体"/>
                <w:color w:val="auto"/>
                <w:highlight w:val="none"/>
              </w:rPr>
            </w:pPr>
            <w:r>
              <w:rPr>
                <w:rFonts w:hint="eastAsia" w:ascii="宋体" w:hAnsi="宋体" w:eastAsia="宋体" w:cs="宋体"/>
                <w:color w:val="auto"/>
                <w:spacing w:val="1"/>
                <w:highlight w:val="none"/>
              </w:rPr>
              <w:t>3.9.2评标委员会完成评标后，应当向招标人提交书面评标报告并推荐中标候选人。</w:t>
            </w:r>
          </w:p>
        </w:tc>
      </w:tr>
    </w:tbl>
    <w:p>
      <w:pPr>
        <w:spacing w:line="56" w:lineRule="exact"/>
        <w:rPr>
          <w:rFonts w:ascii="宋体" w:hAnsi="宋体" w:eastAsia="宋体" w:cs="宋体"/>
          <w:color w:val="auto"/>
          <w:position w:val="5"/>
          <w:sz w:val="9"/>
          <w:szCs w:val="9"/>
          <w:highlight w:val="none"/>
        </w:rPr>
      </w:pPr>
      <w:bookmarkStart w:id="15" w:name="_GoBack"/>
      <w:bookmarkEnd w:id="15"/>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position w:val="5"/>
          <w:sz w:val="9"/>
          <w:szCs w:val="9"/>
          <w:highlight w:val="none"/>
        </w:rPr>
      </w:pPr>
    </w:p>
    <w:p>
      <w:pPr>
        <w:spacing w:line="56" w:lineRule="exact"/>
        <w:rPr>
          <w:rFonts w:ascii="宋体" w:hAnsi="宋体" w:eastAsia="宋体" w:cs="宋体"/>
          <w:color w:val="auto"/>
          <w:highlight w:val="none"/>
        </w:rPr>
      </w:pPr>
    </w:p>
    <w:p>
      <w:pPr>
        <w:rPr>
          <w:rFonts w:ascii="宋体" w:hAnsi="宋体" w:eastAsia="宋体" w:cs="宋体"/>
          <w:b/>
          <w:bCs/>
          <w:color w:val="auto"/>
          <w:spacing w:val="-2"/>
          <w:sz w:val="24"/>
          <w:szCs w:val="24"/>
          <w:highlight w:val="none"/>
        </w:rPr>
      </w:pPr>
      <w:bookmarkStart w:id="1" w:name="_Toc29801"/>
      <w:r>
        <w:rPr>
          <w:rFonts w:hint="eastAsia" w:ascii="宋体" w:hAnsi="宋体" w:eastAsia="宋体" w:cs="宋体"/>
          <w:b/>
          <w:bCs/>
          <w:color w:val="auto"/>
          <w:spacing w:val="-2"/>
          <w:sz w:val="24"/>
          <w:szCs w:val="24"/>
          <w:highlight w:val="none"/>
        </w:rPr>
        <w:br w:type="page"/>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r>
        <w:rPr>
          <w:rFonts w:hint="eastAsia" w:ascii="宋体" w:hAnsi="宋体" w:eastAsia="宋体" w:cs="宋体"/>
          <w:b/>
          <w:bCs/>
          <w:snapToGrid/>
          <w:color w:val="auto"/>
          <w:kern w:val="2"/>
          <w:sz w:val="21"/>
          <w:szCs w:val="21"/>
          <w:highlight w:val="none"/>
        </w:rPr>
        <w:t>1.评标方法</w:t>
      </w:r>
      <w:bookmarkEnd w:id="1"/>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本次评标采用综合评分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 的优先次序推荐中标候选人或确定中标人。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2" w:name="_Toc23561"/>
      <w:r>
        <w:rPr>
          <w:rFonts w:hint="eastAsia" w:ascii="宋体" w:hAnsi="宋体" w:eastAsia="宋体" w:cs="宋体"/>
          <w:b/>
          <w:bCs/>
          <w:snapToGrid/>
          <w:color w:val="auto"/>
          <w:kern w:val="2"/>
          <w:sz w:val="21"/>
          <w:szCs w:val="21"/>
          <w:highlight w:val="none"/>
        </w:rPr>
        <w:t>2.评审标准</w:t>
      </w:r>
      <w:bookmarkEnd w:id="2"/>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3" w:name="_Toc4287"/>
      <w:r>
        <w:rPr>
          <w:rFonts w:hint="eastAsia" w:ascii="宋体" w:hAnsi="宋体" w:eastAsia="宋体" w:cs="宋体"/>
          <w:b/>
          <w:bCs/>
          <w:snapToGrid/>
          <w:color w:val="auto"/>
          <w:kern w:val="2"/>
          <w:sz w:val="21"/>
          <w:szCs w:val="21"/>
          <w:highlight w:val="none"/>
        </w:rPr>
        <w:t>2.1初步评审标准</w:t>
      </w:r>
      <w:bookmarkEnd w:id="3"/>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2.1.1形式评审标准：见评标办法前附表。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2.1.2资格评审标准：见评标办法前附表。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2.1.3响应性评审标准：见评标办法前附表。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4" w:name="_Toc21389"/>
      <w:r>
        <w:rPr>
          <w:rFonts w:hint="eastAsia" w:ascii="宋体" w:hAnsi="宋体" w:eastAsia="宋体" w:cs="宋体"/>
          <w:b/>
          <w:bCs/>
          <w:snapToGrid/>
          <w:color w:val="auto"/>
          <w:kern w:val="2"/>
          <w:sz w:val="21"/>
          <w:szCs w:val="21"/>
          <w:highlight w:val="none"/>
        </w:rPr>
        <w:t>2.2分值构成与评分标准</w:t>
      </w:r>
      <w:bookmarkEnd w:id="4"/>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2.2.1分值构成</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(1)技术建议书：见评标办法前附表；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(2)主要人员：见评标办法前附表；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(3)评标价：见评标办法則附表；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(4)其他评分因素：见评标办法前附表。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2.2.2评标基准价计算</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评标基准价计算方法：见评标办法前附表。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2.2.3评标价的偏差率计算</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评标价的偏差率计算公式：见评标办法前附表。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2.2.4评分标准</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(1)技术建议书评分标准：见评标办法前附表；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(2)主要人员评分标准：见评标办法前附表；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(3)评标价评分标准：见评标办法前附表；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(4)其他因素评分标准：见评标办法前附表。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5" w:name="_Toc15682"/>
      <w:r>
        <w:rPr>
          <w:rFonts w:hint="eastAsia" w:ascii="宋体" w:hAnsi="宋体" w:eastAsia="宋体" w:cs="宋体"/>
          <w:b/>
          <w:bCs/>
          <w:snapToGrid/>
          <w:color w:val="auto"/>
          <w:kern w:val="2"/>
          <w:sz w:val="21"/>
          <w:szCs w:val="21"/>
          <w:highlight w:val="none"/>
        </w:rPr>
        <w:t>3.评标程序</w:t>
      </w:r>
      <w:bookmarkEnd w:id="5"/>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6" w:name="_Toc11000"/>
      <w:r>
        <w:rPr>
          <w:rFonts w:hint="eastAsia" w:ascii="宋体" w:hAnsi="宋体" w:eastAsia="宋体" w:cs="宋体"/>
          <w:b/>
          <w:bCs/>
          <w:snapToGrid/>
          <w:color w:val="auto"/>
          <w:kern w:val="2"/>
          <w:sz w:val="21"/>
          <w:szCs w:val="21"/>
          <w:highlight w:val="none"/>
        </w:rPr>
        <w:t>3.1第一个信封初步评审</w:t>
      </w:r>
      <w:bookmarkEnd w:id="6"/>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3.1.1评标委员会可以要求投标人提交第二章“投标人须知”第3.5.1项至第3.5.5项规定的有关证明和证件的原件，以便核验。评标委员会依据本章第2.1款规定的标准对投标文件第一个信封（商务及技术文件） 进行初步评审。有一项不符合评审标准的，评标委员会应否决其投标。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7" w:name="_Toc24007"/>
      <w:r>
        <w:rPr>
          <w:rFonts w:hint="eastAsia" w:ascii="宋体" w:hAnsi="宋体" w:eastAsia="宋体" w:cs="宋体"/>
          <w:b/>
          <w:bCs/>
          <w:snapToGrid/>
          <w:color w:val="auto"/>
          <w:kern w:val="2"/>
          <w:sz w:val="21"/>
          <w:szCs w:val="21"/>
          <w:highlight w:val="none"/>
        </w:rPr>
        <w:t>3.2第一个信封详细评审</w:t>
      </w:r>
      <w:bookmarkEnd w:id="7"/>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3.2.1评标委员会按本章第2.2款规定的量化因素和分值进行打分，并计算出各投标人的商务和技术得分。</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(1)按本章第2.2.4项（1）目规定的评审因素和分值对技术建议书部分计算出得分A；</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(2)按本章第2.2.4项（2）目规定的评审因素和分值对主要人员部分计算出得分B；</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(3)按本章第2.2.4项（4）目规定的评审因素和分值对其他部分计算出得D。</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3.2.2投标人的商务和技术得分分值计算保留小数点后两位，小数点后第三位“四舍五入”。</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3.2.3投标人的商务和技术得分=A+B+D。</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8" w:name="_Toc7218"/>
      <w:r>
        <w:rPr>
          <w:rFonts w:hint="eastAsia" w:ascii="宋体" w:hAnsi="宋体" w:eastAsia="宋体" w:cs="宋体"/>
          <w:b/>
          <w:bCs/>
          <w:snapToGrid/>
          <w:color w:val="auto"/>
          <w:kern w:val="2"/>
          <w:sz w:val="21"/>
          <w:szCs w:val="21"/>
          <w:highlight w:val="none"/>
        </w:rPr>
        <w:t>3.3第二个信封开标</w:t>
      </w:r>
      <w:bookmarkEnd w:id="8"/>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第一个信封（商务及技术文件）评审结束后，招标人将按照第二章“投标人须知”第5.1款规定的时间和地点对通过投标文件第一个信封（商务及技术文件）评审的投标文件第二个信封（报价文件）进行开标。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9" w:name="_Toc15453"/>
      <w:r>
        <w:rPr>
          <w:rFonts w:hint="eastAsia" w:ascii="宋体" w:hAnsi="宋体" w:eastAsia="宋体" w:cs="宋体"/>
          <w:b/>
          <w:bCs/>
          <w:snapToGrid/>
          <w:color w:val="auto"/>
          <w:kern w:val="2"/>
          <w:sz w:val="21"/>
          <w:szCs w:val="21"/>
          <w:highlight w:val="none"/>
        </w:rPr>
        <w:t>3.4第二个信封初步评审</w:t>
      </w:r>
      <w:bookmarkEnd w:id="9"/>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3.4.1评标委员会依据本章第2.1.1项、第2.1.3项规定的评审标准对投标文件第二个信封（报价文件）进行初步评审。有一项不符合评审标准的，评标委员会应否决其投标。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3.4.2投标报价有算术错误的，评标委员会按以下原则对投标报价进行修正，修正的价格经投标人书面确认后具有约束力。投标人不接受修正价格的，评标委员会应否决其投标。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(1)投标文件中的大写金额与小写金额不一致的，以大写金额为准；</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(2)总价金额与依据单价计算出的结果不一致的，以单价金额为准修正总价，但单价金额小数点有明显错误的除外；</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(3)当单价与数量相乘不等于合价时，以单价计算为准，如果单价有明显的小数点位置差错，应以标出的合价为准，同时对单价予以修正；</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(4)当各子目的合价累计不等于总价时，应以各子目合价累计数为准，修正总价。</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3.4.3修正后的最终投标报价若超过最高投标限价（如有），评标委员会应否决其投标。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3.4.4修正后的最终投标报价仅作为签订合同的一个依据，不参与评标价得分的计算。</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10" w:name="_Toc27084"/>
      <w:r>
        <w:rPr>
          <w:rFonts w:hint="eastAsia" w:ascii="宋体" w:hAnsi="宋体" w:eastAsia="宋体" w:cs="宋体"/>
          <w:b/>
          <w:bCs/>
          <w:snapToGrid/>
          <w:color w:val="auto"/>
          <w:kern w:val="2"/>
          <w:sz w:val="21"/>
          <w:szCs w:val="21"/>
          <w:highlight w:val="none"/>
        </w:rPr>
        <w:t>3.5第二个信封详细评审</w:t>
      </w:r>
      <w:bookmarkEnd w:id="10"/>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3.5.1评标委员会按本章第2.2.4项（3）目规定的评审因素和分值对评标价计算出得分C。评标价得分分值计算保留小数点后两位，小数点后第三位“四舍五入”。</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3.5.2投标人综合得分=投标人的商务和技术得分+C。</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3.5.3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11" w:name="_Toc5914"/>
      <w:r>
        <w:rPr>
          <w:rFonts w:hint="eastAsia" w:ascii="宋体" w:hAnsi="宋体" w:eastAsia="宋体" w:cs="宋体"/>
          <w:b/>
          <w:bCs/>
          <w:snapToGrid/>
          <w:color w:val="auto"/>
          <w:kern w:val="2"/>
          <w:sz w:val="21"/>
          <w:szCs w:val="21"/>
          <w:highlight w:val="none"/>
        </w:rPr>
        <w:t>3.6投标文件相关信息的核查</w:t>
      </w:r>
      <w:bookmarkEnd w:id="11"/>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3.6.1在评标过程中，评标委员会应查询交通运输主管部门“公路建设市场信用信息管理系统”，对投标人的资质、业绩、主要人员资历和目前在岗情况、信用等级等信息进行核实。若投标文件载明的信息与交通运输主管部门“公路建设市场信用信息管理系统”发布的信息不符，使得投标人的资格条件不符合招标文件规定的，评标委员会应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3.6.2评标委员会应对在评标过程中发现的投标人与投标人之间、投标人与招标人之间存在的串通投标的情形进行评审和认定。投标人存在串通投标、弄虚作假、行贿等违法行为的，评标委员会 应否决其投标。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(1)有下列情形之一的，属于投标人相互串通投标：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a.投标人之间协商投标报价等投标文件的实质性内容；</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b.投标人之间约定中标人；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c.投标人之间约定部分投标人放弃投标或中标；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d.属于同一集团、协会、商会等组织成员的投标人按照该组织要求协同投标；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e.投标人之间为谋取中标或排斥特定投标人而采取的其他联合行动。</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(2)有下列情形之一的，视为投标人相互串通投标：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a.不同投标人的投标文件由同一单位或个人编制；</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b.不同投标人委托同一单位或个人办理投标事宜；</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c.不同投标人的投标文件载明的项目管理成员为同一人；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d.不同投标人的投标文件异常一致或投标报价呈规律性差异；</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e.不同投标人的投标文件相互混装；</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f.不同投标人的投标保证金从同一单位或个人的账户转出。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(3)有下列情形之一的，属于招标人与投标人串通投标：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a.招标人在开标前开启投标文件并将有关信息泄露给其他投标人；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b.招标人直接或间接向投标人泄露标底、评标委员会成员等信息；</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c.招标人明示或暗示投标人压低或抬高投标报价；</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d.招标人授意投标人撤换、修改投标文件；</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e.招标人明示或暗示投标人为特定投标人中标提供方便；</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f.招标人与投标人为谋求特定投标人中标而采取的其他串通行为。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(4)投标人有下列情形之一的，属于弄虚作假的行为：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a.使用通过受让或租借等方式获取的资格、资质证书投标；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b.使用伪造、变造的许可证件；</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c.提供虚假的业绩；</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d.提供虚假的项目负责人或主要技术人员简历、劳动关系证明；</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e.提供虚假的信用状况；</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f.其他弄虚作假的行为。</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12" w:name="_Toc4106"/>
      <w:r>
        <w:rPr>
          <w:rFonts w:hint="eastAsia" w:ascii="宋体" w:hAnsi="宋体" w:eastAsia="宋体" w:cs="宋体"/>
          <w:b/>
          <w:bCs/>
          <w:snapToGrid/>
          <w:color w:val="auto"/>
          <w:kern w:val="2"/>
          <w:sz w:val="21"/>
          <w:szCs w:val="21"/>
          <w:highlight w:val="none"/>
        </w:rPr>
        <w:t>3.7投标文件的澄清和说明</w:t>
      </w:r>
      <w:bookmarkEnd w:id="12"/>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3.7.2澄清和说明不得超出投标文件的范围或改变投标文件的实质性内容（算术性错误的修正除外）。投标人的书面澄清、说明属于投标文件的组成部分。</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3.7.3评标委员会不得暗示或诱导投标人作出澄清、说明，对投标人提交的澄清、说明有疑问的，可以要求投标人进一步澄清或说明，直至满足评标委员会的要求。</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3.7.4凡超出招标文件规定的或给发包人带来未曾要求的利益的变化、偏差或其他因素在评标时不予考虑。</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13" w:name="_Toc32157"/>
      <w:r>
        <w:rPr>
          <w:rFonts w:hint="eastAsia" w:ascii="宋体" w:hAnsi="宋体" w:eastAsia="宋体" w:cs="宋体"/>
          <w:b/>
          <w:bCs/>
          <w:snapToGrid/>
          <w:color w:val="auto"/>
          <w:kern w:val="2"/>
          <w:sz w:val="21"/>
          <w:szCs w:val="21"/>
          <w:highlight w:val="none"/>
        </w:rPr>
        <w:t>3.8不得否决投标的情形</w:t>
      </w:r>
      <w:bookmarkEnd w:id="13"/>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投标文件存在第二章“投标人须知”第1.12.3项所列情形的，均视为细微偏差，评标委员会不得否决投标人的投标，应按照第二章“投标人须知”第1.12.4项规定的原则处理。</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2" w:firstLineChars="200"/>
        <w:jc w:val="both"/>
        <w:textAlignment w:val="auto"/>
        <w:rPr>
          <w:rFonts w:hint="eastAsia" w:ascii="宋体" w:hAnsi="宋体" w:eastAsia="宋体" w:cs="宋体"/>
          <w:b/>
          <w:bCs/>
          <w:snapToGrid/>
          <w:color w:val="auto"/>
          <w:kern w:val="2"/>
          <w:sz w:val="21"/>
          <w:szCs w:val="21"/>
          <w:highlight w:val="none"/>
        </w:rPr>
      </w:pPr>
      <w:bookmarkStart w:id="14" w:name="_Toc23278"/>
      <w:r>
        <w:rPr>
          <w:rFonts w:hint="eastAsia" w:ascii="宋体" w:hAnsi="宋体" w:eastAsia="宋体" w:cs="宋体"/>
          <w:b/>
          <w:bCs/>
          <w:snapToGrid/>
          <w:color w:val="auto"/>
          <w:kern w:val="2"/>
          <w:sz w:val="21"/>
          <w:szCs w:val="21"/>
          <w:highlight w:val="none"/>
        </w:rPr>
        <w:t>3.9评标结果</w:t>
      </w:r>
      <w:bookmarkEnd w:id="14"/>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1"/>
          <w:szCs w:val="21"/>
          <w:highlight w:val="none"/>
        </w:rPr>
      </w:pPr>
      <w:r>
        <w:rPr>
          <w:rFonts w:hint="eastAsia" w:ascii="宋体" w:hAnsi="宋体" w:eastAsia="宋体" w:cs="宋体"/>
          <w:b w:val="0"/>
          <w:bCs w:val="0"/>
          <w:snapToGrid/>
          <w:color w:val="auto"/>
          <w:kern w:val="2"/>
          <w:sz w:val="21"/>
          <w:szCs w:val="21"/>
          <w:highlight w:val="none"/>
        </w:rPr>
        <w:t>3.9.1除第二章“投标人须知”前附表授权直接确定中标人外，评标委员会按照得分由高到低的顺序推荐中标候选人， 并标明排序。</w:t>
      </w:r>
    </w:p>
    <w:p>
      <w:pPr>
        <w:keepNext w:val="0"/>
        <w:keepLines w:val="0"/>
        <w:pageBreakBefore w:val="0"/>
        <w:widowControl w:val="0"/>
        <w:kinsoku/>
        <w:wordWrap/>
        <w:overflowPunct w:val="0"/>
        <w:topLinePunct w:val="0"/>
        <w:autoSpaceDE/>
        <w:autoSpaceDN/>
        <w:bidi w:val="0"/>
        <w:adjustRightInd/>
        <w:snapToGrid/>
        <w:spacing w:line="440" w:lineRule="exact"/>
        <w:ind w:left="0" w:right="0" w:firstLine="420" w:firstLineChars="200"/>
        <w:jc w:val="both"/>
        <w:textAlignment w:val="auto"/>
        <w:rPr>
          <w:rFonts w:hint="eastAsia" w:ascii="宋体" w:hAnsi="宋体" w:eastAsia="宋体" w:cs="宋体"/>
          <w:b w:val="0"/>
          <w:bCs w:val="0"/>
          <w:snapToGrid/>
          <w:color w:val="auto"/>
          <w:kern w:val="2"/>
          <w:sz w:val="24"/>
          <w:szCs w:val="24"/>
          <w:highlight w:val="none"/>
        </w:rPr>
      </w:pPr>
      <w:r>
        <w:rPr>
          <w:rFonts w:hint="eastAsia" w:ascii="宋体" w:hAnsi="宋体" w:eastAsia="宋体" w:cs="宋体"/>
          <w:b w:val="0"/>
          <w:bCs w:val="0"/>
          <w:snapToGrid/>
          <w:color w:val="auto"/>
          <w:kern w:val="2"/>
          <w:sz w:val="21"/>
          <w:szCs w:val="21"/>
          <w:highlight w:val="none"/>
        </w:rPr>
        <w:t>3.9.2评标委员会完成评标后，应向招标人提交书面评标报告。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Times New Roman" w:hAnsi="Times New Roman" w:cs="Times New Roman"/>
          <w:b/>
          <w:bCs/>
          <w:color w:val="auto"/>
          <w:sz w:val="24"/>
          <w:highlight w:val="none"/>
          <w:lang w:val="en-US" w:eastAsia="zh-CN"/>
        </w:rPr>
      </w:pPr>
      <w:r>
        <w:rPr>
          <w:rFonts w:hint="default" w:ascii="Times New Roman" w:hAnsi="Times New Roman" w:cs="Times New Roman"/>
          <w:b/>
          <w:bCs/>
          <w:color w:val="auto"/>
          <w:sz w:val="24"/>
          <w:highlight w:val="none"/>
          <w:lang w:val="en-US" w:eastAsia="zh-CN"/>
        </w:rPr>
        <w:t>四、其他需要公开的内容</w:t>
      </w:r>
    </w:p>
    <w:p>
      <w:pPr>
        <w:keepNext w:val="0"/>
        <w:keepLines w:val="0"/>
        <w:pageBreakBefore w:val="0"/>
        <w:widowControl w:val="0"/>
        <w:numPr>
          <w:ilvl w:val="0"/>
          <w:numId w:val="0"/>
        </w:numPr>
        <w:kinsoku/>
        <w:wordWrap/>
        <w:overflowPunct/>
        <w:topLinePunct w:val="0"/>
        <w:autoSpaceDE/>
        <w:autoSpaceDN/>
        <w:bidi w:val="0"/>
        <w:spacing w:line="360" w:lineRule="auto"/>
        <w:ind w:firstLine="1205" w:firstLineChars="500"/>
        <w:jc w:val="both"/>
        <w:textAlignment w:val="auto"/>
        <w:rPr>
          <w:rFonts w:hint="default" w:ascii="Times New Roman" w:hAnsi="Times New Roman" w:cs="Times New Roman"/>
          <w:highlight w:val="none"/>
        </w:rPr>
      </w:pPr>
      <w:r>
        <w:rPr>
          <w:rFonts w:hint="default" w:ascii="Times New Roman" w:hAnsi="Times New Roman" w:cs="Times New Roman"/>
          <w:b/>
          <w:bCs/>
          <w:color w:val="auto"/>
          <w:sz w:val="24"/>
          <w:highlight w:val="none"/>
          <w:lang w:val="en-US" w:eastAsia="zh-CN"/>
        </w:rPr>
        <w:t>无</w:t>
      </w:r>
    </w:p>
    <w:sectPr>
      <w:footerReference r:id="rId3" w:type="default"/>
      <w:pgSz w:w="11906" w:h="16838"/>
      <w:pgMar w:top="1440" w:right="1080" w:bottom="1440"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17"/>
        <w:szCs w:val="17"/>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OTE1YTE3YTMwOWNjOTNkZjkyNWU0MWVlNjNjZjUifQ=="/>
  </w:docVars>
  <w:rsids>
    <w:rsidRoot w:val="7CA55DC6"/>
    <w:rsid w:val="010000F0"/>
    <w:rsid w:val="05D06F3D"/>
    <w:rsid w:val="09C25713"/>
    <w:rsid w:val="09D309C7"/>
    <w:rsid w:val="0A524ED5"/>
    <w:rsid w:val="0C452DC0"/>
    <w:rsid w:val="118F44A0"/>
    <w:rsid w:val="149742DC"/>
    <w:rsid w:val="16446BC0"/>
    <w:rsid w:val="199D3192"/>
    <w:rsid w:val="19D74037"/>
    <w:rsid w:val="1D1011FD"/>
    <w:rsid w:val="1F3340FB"/>
    <w:rsid w:val="1F471979"/>
    <w:rsid w:val="1F720A5F"/>
    <w:rsid w:val="1F780227"/>
    <w:rsid w:val="204A4ED2"/>
    <w:rsid w:val="24D13BF5"/>
    <w:rsid w:val="257C45C8"/>
    <w:rsid w:val="263B3593"/>
    <w:rsid w:val="2CA0217E"/>
    <w:rsid w:val="2D0574A0"/>
    <w:rsid w:val="30152FC3"/>
    <w:rsid w:val="33213CB7"/>
    <w:rsid w:val="33F4567A"/>
    <w:rsid w:val="34227572"/>
    <w:rsid w:val="36D26270"/>
    <w:rsid w:val="371E34AA"/>
    <w:rsid w:val="372B4FBE"/>
    <w:rsid w:val="384B1E19"/>
    <w:rsid w:val="3A00037E"/>
    <w:rsid w:val="3A785A67"/>
    <w:rsid w:val="3C8D50F9"/>
    <w:rsid w:val="3E5B1990"/>
    <w:rsid w:val="3FB6071C"/>
    <w:rsid w:val="40E95C0F"/>
    <w:rsid w:val="41861114"/>
    <w:rsid w:val="449614FC"/>
    <w:rsid w:val="450D2920"/>
    <w:rsid w:val="45B5670C"/>
    <w:rsid w:val="460737D6"/>
    <w:rsid w:val="472B46E1"/>
    <w:rsid w:val="49297F93"/>
    <w:rsid w:val="4B2C6565"/>
    <w:rsid w:val="4E0E2795"/>
    <w:rsid w:val="50065EFC"/>
    <w:rsid w:val="53AE1CAE"/>
    <w:rsid w:val="55F74FA3"/>
    <w:rsid w:val="56A853E9"/>
    <w:rsid w:val="56EE75FD"/>
    <w:rsid w:val="58A505EC"/>
    <w:rsid w:val="59DC63FF"/>
    <w:rsid w:val="63E36A1B"/>
    <w:rsid w:val="6662615C"/>
    <w:rsid w:val="6D535020"/>
    <w:rsid w:val="6E263E89"/>
    <w:rsid w:val="77B77FF1"/>
    <w:rsid w:val="77F61216"/>
    <w:rsid w:val="790E23B0"/>
    <w:rsid w:val="7CA55DC6"/>
    <w:rsid w:val="7CA82AFC"/>
    <w:rsid w:val="7FF55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9"/>
    <w:pPr>
      <w:keepNext/>
      <w:keepLines/>
      <w:adjustRightInd w:val="0"/>
      <w:snapToGrid w:val="0"/>
      <w:spacing w:before="120" w:after="120"/>
      <w:jc w:val="center"/>
      <w:outlineLvl w:val="0"/>
    </w:pPr>
    <w:rPr>
      <w:rFonts w:eastAsia="黑体"/>
      <w:kern w:val="44"/>
      <w:sz w:val="72"/>
      <w:szCs w:val="44"/>
    </w:rPr>
  </w:style>
  <w:style w:type="paragraph" w:styleId="4">
    <w:name w:val="heading 3"/>
    <w:basedOn w:val="1"/>
    <w:next w:val="5"/>
    <w:qFormat/>
    <w:uiPriority w:val="9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46"/>
    </w:pPr>
    <w:rPr>
      <w:rFonts w:ascii="宋体" w:hAnsi="宋体" w:eastAsia="宋体"/>
      <w:sz w:val="23"/>
      <w:szCs w:val="23"/>
    </w:rPr>
  </w:style>
  <w:style w:type="paragraph" w:styleId="5">
    <w:name w:val="Normal Indent"/>
    <w:basedOn w:val="1"/>
    <w:qFormat/>
    <w:uiPriority w:val="99"/>
    <w:pPr>
      <w:ind w:firstLine="420" w:firstLineChars="200"/>
    </w:pPr>
  </w:style>
  <w:style w:type="paragraph" w:styleId="6">
    <w:name w:val="toa heading"/>
    <w:basedOn w:val="1"/>
    <w:next w:val="1"/>
    <w:unhideWhenUsed/>
    <w:qFormat/>
    <w:uiPriority w:val="99"/>
    <w:pPr>
      <w:spacing w:before="120" w:beforeLines="0"/>
    </w:pPr>
    <w:rPr>
      <w:rFonts w:ascii="Cambria Math" w:hAnsi="Cambria Math" w:cs="仿宋_GB2312"/>
      <w:sz w:val="24"/>
      <w:szCs w:val="24"/>
    </w:rPr>
  </w:style>
  <w:style w:type="paragraph" w:styleId="7">
    <w:name w:val="annotation text"/>
    <w:basedOn w:val="1"/>
    <w:qFormat/>
    <w:uiPriority w:val="0"/>
  </w:style>
  <w:style w:type="paragraph" w:styleId="8">
    <w:name w:val="footer"/>
    <w:basedOn w:val="1"/>
    <w:next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qFormat/>
    <w:uiPriority w:val="99"/>
    <w:pPr>
      <w:adjustRightInd w:val="0"/>
      <w:snapToGrid w:val="0"/>
      <w:spacing w:line="420" w:lineRule="atLeast"/>
      <w:ind w:firstLine="454"/>
      <w:jc w:val="left"/>
      <w:textAlignment w:val="baseline"/>
    </w:pPr>
    <w:rPr>
      <w:kern w:val="0"/>
      <w:sz w:val="18"/>
      <w:szCs w:val="20"/>
    </w:rPr>
  </w:style>
  <w:style w:type="paragraph" w:styleId="11">
    <w:name w:val="Normal (Web)"/>
    <w:basedOn w:val="1"/>
    <w:qFormat/>
    <w:uiPriority w:val="0"/>
    <w:pPr>
      <w:widowControl/>
      <w:spacing w:before="100" w:beforeLines="0" w:beforeAutospacing="1" w:after="100" w:afterLines="0" w:afterAutospacing="1" w:line="432" w:lineRule="auto"/>
      <w:jc w:val="left"/>
    </w:pPr>
    <w:rPr>
      <w:rFonts w:ascii="宋体" w:hAnsi="宋体"/>
      <w:kern w:val="0"/>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otnote reference"/>
    <w:qFormat/>
    <w:uiPriority w:val="99"/>
    <w:rPr>
      <w:vertAlign w:val="superscript"/>
    </w:rPr>
  </w:style>
  <w:style w:type="paragraph" w:customStyle="1" w:styleId="16">
    <w:name w:val="Table Paragraph"/>
    <w:basedOn w:val="1"/>
    <w:qFormat/>
    <w:uiPriority w:val="1"/>
  </w:style>
  <w:style w:type="paragraph" w:customStyle="1" w:styleId="17">
    <w:name w:val="p0"/>
    <w:basedOn w:val="1"/>
    <w:qFormat/>
    <w:uiPriority w:val="0"/>
    <w:pPr>
      <w:widowControl/>
    </w:pPr>
    <w:rPr>
      <w:kern w:val="0"/>
      <w:szCs w:val="21"/>
    </w:rPr>
  </w:style>
  <w:style w:type="paragraph" w:customStyle="1" w:styleId="18">
    <w:name w:val="第一章-2级"/>
    <w:basedOn w:val="3"/>
    <w:qFormat/>
    <w:uiPriority w:val="99"/>
    <w:rPr>
      <w:sz w:val="36"/>
    </w:rPr>
  </w:style>
  <w:style w:type="paragraph" w:customStyle="1" w:styleId="1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20">
    <w:name w:val="font161"/>
    <w:qFormat/>
    <w:uiPriority w:val="99"/>
    <w:rPr>
      <w:b/>
      <w:bCs/>
      <w:sz w:val="32"/>
      <w:szCs w:val="32"/>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11</Pages>
  <Words>8250</Words>
  <Characters>8875</Characters>
  <Lines>0</Lines>
  <Paragraphs>0</Paragraphs>
  <TotalTime>0</TotalTime>
  <ScaleCrop>false</ScaleCrop>
  <LinksUpToDate>false</LinksUpToDate>
  <CharactersWithSpaces>8894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2018-06-08T05:26:00Z</dcterms:created>
  <dc:creator>Regina</dc:creator>
  <cp:lastModifiedBy>赵航翔</cp:lastModifiedBy>
  <dcterms:modified xsi:type="dcterms:W3CDTF">2023-03-01T02:51:36Z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DE2E0F17F68440A2BB3141D1137CEC1D</vt:lpwstr>
  </property>
</Properties>
</file>