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bCs/>
          <w:sz w:val="30"/>
          <w:szCs w:val="30"/>
        </w:rPr>
      </w:pPr>
      <w:r>
        <w:rPr>
          <w:rFonts w:hint="default" w:ascii="Times New Roman" w:hAnsi="Times New Roman" w:eastAsia="仿宋" w:cs="Times New Roman"/>
          <w:b/>
          <w:bCs/>
          <w:sz w:val="30"/>
          <w:szCs w:val="30"/>
          <w:lang w:eastAsia="zh-CN"/>
        </w:rPr>
        <w:t>山西平榆高速公路有限责任公司G2516东吕高速平榆段2022年度增加路面预防性养护工程施工项目</w:t>
      </w:r>
      <w:r>
        <w:rPr>
          <w:rFonts w:hint="default" w:ascii="Times New Roman" w:hAnsi="Times New Roman" w:eastAsia="仿宋" w:cs="Times New Roman"/>
          <w:b/>
          <w:bCs/>
          <w:sz w:val="30"/>
          <w:szCs w:val="30"/>
        </w:rPr>
        <w:t>关键内容公开</w:t>
      </w:r>
    </w:p>
    <w:p>
      <w:pPr>
        <w:spacing w:line="360" w:lineRule="auto"/>
        <w:ind w:left="422" w:leftChars="0" w:hanging="422" w:hangingChars="175"/>
        <w:rPr>
          <w:rFonts w:hint="default" w:ascii="Times New Roman" w:hAnsi="Times New Roman" w:eastAsia="仿宋" w:cs="Times New Roman"/>
          <w:b/>
          <w:bCs/>
          <w:sz w:val="24"/>
          <w:lang w:val="en-US" w:eastAsia="zh-CN"/>
        </w:rPr>
      </w:pPr>
      <w:bookmarkStart w:id="0" w:name="_Toc100079917"/>
      <w:bookmarkStart w:id="1" w:name="_Toc247527544"/>
      <w:bookmarkStart w:id="2" w:name="_Toc152045520"/>
      <w:bookmarkStart w:id="3" w:name="_Toc152042296"/>
      <w:bookmarkStart w:id="4" w:name="_Toc247513943"/>
      <w:bookmarkStart w:id="5" w:name="_Toc144974488"/>
    </w:p>
    <w:bookmarkEnd w:id="0"/>
    <w:bookmarkEnd w:id="1"/>
    <w:bookmarkEnd w:id="2"/>
    <w:bookmarkEnd w:id="3"/>
    <w:bookmarkEnd w:id="4"/>
    <w:bookmarkEnd w:id="5"/>
    <w:p>
      <w:pPr>
        <w:keepNext/>
        <w:keepLines/>
        <w:pageBreakBefore w:val="0"/>
        <w:widowControl w:val="0"/>
        <w:kinsoku/>
        <w:overflowPunct/>
        <w:autoSpaceDE/>
        <w:autoSpaceDN/>
        <w:bidi w:val="0"/>
        <w:adjustRightInd/>
        <w:snapToGrid/>
        <w:spacing w:before="156" w:beforeLines="50" w:line="420" w:lineRule="exact"/>
        <w:textAlignment w:val="auto"/>
        <w:outlineLvl w:val="1"/>
        <w:rPr>
          <w:rFonts w:hint="eastAsia" w:ascii="仿宋" w:hAnsi="仿宋" w:eastAsia="仿宋" w:cs="仿宋"/>
          <w:b/>
          <w:sz w:val="24"/>
          <w:szCs w:val="24"/>
        </w:rPr>
      </w:pPr>
      <w:bookmarkStart w:id="6" w:name="_Toc100079916"/>
      <w:r>
        <w:rPr>
          <w:rFonts w:hint="eastAsia" w:ascii="仿宋" w:hAnsi="仿宋" w:eastAsia="仿宋" w:cs="仿宋"/>
          <w:b/>
          <w:sz w:val="24"/>
          <w:szCs w:val="24"/>
          <w:lang w:val="en-US" w:eastAsia="zh-CN"/>
        </w:rPr>
        <w:t>一．</w:t>
      </w:r>
      <w:r>
        <w:rPr>
          <w:rFonts w:hint="eastAsia" w:ascii="仿宋" w:hAnsi="仿宋" w:eastAsia="仿宋" w:cs="仿宋"/>
          <w:b/>
          <w:sz w:val="24"/>
          <w:szCs w:val="24"/>
        </w:rPr>
        <w:t>招标条件</w:t>
      </w:r>
      <w:bookmarkEnd w:id="6"/>
    </w:p>
    <w:p>
      <w:pPr>
        <w:keepNext/>
        <w:keepLines/>
        <w:pageBreakBefore w:val="0"/>
        <w:widowControl w:val="0"/>
        <w:kinsoku/>
        <w:overflowPunct/>
        <w:autoSpaceDE/>
        <w:autoSpaceDN/>
        <w:bidi w:val="0"/>
        <w:adjustRightInd/>
        <w:snapToGrid/>
        <w:spacing w:before="156" w:beforeLines="50" w:line="420" w:lineRule="exact"/>
        <w:ind w:firstLine="480" w:firstLineChars="200"/>
        <w:textAlignment w:val="auto"/>
        <w:outlineLvl w:val="1"/>
        <w:rPr>
          <w:rFonts w:hint="eastAsia" w:ascii="仿宋" w:hAnsi="仿宋" w:eastAsia="仿宋" w:cs="仿宋"/>
          <w:color w:val="auto"/>
          <w:sz w:val="24"/>
          <w:szCs w:val="24"/>
          <w:highlight w:val="none"/>
          <w:u w:val="none"/>
          <w:lang w:val="en-US" w:eastAsia="zh-CN"/>
        </w:rPr>
      </w:pPr>
      <w:r>
        <w:rPr>
          <w:rFonts w:hint="eastAsia" w:ascii="仿宋" w:hAnsi="仿宋" w:eastAsia="仿宋" w:cs="仿宋"/>
          <w:color w:val="auto"/>
          <w:sz w:val="24"/>
          <w:szCs w:val="24"/>
          <w:highlight w:val="none"/>
          <w:u w:val="none"/>
          <w:lang w:val="en-US" w:eastAsia="zh-CN"/>
        </w:rPr>
        <w:t>本招标项目山西平榆高速公路有限责任公司G2516东吕高速平榆段2022年度增加路面预防性养护工程施工（招标项目编号：M1401000155101034），施工图设计已由山西省高速公路集团有限责任公司晋高速工发【2022】320号文件批准，项目资金来源为：企业自有，出资比例为100%，招标人为山西平榆高速公路有限责任公司。本项目已具备招标条件，现对该项目进行公开招标。</w:t>
      </w:r>
    </w:p>
    <w:p>
      <w:pPr>
        <w:keepNext/>
        <w:keepLines/>
        <w:pageBreakBefore w:val="0"/>
        <w:widowControl w:val="0"/>
        <w:kinsoku/>
        <w:overflowPunct/>
        <w:autoSpaceDE/>
        <w:autoSpaceDN/>
        <w:bidi w:val="0"/>
        <w:adjustRightInd/>
        <w:snapToGrid/>
        <w:spacing w:before="156" w:beforeLines="50" w:line="420" w:lineRule="exact"/>
        <w:textAlignment w:val="auto"/>
        <w:outlineLvl w:val="1"/>
        <w:rPr>
          <w:rFonts w:hint="eastAsia" w:ascii="仿宋" w:hAnsi="仿宋" w:eastAsia="仿宋" w:cs="仿宋"/>
          <w:b/>
          <w:sz w:val="24"/>
          <w:szCs w:val="24"/>
          <w:highlight w:val="none"/>
        </w:rPr>
      </w:pPr>
      <w:r>
        <w:rPr>
          <w:rFonts w:hint="eastAsia" w:ascii="仿宋" w:hAnsi="仿宋" w:eastAsia="仿宋" w:cs="仿宋"/>
          <w:b/>
          <w:sz w:val="24"/>
          <w:szCs w:val="24"/>
          <w:highlight w:val="none"/>
          <w:lang w:val="en-US" w:eastAsia="zh-CN"/>
        </w:rPr>
        <w:t>二．</w:t>
      </w:r>
      <w:r>
        <w:rPr>
          <w:rFonts w:hint="eastAsia" w:ascii="仿宋" w:hAnsi="仿宋" w:eastAsia="仿宋" w:cs="仿宋"/>
          <w:b/>
          <w:sz w:val="24"/>
          <w:szCs w:val="24"/>
          <w:highlight w:val="none"/>
        </w:rPr>
        <w:t>项目概况与招标范围</w:t>
      </w:r>
    </w:p>
    <w:p>
      <w:pPr>
        <w:keepNext/>
        <w:keepLines/>
        <w:pageBreakBefore w:val="0"/>
        <w:widowControl w:val="0"/>
        <w:kinsoku/>
        <w:overflowPunct/>
        <w:autoSpaceDE/>
        <w:autoSpaceDN/>
        <w:bidi w:val="0"/>
        <w:adjustRightInd/>
        <w:snapToGrid/>
        <w:spacing w:before="156" w:beforeLines="50" w:line="420" w:lineRule="exact"/>
        <w:ind w:firstLine="480" w:firstLineChars="200"/>
        <w:textAlignment w:val="auto"/>
        <w:outlineLvl w:val="1"/>
        <w:rPr>
          <w:rFonts w:hint="eastAsia" w:ascii="仿宋" w:hAnsi="仿宋" w:eastAsia="仿宋" w:cs="仿宋"/>
          <w:sz w:val="24"/>
          <w:szCs w:val="24"/>
          <w:highlight w:val="none"/>
        </w:rPr>
      </w:pPr>
      <w:bookmarkStart w:id="7" w:name="_Toc247527545"/>
      <w:bookmarkStart w:id="8" w:name="_Toc144974489"/>
      <w:bookmarkStart w:id="9" w:name="_Toc152042297"/>
      <w:bookmarkStart w:id="10" w:name="_Toc152045521"/>
      <w:bookmarkStart w:id="11" w:name="_Toc99713089"/>
      <w:bookmarkStart w:id="12" w:name="_Toc247513944"/>
      <w:r>
        <w:rPr>
          <w:rFonts w:hint="eastAsia" w:ascii="仿宋" w:hAnsi="仿宋" w:eastAsia="仿宋" w:cs="仿宋"/>
          <w:color w:val="auto"/>
          <w:sz w:val="24"/>
          <w:szCs w:val="24"/>
          <w:highlight w:val="none"/>
          <w:u w:val="none"/>
          <w:lang w:val="en-US" w:eastAsia="zh-CN"/>
        </w:rPr>
        <w:t>2.1项目概况：平榆段（平榆高速公路）路线起点西接汾阳～平遥高速公路，终点以枢纽型式连通太长高速公路与榆社～和顺高速公路连接。按山岭重丘区双向四车道高速公路标准建设。其中，K656+758～K642+958为重丘区，设计速度100公里/小时，路基宽度26.0米；K642+958～K573+692为山岭区，设计速度80公里/小时，路基宽度24.5米。为满足车辆正常通行，切实提升平榆高速路况技术指标，现拟对平榆段2022年度增加路面预防性养护工程施工进行招标。</w:t>
      </w:r>
    </w:p>
    <w:p>
      <w:pPr>
        <w:pageBreakBefore w:val="0"/>
        <w:widowControl w:val="0"/>
        <w:kinsoku/>
        <w:overflowPunct/>
        <w:autoSpaceDE/>
        <w:autoSpaceDN/>
        <w:bidi w:val="0"/>
        <w:adjustRightInd/>
        <w:snapToGrid/>
        <w:spacing w:line="42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2.2招标内容与范围：本招标项目划分为1个标段：001标段，范围包括：本项目施工图纸及工程量清单范围内的全部内容。</w:t>
      </w:r>
    </w:p>
    <w:p>
      <w:pPr>
        <w:pageBreakBefore w:val="0"/>
        <w:widowControl w:val="0"/>
        <w:kinsoku/>
        <w:overflowPunct/>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2.3计划工期：30日历天。</w:t>
      </w:r>
    </w:p>
    <w:p>
      <w:pPr>
        <w:pageBreakBefore w:val="0"/>
        <w:widowControl w:val="0"/>
        <w:kinsoku/>
        <w:overflowPunct/>
        <w:autoSpaceDE/>
        <w:autoSpaceDN/>
        <w:bidi w:val="0"/>
        <w:adjustRightInd/>
        <w:snapToGrid/>
        <w:spacing w:line="42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2.4质量要求：符合《公路养护工程质量检验评定标准》，交（竣）工验收的质量评定：合格</w:t>
      </w:r>
      <w:r>
        <w:rPr>
          <w:rFonts w:hint="eastAsia" w:ascii="仿宋" w:hAnsi="仿宋" w:eastAsia="仿宋" w:cs="仿宋"/>
          <w:sz w:val="24"/>
          <w:szCs w:val="24"/>
          <w:lang w:eastAsia="zh-CN"/>
        </w:rPr>
        <w:t>。</w:t>
      </w:r>
    </w:p>
    <w:p>
      <w:pPr>
        <w:keepNext/>
        <w:keepLines/>
        <w:pageBreakBefore w:val="0"/>
        <w:widowControl w:val="0"/>
        <w:kinsoku/>
        <w:overflowPunct/>
        <w:autoSpaceDE/>
        <w:autoSpaceDN/>
        <w:bidi w:val="0"/>
        <w:adjustRightInd/>
        <w:snapToGrid/>
        <w:spacing w:before="156" w:beforeLines="50" w:line="420" w:lineRule="exact"/>
        <w:textAlignment w:val="auto"/>
        <w:outlineLvl w:val="1"/>
        <w:rPr>
          <w:rFonts w:hint="eastAsia" w:ascii="仿宋" w:hAnsi="仿宋" w:eastAsia="仿宋" w:cs="仿宋"/>
          <w:b/>
          <w:sz w:val="24"/>
          <w:szCs w:val="24"/>
        </w:rPr>
      </w:pPr>
      <w:r>
        <w:rPr>
          <w:rFonts w:hint="eastAsia" w:ascii="仿宋" w:hAnsi="仿宋" w:eastAsia="仿宋" w:cs="仿宋"/>
          <w:b/>
          <w:sz w:val="24"/>
          <w:szCs w:val="24"/>
          <w:lang w:val="en-US" w:eastAsia="zh-CN"/>
        </w:rPr>
        <w:t>三．</w:t>
      </w:r>
      <w:r>
        <w:rPr>
          <w:rFonts w:hint="eastAsia" w:ascii="仿宋" w:hAnsi="仿宋" w:eastAsia="仿宋" w:cs="仿宋"/>
          <w:b/>
          <w:sz w:val="24"/>
          <w:szCs w:val="24"/>
        </w:rPr>
        <w:t>投标人资格要求</w:t>
      </w:r>
      <w:bookmarkEnd w:id="7"/>
      <w:bookmarkEnd w:id="8"/>
      <w:bookmarkEnd w:id="9"/>
      <w:bookmarkEnd w:id="10"/>
      <w:bookmarkEnd w:id="11"/>
      <w:bookmarkEnd w:id="12"/>
    </w:p>
    <w:p>
      <w:pPr>
        <w:pageBreakBefore w:val="0"/>
        <w:widowControl w:val="0"/>
        <w:kinsoku/>
        <w:overflowPunct/>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001标段：</w:t>
      </w:r>
    </w:p>
    <w:p>
      <w:pPr>
        <w:pageBreakBefore w:val="0"/>
        <w:widowControl w:val="0"/>
        <w:kinsoku/>
        <w:overflowPunct/>
        <w:autoSpaceDE/>
        <w:autoSpaceDN/>
        <w:bidi w:val="0"/>
        <w:adjustRightInd/>
        <w:snapToGrid/>
        <w:spacing w:line="42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3.1投标人</w:t>
      </w:r>
      <w:r>
        <w:rPr>
          <w:rFonts w:hint="eastAsia" w:ascii="仿宋" w:hAnsi="仿宋" w:eastAsia="仿宋" w:cs="仿宋"/>
          <w:sz w:val="24"/>
          <w:szCs w:val="24"/>
          <w:lang w:val="en-US" w:eastAsia="zh-CN"/>
        </w:rPr>
        <w:t>须</w:t>
      </w:r>
      <w:r>
        <w:rPr>
          <w:rFonts w:hint="eastAsia" w:ascii="仿宋" w:hAnsi="仿宋" w:eastAsia="仿宋" w:cs="仿宋"/>
          <w:sz w:val="24"/>
          <w:szCs w:val="24"/>
        </w:rPr>
        <w:t>在中华人民共和国境内依法登记注册，具有独立法人资格，持有有效的营业执照</w:t>
      </w:r>
      <w:r>
        <w:rPr>
          <w:rFonts w:hint="eastAsia" w:ascii="仿宋" w:hAnsi="仿宋" w:eastAsia="仿宋" w:cs="仿宋"/>
          <w:sz w:val="24"/>
          <w:szCs w:val="24"/>
          <w:lang w:val="en-US" w:eastAsia="zh-CN"/>
        </w:rPr>
        <w:t>和安全生产许可证</w:t>
      </w:r>
      <w:r>
        <w:rPr>
          <w:rFonts w:hint="eastAsia" w:ascii="仿宋" w:hAnsi="仿宋" w:eastAsia="仿宋" w:cs="仿宋"/>
          <w:sz w:val="24"/>
          <w:szCs w:val="24"/>
          <w:lang w:eastAsia="zh-CN"/>
        </w:rPr>
        <w:t>；</w:t>
      </w:r>
      <w:r>
        <w:rPr>
          <w:rFonts w:hint="eastAsia" w:ascii="仿宋" w:hAnsi="仿宋" w:eastAsia="仿宋" w:cs="仿宋"/>
          <w:sz w:val="24"/>
          <w:szCs w:val="24"/>
        </w:rPr>
        <w:t>并在人员、设备、资金等方面具有相应的施工能力。</w:t>
      </w:r>
    </w:p>
    <w:p>
      <w:pPr>
        <w:pageBreakBefore w:val="0"/>
        <w:widowControl w:val="0"/>
        <w:kinsoku/>
        <w:overflowPunct/>
        <w:autoSpaceDE/>
        <w:autoSpaceDN/>
        <w:bidi w:val="0"/>
        <w:adjustRightInd/>
        <w:snapToGrid/>
        <w:spacing w:line="42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3.2资质要求：</w:t>
      </w:r>
      <w:r>
        <w:rPr>
          <w:rFonts w:hint="eastAsia" w:ascii="仿宋" w:hAnsi="仿宋" w:eastAsia="仿宋" w:cs="仿宋"/>
          <w:sz w:val="24"/>
          <w:szCs w:val="24"/>
        </w:rPr>
        <w:t>投标人</w:t>
      </w:r>
      <w:r>
        <w:rPr>
          <w:rFonts w:hint="eastAsia" w:ascii="仿宋" w:hAnsi="仿宋" w:eastAsia="仿宋" w:cs="仿宋"/>
          <w:sz w:val="24"/>
          <w:szCs w:val="24"/>
          <w:lang w:val="en-US" w:eastAsia="zh-CN"/>
        </w:rPr>
        <w:t>须具备</w:t>
      </w:r>
      <w:r>
        <w:rPr>
          <w:rFonts w:hint="eastAsia" w:ascii="仿宋" w:hAnsi="仿宋" w:eastAsia="仿宋" w:cs="仿宋"/>
          <w:sz w:val="24"/>
          <w:szCs w:val="24"/>
        </w:rPr>
        <w:t>山西省交通运输厅颁发（核准</w:t>
      </w:r>
      <w:r>
        <w:rPr>
          <w:rFonts w:hint="eastAsia" w:ascii="仿宋" w:hAnsi="仿宋" w:eastAsia="仿宋" w:cs="仿宋"/>
          <w:sz w:val="24"/>
          <w:szCs w:val="24"/>
          <w:lang w:eastAsia="zh-CN"/>
        </w:rPr>
        <w:t>）</w:t>
      </w:r>
      <w:r>
        <w:rPr>
          <w:rFonts w:hint="eastAsia" w:ascii="仿宋" w:hAnsi="仿宋" w:eastAsia="仿宋" w:cs="仿宋"/>
          <w:sz w:val="24"/>
          <w:szCs w:val="24"/>
        </w:rPr>
        <w:t>的公路养护工程</w:t>
      </w:r>
      <w:r>
        <w:rPr>
          <w:rFonts w:hint="eastAsia" w:ascii="仿宋" w:hAnsi="仿宋" w:eastAsia="仿宋" w:cs="仿宋"/>
          <w:sz w:val="24"/>
          <w:szCs w:val="24"/>
          <w:lang w:val="en-US" w:eastAsia="zh-CN"/>
        </w:rPr>
        <w:t>二</w:t>
      </w:r>
      <w:r>
        <w:rPr>
          <w:rFonts w:hint="eastAsia" w:ascii="仿宋" w:hAnsi="仿宋" w:eastAsia="仿宋" w:cs="仿宋"/>
          <w:sz w:val="24"/>
          <w:szCs w:val="24"/>
        </w:rPr>
        <w:t>类甲级从业资质，或同时具备交通运输主管部门颁发的</w:t>
      </w:r>
      <w:r>
        <w:rPr>
          <w:rFonts w:hint="eastAsia" w:ascii="仿宋" w:hAnsi="仿宋" w:eastAsia="仿宋" w:cs="仿宋"/>
          <w:sz w:val="24"/>
          <w:szCs w:val="24"/>
          <w:lang w:val="en-US" w:eastAsia="zh-CN"/>
        </w:rPr>
        <w:t>公路养护作业单位</w:t>
      </w:r>
      <w:r>
        <w:rPr>
          <w:rFonts w:hint="eastAsia" w:ascii="仿宋" w:hAnsi="仿宋" w:eastAsia="仿宋" w:cs="仿宋"/>
          <w:sz w:val="24"/>
          <w:szCs w:val="24"/>
        </w:rPr>
        <w:t>路基路面</w:t>
      </w:r>
      <w:r>
        <w:rPr>
          <w:rFonts w:hint="eastAsia" w:ascii="仿宋" w:hAnsi="仿宋" w:eastAsia="仿宋" w:cs="仿宋"/>
          <w:sz w:val="24"/>
          <w:szCs w:val="24"/>
          <w:lang w:val="en-US" w:eastAsia="zh-CN"/>
        </w:rPr>
        <w:t>养护</w:t>
      </w:r>
      <w:r>
        <w:rPr>
          <w:rFonts w:hint="eastAsia" w:ascii="仿宋" w:hAnsi="仿宋" w:eastAsia="仿宋" w:cs="仿宋"/>
          <w:sz w:val="24"/>
          <w:szCs w:val="24"/>
        </w:rPr>
        <w:t>甲级、交通安全设施养护资质</w:t>
      </w:r>
      <w:r>
        <w:rPr>
          <w:rFonts w:hint="eastAsia" w:ascii="仿宋" w:hAnsi="仿宋" w:eastAsia="仿宋" w:cs="仿宋"/>
          <w:sz w:val="24"/>
          <w:szCs w:val="24"/>
          <w:lang w:eastAsia="zh-CN"/>
        </w:rPr>
        <w:t>。</w:t>
      </w:r>
    </w:p>
    <w:p>
      <w:pPr>
        <w:pageBreakBefore w:val="0"/>
        <w:widowControl w:val="0"/>
        <w:kinsoku/>
        <w:overflowPunct/>
        <w:autoSpaceDE/>
        <w:autoSpaceDN/>
        <w:bidi w:val="0"/>
        <w:adjustRightInd/>
        <w:snapToGrid/>
        <w:spacing w:line="420" w:lineRule="exact"/>
        <w:ind w:firstLine="480" w:firstLineChars="20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3.3财务要求：投标人2021年度流动资产与流动负债的比率不小于1。</w:t>
      </w:r>
    </w:p>
    <w:p>
      <w:pPr>
        <w:pageBreakBefore w:val="0"/>
        <w:widowControl w:val="0"/>
        <w:kinsoku/>
        <w:overflowPunct/>
        <w:autoSpaceDE/>
        <w:autoSpaceDN/>
        <w:bidi w:val="0"/>
        <w:adjustRightInd/>
        <w:snapToGrid/>
        <w:spacing w:line="42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3.4业绩要求：投标人近五年内（2017年11月1日至响应文件递交截止日，以交（竣）工验收时间为准）至少独立完成过1项高速公路路面养护工程的施工业绩。</w:t>
      </w:r>
    </w:p>
    <w:p>
      <w:pPr>
        <w:pageBreakBefore w:val="0"/>
        <w:widowControl w:val="0"/>
        <w:kinsoku/>
        <w:overflowPunct/>
        <w:autoSpaceDE/>
        <w:autoSpaceDN/>
        <w:bidi w:val="0"/>
        <w:adjustRightInd/>
        <w:snapToGrid/>
        <w:spacing w:line="42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3.5人员要求：拟任项目经理（1名）最低资格要求：公路工程相关专业中级或以上技术职称，具备公路工程专业一级注册建造师执业资格（注册单位与投标人单位名称一致），持有交通运输主管部门颁发的有效的安全生产考核合格证书B类（登记单位与投标人单位名称一致），且在本单位任职。作为项目经理近五年内（2017年11月1日至投标文件递交截止日，以交（竣）工验收时间为准）至少完成过1项高速公路养护工程的施工管理。</w:t>
      </w:r>
    </w:p>
    <w:p>
      <w:pPr>
        <w:pageBreakBefore w:val="0"/>
        <w:widowControl w:val="0"/>
        <w:kinsoku/>
        <w:overflowPunct/>
        <w:autoSpaceDE/>
        <w:autoSpaceDN/>
        <w:bidi w:val="0"/>
        <w:adjustRightInd/>
        <w:snapToGrid/>
        <w:spacing w:line="42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拟任项目总工（1名）最低资格要求：公路工程相关专业中级或以上技术职称，持有交通运输主管部门颁发的有效的安全生产考核合格证书B类（登记单位与投标人单位名称一致），且在本单位任职。作为项目总工近五年内（2017年11月1日至投标文件递交截止日，以交（竣）工验收时间为准）至少完成过1项高速公路养护工程的技术管理。</w:t>
      </w:r>
    </w:p>
    <w:p>
      <w:pPr>
        <w:pageBreakBefore w:val="0"/>
        <w:widowControl w:val="0"/>
        <w:kinsoku/>
        <w:overflowPunct/>
        <w:autoSpaceDE/>
        <w:autoSpaceDN/>
        <w:bidi w:val="0"/>
        <w:adjustRightInd/>
        <w:snapToGrid/>
        <w:spacing w:line="420" w:lineRule="exact"/>
        <w:ind w:firstLine="480" w:firstLineChars="200"/>
        <w:textAlignment w:val="auto"/>
        <w:rPr>
          <w:rFonts w:hint="default" w:ascii="仿宋" w:hAnsi="仿宋" w:eastAsia="仿宋" w:cs="仿宋"/>
          <w:sz w:val="24"/>
          <w:szCs w:val="24"/>
          <w:lang w:val="en-US"/>
        </w:rPr>
      </w:pPr>
      <w:r>
        <w:rPr>
          <w:rFonts w:hint="eastAsia" w:ascii="仿宋" w:hAnsi="仿宋" w:eastAsia="仿宋" w:cs="仿宋"/>
          <w:sz w:val="24"/>
          <w:szCs w:val="24"/>
          <w:lang w:val="en-US" w:eastAsia="zh-CN"/>
        </w:rPr>
        <w:t>拟任主要人员的建造师注册证书信息以“全国建筑市场监管公共服务平台”查询结果为准，安全生产考核合格证书相关信息以“交通运输部公路水运工程企业主要负责人和安全生产管理人员信息管理系统”查询结果为准。</w:t>
      </w:r>
    </w:p>
    <w:p>
      <w:pPr>
        <w:pageBreakBefore w:val="0"/>
        <w:widowControl w:val="0"/>
        <w:kinsoku/>
        <w:overflowPunct/>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val="en-US" w:eastAsia="zh-CN"/>
        </w:rPr>
        <w:t>6</w:t>
      </w:r>
      <w:r>
        <w:rPr>
          <w:rFonts w:hint="eastAsia" w:ascii="仿宋" w:hAnsi="仿宋" w:eastAsia="仿宋" w:cs="仿宋"/>
          <w:sz w:val="24"/>
          <w:szCs w:val="24"/>
        </w:rPr>
        <w:t>与招标人存在利害关系可能影响招标公正性的单位，不得参加投标。投标人具有下列情况之一的，不得同时参加同一标段投标，否则其投标均无效：</w:t>
      </w:r>
    </w:p>
    <w:p>
      <w:pPr>
        <w:pageBreakBefore w:val="0"/>
        <w:widowControl w:val="0"/>
        <w:kinsoku/>
        <w:overflowPunct/>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val="en-US" w:eastAsia="zh-CN"/>
        </w:rPr>
        <w:t>6</w:t>
      </w:r>
      <w:r>
        <w:rPr>
          <w:rFonts w:hint="eastAsia" w:ascii="仿宋" w:hAnsi="仿宋" w:eastAsia="仿宋" w:cs="仿宋"/>
          <w:sz w:val="24"/>
          <w:szCs w:val="24"/>
        </w:rPr>
        <w:t>.1单位负责人为同一人或者存在控股、管理关系的不同单位；</w:t>
      </w:r>
    </w:p>
    <w:p>
      <w:pPr>
        <w:pageBreakBefore w:val="0"/>
        <w:widowControl w:val="0"/>
        <w:kinsoku/>
        <w:overflowPunct/>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val="en-US" w:eastAsia="zh-CN"/>
        </w:rPr>
        <w:t>6</w:t>
      </w:r>
      <w:r>
        <w:rPr>
          <w:rFonts w:hint="eastAsia" w:ascii="仿宋" w:hAnsi="仿宋" w:eastAsia="仿宋" w:cs="仿宋"/>
          <w:sz w:val="24"/>
          <w:szCs w:val="24"/>
        </w:rPr>
        <w:t>.2具有投资参股关系的关联企业；</w:t>
      </w:r>
    </w:p>
    <w:p>
      <w:pPr>
        <w:pageBreakBefore w:val="0"/>
        <w:widowControl w:val="0"/>
        <w:kinsoku/>
        <w:overflowPunct/>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val="en-US" w:eastAsia="zh-CN"/>
        </w:rPr>
        <w:t>6</w:t>
      </w:r>
      <w:r>
        <w:rPr>
          <w:rFonts w:hint="eastAsia" w:ascii="仿宋" w:hAnsi="仿宋" w:eastAsia="仿宋" w:cs="仿宋"/>
          <w:sz w:val="24"/>
          <w:szCs w:val="24"/>
        </w:rPr>
        <w:t>.3董事、监事、总经理、副总经理和财务负责任人相互兼职的关联企业。</w:t>
      </w:r>
    </w:p>
    <w:p>
      <w:pPr>
        <w:pageBreakBefore w:val="0"/>
        <w:widowControl w:val="0"/>
        <w:kinsoku/>
        <w:overflowPunct/>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val="en-US" w:eastAsia="zh-CN"/>
        </w:rPr>
        <w:t>7</w:t>
      </w:r>
      <w:r>
        <w:rPr>
          <w:rFonts w:hint="eastAsia" w:ascii="仿宋" w:hAnsi="仿宋" w:eastAsia="仿宋" w:cs="仿宋"/>
          <w:sz w:val="24"/>
          <w:szCs w:val="24"/>
        </w:rPr>
        <w:t>凡被交通运输部或山西省交通运输厅取消或暂停公路工程投标资格的施工企业，在处罚期内无资格参与本项目的投标。凡在交通运输部或山西省公路建设市场信用评价的考核定级中，被评价为D级的单位，在处罚期内无资格参与本项目的投标。</w:t>
      </w:r>
    </w:p>
    <w:p>
      <w:pPr>
        <w:pageBreakBefore w:val="0"/>
        <w:widowControl w:val="0"/>
        <w:kinsoku/>
        <w:overflowPunct/>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val="en-US" w:eastAsia="zh-CN"/>
        </w:rPr>
        <w:t>8投标人及其法定代表人、拟担任本项目的项目经理近3年（2019年11月1日至投标文件递交截止日）无行贿犯罪记录</w:t>
      </w:r>
      <w:r>
        <w:rPr>
          <w:rFonts w:hint="eastAsia" w:ascii="仿宋" w:hAnsi="仿宋" w:eastAsia="仿宋" w:cs="仿宋"/>
          <w:sz w:val="24"/>
          <w:szCs w:val="24"/>
        </w:rPr>
        <w:t>。</w:t>
      </w:r>
    </w:p>
    <w:p>
      <w:pPr>
        <w:pageBreakBefore w:val="0"/>
        <w:widowControl w:val="0"/>
        <w:kinsoku/>
        <w:overflowPunct/>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val="en-US" w:eastAsia="zh-CN"/>
        </w:rPr>
        <w:t>9投标人在“信用中国”网站平台中被列入严重失信主体名单的，不得参加投标</w:t>
      </w:r>
      <w:r>
        <w:rPr>
          <w:rFonts w:hint="eastAsia" w:ascii="仿宋" w:hAnsi="仿宋" w:eastAsia="仿宋" w:cs="仿宋"/>
          <w:sz w:val="24"/>
          <w:szCs w:val="24"/>
        </w:rPr>
        <w:t>。</w:t>
      </w:r>
    </w:p>
    <w:p>
      <w:pPr>
        <w:pageBreakBefore w:val="0"/>
        <w:widowControl w:val="0"/>
        <w:kinsoku/>
        <w:overflowPunct/>
        <w:autoSpaceDE/>
        <w:autoSpaceDN/>
        <w:bidi w:val="0"/>
        <w:adjustRightInd/>
        <w:snapToGrid/>
        <w:spacing w:line="420" w:lineRule="exact"/>
        <w:ind w:firstLine="480" w:firstLineChars="200"/>
        <w:textAlignment w:val="auto"/>
        <w:rPr>
          <w:rFonts w:hint="eastAsia" w:ascii="仿宋" w:hAnsi="仿宋" w:eastAsia="仿宋" w:cs="仿宋"/>
          <w:sz w:val="24"/>
          <w:szCs w:val="24"/>
        </w:rPr>
      </w:pPr>
      <w:bookmarkStart w:id="13" w:name="_Hlk531331616"/>
      <w:r>
        <w:rPr>
          <w:rFonts w:hint="eastAsia" w:ascii="仿宋" w:hAnsi="仿宋" w:eastAsia="仿宋" w:cs="仿宋"/>
          <w:sz w:val="24"/>
          <w:szCs w:val="24"/>
        </w:rPr>
        <w:t>3.</w:t>
      </w:r>
      <w:r>
        <w:rPr>
          <w:rFonts w:hint="eastAsia" w:ascii="仿宋" w:hAnsi="仿宋" w:eastAsia="仿宋" w:cs="仿宋"/>
          <w:sz w:val="24"/>
          <w:szCs w:val="24"/>
          <w:lang w:val="en-US" w:eastAsia="zh-CN"/>
        </w:rPr>
        <w:t>10投标人在“国家企业信用信息公示系统”中被列入“列入严重违法失信企业名单（黑名单）”的，不得参加投标</w:t>
      </w:r>
      <w:r>
        <w:rPr>
          <w:rFonts w:hint="eastAsia" w:ascii="仿宋" w:hAnsi="仿宋" w:eastAsia="仿宋" w:cs="仿宋"/>
          <w:sz w:val="24"/>
          <w:szCs w:val="24"/>
        </w:rPr>
        <w:t>。</w:t>
      </w:r>
      <w:bookmarkEnd w:id="13"/>
    </w:p>
    <w:p>
      <w:pPr>
        <w:pageBreakBefore w:val="0"/>
        <w:widowControl w:val="0"/>
        <w:kinsoku/>
        <w:overflowPunct/>
        <w:autoSpaceDE/>
        <w:autoSpaceDN/>
        <w:bidi w:val="0"/>
        <w:adjustRightInd/>
        <w:snapToGrid/>
        <w:spacing w:line="420" w:lineRule="exact"/>
        <w:ind w:firstLine="480" w:firstLineChars="200"/>
        <w:textAlignment w:val="auto"/>
        <w:rPr>
          <w:rFonts w:hint="default" w:ascii="仿宋" w:hAnsi="仿宋" w:eastAsia="仿宋" w:cs="仿宋"/>
          <w:sz w:val="24"/>
          <w:szCs w:val="24"/>
          <w:lang w:val="en-US" w:eastAsia="zh-CN"/>
        </w:rPr>
      </w:pPr>
      <w:r>
        <w:rPr>
          <w:rFonts w:hint="eastAsia" w:ascii="仿宋" w:hAnsi="仿宋" w:eastAsia="仿宋" w:cs="仿宋"/>
          <w:sz w:val="24"/>
          <w:szCs w:val="24"/>
        </w:rPr>
        <w:t>本次招标不接受联合体投标。</w:t>
      </w:r>
    </w:p>
    <w:p>
      <w:pPr>
        <w:rPr>
          <w:rFonts w:hint="default" w:ascii="Times New Roman" w:hAnsi="Times New Roman" w:eastAsia="仿宋" w:cs="Times New Roman"/>
          <w:b/>
          <w:bCs/>
          <w:sz w:val="24"/>
          <w:lang w:val="en-US" w:eastAsia="zh-CN"/>
        </w:rPr>
      </w:pPr>
    </w:p>
    <w:p>
      <w:pPr>
        <w:keepNext/>
        <w:keepLines/>
        <w:pageBreakBefore w:val="0"/>
        <w:widowControl w:val="0"/>
        <w:kinsoku/>
        <w:overflowPunct/>
        <w:autoSpaceDE/>
        <w:autoSpaceDN/>
        <w:bidi w:val="0"/>
        <w:adjustRightInd/>
        <w:snapToGrid/>
        <w:spacing w:before="156" w:beforeLines="50" w:line="420" w:lineRule="exact"/>
        <w:textAlignment w:val="auto"/>
        <w:outlineLvl w:val="1"/>
        <w:rPr>
          <w:rFonts w:hint="eastAsia" w:ascii="仿宋" w:hAnsi="仿宋" w:eastAsia="仿宋" w:cs="仿宋"/>
          <w:b/>
          <w:sz w:val="24"/>
          <w:szCs w:val="24"/>
          <w:lang w:eastAsia="zh-CN"/>
        </w:rPr>
      </w:pPr>
      <w:r>
        <w:rPr>
          <w:rFonts w:hint="eastAsia" w:ascii="仿宋" w:hAnsi="仿宋" w:eastAsia="仿宋" w:cs="仿宋"/>
          <w:b/>
          <w:sz w:val="24"/>
          <w:szCs w:val="24"/>
          <w:lang w:val="en-US" w:eastAsia="zh-CN"/>
        </w:rPr>
        <w:t>四．</w:t>
      </w:r>
      <w:r>
        <w:rPr>
          <w:rFonts w:hint="default" w:ascii="仿宋" w:hAnsi="仿宋" w:eastAsia="仿宋" w:cs="仿宋"/>
          <w:b/>
          <w:sz w:val="24"/>
          <w:szCs w:val="24"/>
        </w:rPr>
        <w:t>评标办法</w:t>
      </w:r>
      <w:r>
        <w:rPr>
          <w:rFonts w:hint="eastAsia" w:ascii="仿宋" w:hAnsi="仿宋" w:eastAsia="仿宋" w:cs="仿宋"/>
          <w:b/>
          <w:sz w:val="24"/>
          <w:szCs w:val="24"/>
          <w:lang w:eastAsia="zh-CN"/>
        </w:rPr>
        <w:t>（双信封合理低价法）</w:t>
      </w:r>
    </w:p>
    <w:p>
      <w:pPr>
        <w:jc w:val="left"/>
        <w:rPr>
          <w:rFonts w:eastAsia="仿宋"/>
          <w:b/>
          <w:bCs/>
          <w:sz w:val="24"/>
        </w:rPr>
      </w:pPr>
      <w:bookmarkStart w:id="14" w:name="_Toc17624"/>
      <w:bookmarkStart w:id="15" w:name="_Toc235938058"/>
      <w:bookmarkStart w:id="16" w:name="_Toc12798"/>
      <w:bookmarkStart w:id="17" w:name="_Toc234439453"/>
      <w:bookmarkStart w:id="18" w:name="_Toc235937587"/>
      <w:bookmarkStart w:id="19" w:name="_Toc31177"/>
      <w:bookmarkStart w:id="20" w:name="_Toc9895"/>
      <w:bookmarkStart w:id="21" w:name="_Toc234382652"/>
      <w:bookmarkStart w:id="22" w:name="_Toc240163142"/>
      <w:r>
        <w:rPr>
          <w:rFonts w:eastAsia="仿宋"/>
          <w:b/>
          <w:bCs/>
          <w:sz w:val="24"/>
        </w:rPr>
        <w:t>评标办法前附表</w:t>
      </w:r>
      <w:bookmarkEnd w:id="14"/>
      <w:bookmarkEnd w:id="15"/>
      <w:bookmarkEnd w:id="16"/>
      <w:bookmarkEnd w:id="17"/>
      <w:bookmarkEnd w:id="18"/>
      <w:bookmarkEnd w:id="19"/>
      <w:bookmarkEnd w:id="20"/>
      <w:bookmarkEnd w:id="21"/>
      <w:bookmarkEnd w:id="22"/>
    </w:p>
    <w:tbl>
      <w:tblPr>
        <w:tblStyle w:val="10"/>
        <w:tblW w:w="965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669"/>
        <w:gridCol w:w="69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69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sz w:val="21"/>
                <w:szCs w:val="21"/>
              </w:rPr>
            </w:pPr>
            <w:r>
              <w:rPr>
                <w:rFonts w:hint="eastAsia" w:ascii="仿宋" w:hAnsi="仿宋" w:eastAsia="仿宋" w:cs="仿宋"/>
                <w:b/>
                <w:sz w:val="21"/>
                <w:szCs w:val="21"/>
              </w:rPr>
              <w:t>条款号</w:t>
            </w:r>
          </w:p>
        </w:tc>
        <w:tc>
          <w:tcPr>
            <w:tcW w:w="69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sz w:val="21"/>
                <w:szCs w:val="21"/>
              </w:rPr>
            </w:pPr>
            <w:r>
              <w:rPr>
                <w:rFonts w:hint="eastAsia" w:ascii="仿宋" w:hAnsi="仿宋" w:eastAsia="仿宋" w:cs="仿宋"/>
                <w:b/>
                <w:sz w:val="21"/>
                <w:szCs w:val="21"/>
              </w:rPr>
              <w:t>评审因素与评审标准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1</w:t>
            </w:r>
          </w:p>
        </w:tc>
        <w:tc>
          <w:tcPr>
            <w:tcW w:w="16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评标方法</w:t>
            </w:r>
          </w:p>
        </w:tc>
        <w:tc>
          <w:tcPr>
            <w:tcW w:w="6960" w:type="dxa"/>
            <w:tcBorders>
              <w:tl2br w:val="nil"/>
              <w:tr2bl w:val="nil"/>
            </w:tcBorders>
            <w:vAlign w:val="center"/>
          </w:tcPr>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b/>
                <w:bCs/>
                <w:sz w:val="21"/>
                <w:szCs w:val="21"/>
              </w:rPr>
            </w:pPr>
            <w:r>
              <w:rPr>
                <w:rFonts w:hint="eastAsia" w:ascii="仿宋" w:hAnsi="仿宋" w:eastAsia="仿宋" w:cs="仿宋"/>
                <w:b/>
                <w:bCs/>
                <w:sz w:val="21"/>
                <w:szCs w:val="21"/>
              </w:rPr>
              <w:t>综合评分相等时，评标委员会依次按照以下优先顺序推荐中标候选人：</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sz w:val="21"/>
                <w:szCs w:val="21"/>
              </w:rPr>
            </w:pPr>
            <w:r>
              <w:rPr>
                <w:rFonts w:hint="eastAsia" w:ascii="仿宋" w:hAnsi="仿宋" w:eastAsia="仿宋" w:cs="仿宋"/>
                <w:sz w:val="21"/>
                <w:szCs w:val="21"/>
              </w:rPr>
              <w:t>（1）评标价低的投标人优先；</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sz w:val="21"/>
                <w:szCs w:val="21"/>
              </w:rPr>
            </w:pPr>
            <w:r>
              <w:rPr>
                <w:rFonts w:hint="eastAsia" w:ascii="仿宋" w:hAnsi="仿宋" w:eastAsia="仿宋" w:cs="仿宋"/>
                <w:sz w:val="21"/>
                <w:szCs w:val="21"/>
              </w:rPr>
              <w:t>（2）信用评价等级较高者优先（信用评价以山西省交通运输厅最新发布的公路建设市场信用评价结果为准，如无山西省交通运输厅公路建设市场信用评价结果则以交通运输部最新发布的公路建设市场全国综合信用评价结果为准。若在交通运输部和山西省交通运输厅均无信用评价结果，按B级对待。）；</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sz w:val="21"/>
                <w:szCs w:val="21"/>
              </w:rPr>
            </w:pPr>
            <w:r>
              <w:rPr>
                <w:rFonts w:hint="eastAsia" w:ascii="仿宋" w:hAnsi="仿宋" w:eastAsia="仿宋" w:cs="仿宋"/>
                <w:sz w:val="21"/>
                <w:szCs w:val="21"/>
              </w:rPr>
              <w:t>（3）最终投标文件上传至交易平台较早的投标人优先。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2.1.1</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2.1.3</w:t>
            </w:r>
          </w:p>
        </w:tc>
        <w:tc>
          <w:tcPr>
            <w:tcW w:w="16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形式评审与响应性评审标准（第一个信封）</w:t>
            </w:r>
          </w:p>
        </w:tc>
        <w:tc>
          <w:tcPr>
            <w:tcW w:w="6960" w:type="dxa"/>
            <w:tcBorders>
              <w:tl2br w:val="nil"/>
              <w:tr2bl w:val="nil"/>
            </w:tcBorders>
            <w:vAlign w:val="center"/>
          </w:tcPr>
          <w:p>
            <w:pPr>
              <w:tabs>
                <w:tab w:val="left" w:pos="0"/>
                <w:tab w:val="left" w:pos="879"/>
              </w:tabs>
              <w:adjustRightInd w:val="0"/>
              <w:snapToGrid w:val="0"/>
              <w:spacing w:line="360" w:lineRule="auto"/>
              <w:ind w:left="29" w:firstLine="140"/>
              <w:rPr>
                <w:rFonts w:hint="eastAsia" w:ascii="仿宋" w:hAnsi="仿宋" w:eastAsia="仿宋" w:cs="仿宋"/>
                <w:sz w:val="21"/>
                <w:szCs w:val="21"/>
              </w:rPr>
            </w:pPr>
            <w:r>
              <w:rPr>
                <w:rFonts w:hint="eastAsia" w:ascii="仿宋" w:hAnsi="仿宋" w:eastAsia="仿宋" w:cs="仿宋"/>
                <w:bCs/>
                <w:sz w:val="21"/>
                <w:szCs w:val="21"/>
              </w:rPr>
              <w:t>（1）第一个信封（商务及技</w:t>
            </w:r>
            <w:r>
              <w:rPr>
                <w:rFonts w:hint="eastAsia" w:ascii="仿宋" w:hAnsi="仿宋" w:eastAsia="仿宋" w:cs="仿宋"/>
                <w:sz w:val="21"/>
                <w:szCs w:val="21"/>
              </w:rPr>
              <w:t>术文件）电子投标文件满足招标文件第二章“投标人须知”第3条规定；</w:t>
            </w:r>
          </w:p>
          <w:p>
            <w:pPr>
              <w:tabs>
                <w:tab w:val="left" w:pos="0"/>
                <w:tab w:val="left" w:pos="879"/>
              </w:tabs>
              <w:adjustRightInd w:val="0"/>
              <w:snapToGrid w:val="0"/>
              <w:spacing w:line="360" w:lineRule="auto"/>
              <w:ind w:left="29" w:firstLine="140"/>
              <w:rPr>
                <w:rFonts w:hint="eastAsia" w:ascii="仿宋" w:hAnsi="仿宋" w:eastAsia="仿宋" w:cs="仿宋"/>
                <w:sz w:val="21"/>
                <w:szCs w:val="21"/>
              </w:rPr>
            </w:pPr>
            <w:r>
              <w:rPr>
                <w:rFonts w:hint="eastAsia" w:ascii="仿宋" w:hAnsi="仿宋" w:eastAsia="仿宋" w:cs="仿宋"/>
                <w:sz w:val="21"/>
                <w:szCs w:val="21"/>
              </w:rPr>
              <w:t>（2）投标人名称与资质证书、营业执照、安全生产许可证和基本账户开户许可证（基本存款账户信息）上载明的相一致，提供的复印件清晰可辨；</w:t>
            </w:r>
          </w:p>
          <w:p>
            <w:pPr>
              <w:tabs>
                <w:tab w:val="left" w:pos="0"/>
                <w:tab w:val="left" w:pos="879"/>
              </w:tabs>
              <w:adjustRightInd w:val="0"/>
              <w:snapToGrid w:val="0"/>
              <w:spacing w:line="360" w:lineRule="auto"/>
              <w:ind w:left="29" w:firstLine="140"/>
              <w:rPr>
                <w:rFonts w:hint="eastAsia" w:ascii="仿宋" w:hAnsi="仿宋" w:eastAsia="仿宋" w:cs="仿宋"/>
                <w:sz w:val="21"/>
                <w:szCs w:val="21"/>
              </w:rPr>
            </w:pPr>
            <w:r>
              <w:rPr>
                <w:rFonts w:hint="eastAsia" w:ascii="仿宋" w:hAnsi="仿宋" w:eastAsia="仿宋" w:cs="仿宋"/>
                <w:sz w:val="21"/>
                <w:szCs w:val="21"/>
              </w:rPr>
              <w:t>（3）第一个信封（商务及技术文件）按照招标文件规定的格式、内容填写，字迹清晰可辨：</w:t>
            </w:r>
          </w:p>
          <w:p>
            <w:pPr>
              <w:tabs>
                <w:tab w:val="left" w:pos="0"/>
                <w:tab w:val="left" w:pos="879"/>
              </w:tabs>
              <w:adjustRightInd w:val="0"/>
              <w:snapToGrid w:val="0"/>
              <w:spacing w:line="360" w:lineRule="auto"/>
              <w:ind w:left="29" w:firstLine="140"/>
              <w:rPr>
                <w:rFonts w:hint="eastAsia" w:ascii="仿宋" w:hAnsi="仿宋" w:eastAsia="仿宋" w:cs="仿宋"/>
                <w:sz w:val="21"/>
                <w:szCs w:val="21"/>
              </w:rPr>
            </w:pPr>
            <w:r>
              <w:rPr>
                <w:rFonts w:hint="eastAsia" w:ascii="仿宋" w:hAnsi="仿宋" w:eastAsia="仿宋" w:cs="仿宋"/>
                <w:sz w:val="21"/>
                <w:szCs w:val="21"/>
              </w:rPr>
              <w:t>a.投标函按招标文件规定填报了项目名称、标段号、补遗书编号（如有）、项目经理、项目总工、工期、工程质量及安全目标；</w:t>
            </w:r>
          </w:p>
          <w:p>
            <w:pPr>
              <w:tabs>
                <w:tab w:val="left" w:pos="0"/>
                <w:tab w:val="left" w:pos="879"/>
              </w:tabs>
              <w:adjustRightInd w:val="0"/>
              <w:snapToGrid w:val="0"/>
              <w:spacing w:line="360" w:lineRule="auto"/>
              <w:ind w:left="29" w:firstLine="140"/>
              <w:rPr>
                <w:rFonts w:hint="eastAsia" w:ascii="仿宋" w:hAnsi="仿宋" w:eastAsia="仿宋" w:cs="仿宋"/>
                <w:sz w:val="21"/>
                <w:szCs w:val="21"/>
              </w:rPr>
            </w:pPr>
            <w:r>
              <w:rPr>
                <w:rFonts w:hint="eastAsia" w:ascii="仿宋" w:hAnsi="仿宋" w:eastAsia="仿宋" w:cs="仿宋"/>
                <w:sz w:val="21"/>
                <w:szCs w:val="21"/>
              </w:rPr>
              <w:t>b.投标函附录的所有数据均符合招标文件规定；</w:t>
            </w:r>
          </w:p>
          <w:p>
            <w:pPr>
              <w:tabs>
                <w:tab w:val="left" w:pos="0"/>
                <w:tab w:val="left" w:pos="879"/>
              </w:tabs>
              <w:adjustRightInd w:val="0"/>
              <w:snapToGrid w:val="0"/>
              <w:spacing w:line="360" w:lineRule="auto"/>
              <w:ind w:left="29" w:firstLine="140"/>
              <w:rPr>
                <w:rFonts w:hint="eastAsia" w:ascii="仿宋" w:hAnsi="仿宋" w:eastAsia="仿宋" w:cs="仿宋"/>
                <w:sz w:val="21"/>
                <w:szCs w:val="21"/>
              </w:rPr>
            </w:pPr>
            <w:r>
              <w:rPr>
                <w:rFonts w:hint="eastAsia" w:ascii="仿宋" w:hAnsi="仿宋" w:eastAsia="仿宋" w:cs="仿宋"/>
                <w:sz w:val="21"/>
                <w:szCs w:val="21"/>
              </w:rPr>
              <w:t>c.第一个信封（商务及技术文件）内容齐全完整，内容均按规定填写；</w:t>
            </w:r>
          </w:p>
          <w:p>
            <w:pPr>
              <w:tabs>
                <w:tab w:val="left" w:pos="0"/>
                <w:tab w:val="left" w:pos="879"/>
              </w:tabs>
              <w:adjustRightInd w:val="0"/>
              <w:snapToGrid w:val="0"/>
              <w:spacing w:line="360" w:lineRule="auto"/>
              <w:ind w:left="29" w:firstLine="140"/>
              <w:rPr>
                <w:rFonts w:hint="eastAsia" w:ascii="仿宋" w:hAnsi="仿宋" w:eastAsia="仿宋" w:cs="仿宋"/>
                <w:sz w:val="21"/>
                <w:szCs w:val="21"/>
              </w:rPr>
            </w:pPr>
            <w:r>
              <w:rPr>
                <w:rFonts w:hint="eastAsia" w:ascii="仿宋" w:hAnsi="仿宋" w:eastAsia="仿宋" w:cs="仿宋"/>
                <w:sz w:val="21"/>
                <w:szCs w:val="21"/>
              </w:rPr>
              <w:t>d.按规定提供了拟投入主要人员的证件复印件，证件清晰可辨、有效。</w:t>
            </w:r>
          </w:p>
          <w:p>
            <w:pPr>
              <w:tabs>
                <w:tab w:val="left" w:pos="0"/>
                <w:tab w:val="left" w:pos="879"/>
              </w:tabs>
              <w:adjustRightInd w:val="0"/>
              <w:snapToGrid w:val="0"/>
              <w:spacing w:line="360" w:lineRule="auto"/>
              <w:ind w:left="29" w:firstLine="140"/>
              <w:rPr>
                <w:rFonts w:hint="eastAsia" w:ascii="仿宋" w:hAnsi="仿宋" w:eastAsia="仿宋" w:cs="仿宋"/>
                <w:bCs/>
                <w:sz w:val="21"/>
                <w:szCs w:val="21"/>
              </w:rPr>
            </w:pPr>
            <w:r>
              <w:rPr>
                <w:rFonts w:hint="eastAsia" w:ascii="仿宋" w:hAnsi="仿宋" w:eastAsia="仿宋" w:cs="仿宋"/>
                <w:sz w:val="21"/>
                <w:szCs w:val="21"/>
              </w:rPr>
              <w:t>（4）投标文件上法定代表人的电子签名、投标人单位的电子签章齐全，符合</w:t>
            </w:r>
            <w:r>
              <w:rPr>
                <w:rFonts w:hint="eastAsia" w:ascii="仿宋" w:hAnsi="仿宋" w:eastAsia="仿宋" w:cs="仿宋"/>
                <w:bCs/>
                <w:sz w:val="21"/>
                <w:szCs w:val="21"/>
              </w:rPr>
              <w:t>招标文件规定</w:t>
            </w:r>
            <w:r>
              <w:rPr>
                <w:rFonts w:hint="eastAsia" w:ascii="仿宋" w:hAnsi="仿宋" w:eastAsia="仿宋" w:cs="仿宋"/>
                <w:sz w:val="21"/>
                <w:szCs w:val="21"/>
              </w:rPr>
              <w:t>；</w:t>
            </w:r>
          </w:p>
          <w:p>
            <w:pPr>
              <w:tabs>
                <w:tab w:val="left" w:pos="0"/>
                <w:tab w:val="left" w:pos="879"/>
              </w:tabs>
              <w:adjustRightInd w:val="0"/>
              <w:snapToGrid w:val="0"/>
              <w:spacing w:line="360" w:lineRule="auto"/>
              <w:ind w:left="29" w:firstLine="140"/>
              <w:rPr>
                <w:rFonts w:hint="eastAsia" w:ascii="仿宋" w:hAnsi="仿宋" w:eastAsia="仿宋" w:cs="仿宋"/>
                <w:sz w:val="21"/>
                <w:szCs w:val="21"/>
              </w:rPr>
            </w:pPr>
            <w:r>
              <w:rPr>
                <w:rFonts w:hint="eastAsia" w:ascii="仿宋" w:hAnsi="仿宋" w:eastAsia="仿宋" w:cs="仿宋"/>
                <w:bCs/>
                <w:sz w:val="21"/>
                <w:szCs w:val="21"/>
              </w:rPr>
              <w:t>（5）投标人按照招</w:t>
            </w:r>
            <w:r>
              <w:rPr>
                <w:rFonts w:hint="eastAsia" w:ascii="仿宋" w:hAnsi="仿宋" w:eastAsia="仿宋" w:cs="仿宋"/>
                <w:sz w:val="21"/>
                <w:szCs w:val="21"/>
              </w:rPr>
              <w:t>标文件规定提供了投标保证金：</w:t>
            </w:r>
          </w:p>
          <w:p>
            <w:pPr>
              <w:tabs>
                <w:tab w:val="left" w:pos="0"/>
                <w:tab w:val="left" w:pos="879"/>
              </w:tabs>
              <w:adjustRightInd w:val="0"/>
              <w:snapToGrid w:val="0"/>
              <w:spacing w:line="360" w:lineRule="auto"/>
              <w:ind w:left="29" w:firstLine="140"/>
              <w:rPr>
                <w:rFonts w:hint="eastAsia" w:ascii="仿宋" w:hAnsi="仿宋" w:eastAsia="仿宋" w:cs="仿宋"/>
                <w:sz w:val="21"/>
                <w:szCs w:val="21"/>
              </w:rPr>
            </w:pPr>
            <w:r>
              <w:rPr>
                <w:rFonts w:hint="eastAsia" w:ascii="仿宋" w:hAnsi="仿宋" w:eastAsia="仿宋" w:cs="仿宋"/>
                <w:sz w:val="21"/>
                <w:szCs w:val="21"/>
              </w:rPr>
              <w:t>a.投标保证金金额符合招标文件规定的金额，且投标保证金有效期不少于投标有效期；</w:t>
            </w:r>
          </w:p>
          <w:p>
            <w:pPr>
              <w:tabs>
                <w:tab w:val="left" w:pos="0"/>
                <w:tab w:val="left" w:pos="879"/>
              </w:tabs>
              <w:adjustRightInd w:val="0"/>
              <w:snapToGrid w:val="0"/>
              <w:spacing w:line="360" w:lineRule="auto"/>
              <w:ind w:left="29" w:firstLine="140"/>
              <w:rPr>
                <w:rFonts w:hint="eastAsia" w:ascii="仿宋" w:hAnsi="仿宋" w:eastAsia="仿宋" w:cs="仿宋"/>
                <w:sz w:val="21"/>
                <w:szCs w:val="21"/>
              </w:rPr>
            </w:pPr>
            <w:r>
              <w:rPr>
                <w:rFonts w:hint="eastAsia" w:ascii="仿宋" w:hAnsi="仿宋" w:eastAsia="仿宋" w:cs="仿宋"/>
                <w:sz w:val="21"/>
                <w:szCs w:val="21"/>
              </w:rPr>
              <w:t>b.若投标保证金采用现金或支票形式提交，投标人应在递交投标文件截止时间之前，将投标保证金由投标人的基本账户转入招标人指定账户；</w:t>
            </w:r>
          </w:p>
          <w:p>
            <w:pPr>
              <w:tabs>
                <w:tab w:val="left" w:pos="0"/>
                <w:tab w:val="left" w:pos="879"/>
              </w:tabs>
              <w:adjustRightInd w:val="0"/>
              <w:snapToGrid w:val="0"/>
              <w:spacing w:line="360" w:lineRule="auto"/>
              <w:ind w:left="29" w:firstLine="140"/>
              <w:rPr>
                <w:rFonts w:hint="eastAsia" w:ascii="仿宋" w:hAnsi="仿宋" w:eastAsia="仿宋" w:cs="仿宋"/>
                <w:sz w:val="21"/>
                <w:szCs w:val="21"/>
              </w:rPr>
            </w:pPr>
            <w:r>
              <w:rPr>
                <w:rFonts w:hint="eastAsia" w:ascii="仿宋" w:hAnsi="仿宋" w:eastAsia="仿宋" w:cs="仿宋"/>
                <w:sz w:val="21"/>
                <w:szCs w:val="21"/>
              </w:rPr>
              <w:t>c.若投标保证金采用保函形式提交，保函的格式、开具保函的</w:t>
            </w:r>
            <w:r>
              <w:rPr>
                <w:rFonts w:hint="eastAsia" w:ascii="仿宋" w:hAnsi="仿宋" w:eastAsia="仿宋" w:cs="仿宋"/>
                <w:sz w:val="21"/>
                <w:szCs w:val="21"/>
                <w:lang w:val="en-US" w:eastAsia="zh-CN"/>
              </w:rPr>
              <w:t>机构</w:t>
            </w:r>
            <w:r>
              <w:rPr>
                <w:rFonts w:hint="eastAsia" w:ascii="仿宋" w:hAnsi="仿宋" w:eastAsia="仿宋" w:cs="仿宋"/>
                <w:sz w:val="21"/>
                <w:szCs w:val="21"/>
              </w:rPr>
              <w:t>均满足招标文件要求，且在递交投标文件截止时间之前向招标人提交了保函原件</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非电子保函</w:t>
            </w:r>
            <w:r>
              <w:rPr>
                <w:rFonts w:hint="eastAsia" w:ascii="仿宋" w:hAnsi="仿宋" w:eastAsia="仿宋" w:cs="仿宋"/>
                <w:sz w:val="21"/>
                <w:szCs w:val="21"/>
                <w:lang w:eastAsia="zh-CN"/>
              </w:rPr>
              <w:t>）。</w:t>
            </w:r>
          </w:p>
          <w:p>
            <w:pPr>
              <w:tabs>
                <w:tab w:val="left" w:pos="0"/>
                <w:tab w:val="left" w:pos="879"/>
              </w:tabs>
              <w:adjustRightInd w:val="0"/>
              <w:snapToGrid w:val="0"/>
              <w:spacing w:line="360" w:lineRule="auto"/>
              <w:ind w:left="29" w:firstLine="140"/>
              <w:rPr>
                <w:rFonts w:hint="eastAsia" w:ascii="仿宋" w:hAnsi="仿宋" w:eastAsia="仿宋" w:cs="仿宋"/>
                <w:sz w:val="21"/>
                <w:szCs w:val="21"/>
              </w:rPr>
            </w:pPr>
            <w:r>
              <w:rPr>
                <w:rFonts w:hint="eastAsia" w:ascii="仿宋" w:hAnsi="仿宋" w:eastAsia="仿宋" w:cs="仿宋"/>
                <w:sz w:val="21"/>
                <w:szCs w:val="21"/>
              </w:rPr>
              <w:t>（6）提供了法定代表人身份证明；</w:t>
            </w:r>
          </w:p>
          <w:p>
            <w:pPr>
              <w:tabs>
                <w:tab w:val="left" w:pos="0"/>
                <w:tab w:val="left" w:pos="879"/>
              </w:tabs>
              <w:adjustRightInd w:val="0"/>
              <w:snapToGrid w:val="0"/>
              <w:spacing w:line="360" w:lineRule="auto"/>
              <w:ind w:left="29" w:firstLine="140"/>
              <w:rPr>
                <w:rFonts w:hint="eastAsia" w:ascii="仿宋" w:hAnsi="仿宋" w:eastAsia="仿宋" w:cs="仿宋"/>
                <w:bCs/>
                <w:sz w:val="21"/>
                <w:szCs w:val="21"/>
                <w:lang w:eastAsia="zh-CN"/>
              </w:rPr>
            </w:pPr>
            <w:r>
              <w:rPr>
                <w:rFonts w:hint="eastAsia" w:ascii="仿宋" w:hAnsi="仿宋" w:eastAsia="仿宋" w:cs="仿宋"/>
                <w:bCs/>
                <w:sz w:val="21"/>
                <w:szCs w:val="21"/>
              </w:rPr>
              <w:t>（7）投标人</w:t>
            </w:r>
            <w:r>
              <w:rPr>
                <w:rFonts w:hint="eastAsia" w:ascii="仿宋" w:hAnsi="仿宋" w:eastAsia="仿宋" w:cs="仿宋"/>
                <w:bCs/>
                <w:sz w:val="21"/>
                <w:szCs w:val="21"/>
                <w:lang w:val="en-US" w:eastAsia="zh-CN"/>
              </w:rPr>
              <w:t>未</w:t>
            </w:r>
            <w:r>
              <w:rPr>
                <w:rFonts w:hint="eastAsia" w:ascii="仿宋" w:hAnsi="仿宋" w:eastAsia="仿宋" w:cs="仿宋"/>
                <w:bCs/>
                <w:sz w:val="21"/>
                <w:szCs w:val="21"/>
              </w:rPr>
              <w:t>以联合</w:t>
            </w:r>
            <w:r>
              <w:rPr>
                <w:rFonts w:hint="eastAsia" w:ascii="仿宋" w:hAnsi="仿宋" w:eastAsia="仿宋" w:cs="仿宋"/>
                <w:sz w:val="21"/>
                <w:szCs w:val="21"/>
              </w:rPr>
              <w:t>体形</w:t>
            </w:r>
            <w:r>
              <w:rPr>
                <w:rFonts w:hint="eastAsia" w:ascii="仿宋" w:hAnsi="仿宋" w:eastAsia="仿宋" w:cs="仿宋"/>
                <w:bCs/>
                <w:sz w:val="21"/>
                <w:szCs w:val="21"/>
              </w:rPr>
              <w:t>式</w:t>
            </w:r>
            <w:r>
              <w:rPr>
                <w:rFonts w:hint="eastAsia" w:ascii="仿宋" w:hAnsi="仿宋" w:eastAsia="仿宋" w:cs="仿宋"/>
                <w:bCs/>
                <w:sz w:val="21"/>
                <w:szCs w:val="21"/>
                <w:lang w:val="en-US" w:eastAsia="zh-CN"/>
              </w:rPr>
              <w:t>参与</w:t>
            </w:r>
            <w:r>
              <w:rPr>
                <w:rFonts w:hint="eastAsia" w:ascii="仿宋" w:hAnsi="仿宋" w:eastAsia="仿宋" w:cs="仿宋"/>
                <w:bCs/>
                <w:sz w:val="21"/>
                <w:szCs w:val="21"/>
              </w:rPr>
              <w:t>投标</w:t>
            </w:r>
            <w:r>
              <w:rPr>
                <w:rFonts w:hint="eastAsia" w:ascii="仿宋" w:hAnsi="仿宋" w:eastAsia="仿宋" w:cs="仿宋"/>
                <w:bCs/>
                <w:sz w:val="21"/>
                <w:szCs w:val="21"/>
                <w:lang w:eastAsia="zh-CN"/>
              </w:rPr>
              <w:t>；</w:t>
            </w:r>
          </w:p>
          <w:p>
            <w:pPr>
              <w:tabs>
                <w:tab w:val="left" w:pos="0"/>
                <w:tab w:val="left" w:pos="879"/>
              </w:tabs>
              <w:adjustRightInd w:val="0"/>
              <w:snapToGrid w:val="0"/>
              <w:spacing w:line="360" w:lineRule="auto"/>
              <w:ind w:left="29" w:firstLine="140"/>
              <w:rPr>
                <w:rFonts w:hint="eastAsia" w:ascii="仿宋" w:hAnsi="仿宋" w:eastAsia="仿宋" w:cs="仿宋"/>
                <w:sz w:val="21"/>
                <w:szCs w:val="21"/>
                <w:lang w:eastAsia="zh-CN"/>
              </w:rPr>
            </w:pPr>
            <w:r>
              <w:rPr>
                <w:rFonts w:hint="eastAsia" w:ascii="仿宋" w:hAnsi="仿宋" w:eastAsia="仿宋" w:cs="仿宋"/>
                <w:sz w:val="21"/>
                <w:szCs w:val="21"/>
              </w:rPr>
              <w:t>（8）投标人</w:t>
            </w:r>
            <w:r>
              <w:rPr>
                <w:rFonts w:hint="eastAsia" w:ascii="仿宋" w:hAnsi="仿宋" w:eastAsia="仿宋" w:cs="仿宋"/>
                <w:sz w:val="21"/>
                <w:szCs w:val="21"/>
                <w:lang w:val="en-US" w:eastAsia="zh-CN"/>
              </w:rPr>
              <w:t>未</w:t>
            </w:r>
            <w:r>
              <w:rPr>
                <w:rFonts w:hint="eastAsia" w:ascii="仿宋" w:hAnsi="仿宋" w:eastAsia="仿宋" w:cs="仿宋"/>
                <w:sz w:val="21"/>
                <w:szCs w:val="21"/>
              </w:rPr>
              <w:t>有分包计划</w:t>
            </w:r>
            <w:r>
              <w:rPr>
                <w:rFonts w:hint="eastAsia" w:ascii="仿宋" w:hAnsi="仿宋" w:eastAsia="仿宋" w:cs="仿宋"/>
                <w:sz w:val="21"/>
                <w:szCs w:val="21"/>
                <w:lang w:eastAsia="zh-CN"/>
              </w:rPr>
              <w:t>；</w:t>
            </w:r>
          </w:p>
          <w:p>
            <w:pPr>
              <w:tabs>
                <w:tab w:val="left" w:pos="0"/>
                <w:tab w:val="left" w:pos="879"/>
              </w:tabs>
              <w:adjustRightInd w:val="0"/>
              <w:snapToGrid w:val="0"/>
              <w:spacing w:line="360" w:lineRule="auto"/>
              <w:ind w:left="29" w:firstLine="140"/>
              <w:rPr>
                <w:rFonts w:hint="eastAsia" w:ascii="仿宋" w:hAnsi="仿宋" w:eastAsia="仿宋" w:cs="仿宋"/>
                <w:sz w:val="21"/>
                <w:szCs w:val="21"/>
              </w:rPr>
            </w:pPr>
            <w:r>
              <w:rPr>
                <w:rFonts w:hint="eastAsia" w:ascii="仿宋" w:hAnsi="仿宋" w:eastAsia="仿宋" w:cs="仿宋"/>
                <w:sz w:val="21"/>
                <w:szCs w:val="21"/>
              </w:rPr>
              <w:t>（9）同一投标人未提交两个以上不同的投标文件；</w:t>
            </w:r>
          </w:p>
          <w:p>
            <w:pPr>
              <w:tabs>
                <w:tab w:val="left" w:pos="0"/>
                <w:tab w:val="left" w:pos="879"/>
              </w:tabs>
              <w:adjustRightInd w:val="0"/>
              <w:snapToGrid w:val="0"/>
              <w:spacing w:line="360" w:lineRule="auto"/>
              <w:ind w:left="29" w:firstLine="140"/>
              <w:rPr>
                <w:rFonts w:hint="eastAsia" w:ascii="仿宋" w:hAnsi="仿宋" w:eastAsia="仿宋" w:cs="仿宋"/>
                <w:sz w:val="21"/>
                <w:szCs w:val="21"/>
              </w:rPr>
            </w:pPr>
            <w:r>
              <w:rPr>
                <w:rFonts w:hint="eastAsia" w:ascii="仿宋" w:hAnsi="仿宋" w:eastAsia="仿宋" w:cs="仿宋"/>
                <w:sz w:val="21"/>
                <w:szCs w:val="21"/>
              </w:rPr>
              <w:t>（10）第一个信封（商务及技术文件）中未出现有关投标报价的内容；</w:t>
            </w:r>
          </w:p>
          <w:p>
            <w:pPr>
              <w:tabs>
                <w:tab w:val="left" w:pos="0"/>
                <w:tab w:val="left" w:pos="879"/>
              </w:tabs>
              <w:adjustRightInd w:val="0"/>
              <w:snapToGrid w:val="0"/>
              <w:spacing w:line="360" w:lineRule="auto"/>
              <w:ind w:left="29" w:firstLine="140"/>
              <w:rPr>
                <w:rFonts w:hint="eastAsia" w:ascii="仿宋" w:hAnsi="仿宋" w:eastAsia="仿宋" w:cs="仿宋"/>
                <w:sz w:val="21"/>
                <w:szCs w:val="21"/>
              </w:rPr>
            </w:pPr>
            <w:r>
              <w:rPr>
                <w:rFonts w:hint="eastAsia" w:ascii="仿宋" w:hAnsi="仿宋" w:eastAsia="仿宋" w:cs="仿宋"/>
                <w:sz w:val="21"/>
                <w:szCs w:val="21"/>
              </w:rPr>
              <w:t>（11）第一个信封（商务及技术文件）载明的招标项目完成期限未超过招标文件规定的时限；</w:t>
            </w:r>
          </w:p>
          <w:p>
            <w:pPr>
              <w:tabs>
                <w:tab w:val="left" w:pos="0"/>
                <w:tab w:val="left" w:pos="879"/>
              </w:tabs>
              <w:adjustRightInd w:val="0"/>
              <w:snapToGrid w:val="0"/>
              <w:spacing w:line="360" w:lineRule="auto"/>
              <w:ind w:left="29" w:firstLine="140"/>
              <w:rPr>
                <w:rFonts w:hint="eastAsia" w:ascii="仿宋" w:hAnsi="仿宋" w:eastAsia="仿宋" w:cs="仿宋"/>
                <w:sz w:val="21"/>
                <w:szCs w:val="21"/>
              </w:rPr>
            </w:pPr>
            <w:r>
              <w:rPr>
                <w:rFonts w:hint="eastAsia" w:ascii="仿宋" w:hAnsi="仿宋" w:eastAsia="仿宋" w:cs="仿宋"/>
                <w:sz w:val="21"/>
                <w:szCs w:val="21"/>
              </w:rPr>
              <w:t>（12）第一个信封（商务及技术文件）对招标文件的实质性要求和条件作出响应；</w:t>
            </w:r>
          </w:p>
          <w:p>
            <w:pPr>
              <w:tabs>
                <w:tab w:val="left" w:pos="0"/>
                <w:tab w:val="left" w:pos="879"/>
              </w:tabs>
              <w:adjustRightInd w:val="0"/>
              <w:snapToGrid w:val="0"/>
              <w:spacing w:line="360" w:lineRule="auto"/>
              <w:ind w:left="29" w:firstLine="140"/>
              <w:rPr>
                <w:rFonts w:hint="eastAsia" w:ascii="仿宋" w:hAnsi="仿宋" w:eastAsia="仿宋" w:cs="仿宋"/>
                <w:sz w:val="21"/>
                <w:szCs w:val="21"/>
              </w:rPr>
            </w:pPr>
            <w:r>
              <w:rPr>
                <w:rFonts w:hint="eastAsia" w:ascii="仿宋" w:hAnsi="仿宋" w:eastAsia="仿宋" w:cs="仿宋"/>
                <w:sz w:val="21"/>
                <w:szCs w:val="21"/>
              </w:rPr>
              <w:t>（13）权利义务符合招标文件规定：</w:t>
            </w:r>
          </w:p>
          <w:p>
            <w:pPr>
              <w:tabs>
                <w:tab w:val="left" w:pos="0"/>
                <w:tab w:val="left" w:pos="879"/>
              </w:tabs>
              <w:adjustRightInd w:val="0"/>
              <w:snapToGrid w:val="0"/>
              <w:spacing w:line="360" w:lineRule="auto"/>
              <w:ind w:left="29" w:firstLine="140"/>
              <w:rPr>
                <w:rFonts w:hint="eastAsia" w:ascii="仿宋" w:hAnsi="仿宋" w:eastAsia="仿宋" w:cs="仿宋"/>
                <w:sz w:val="21"/>
                <w:szCs w:val="21"/>
              </w:rPr>
            </w:pPr>
            <w:r>
              <w:rPr>
                <w:rFonts w:hint="eastAsia" w:ascii="仿宋" w:hAnsi="仿宋" w:eastAsia="仿宋" w:cs="仿宋"/>
                <w:sz w:val="21"/>
                <w:szCs w:val="21"/>
              </w:rPr>
              <w:t>a.投标人应接受招标文件规定的风险划分原则，未提出新的风险划分办法；</w:t>
            </w:r>
          </w:p>
          <w:p>
            <w:pPr>
              <w:tabs>
                <w:tab w:val="left" w:pos="0"/>
                <w:tab w:val="left" w:pos="879"/>
              </w:tabs>
              <w:adjustRightInd w:val="0"/>
              <w:snapToGrid w:val="0"/>
              <w:spacing w:line="360" w:lineRule="auto"/>
              <w:ind w:left="29" w:firstLine="140"/>
              <w:rPr>
                <w:rFonts w:hint="eastAsia" w:ascii="仿宋" w:hAnsi="仿宋" w:eastAsia="仿宋" w:cs="仿宋"/>
                <w:sz w:val="21"/>
                <w:szCs w:val="21"/>
              </w:rPr>
            </w:pPr>
            <w:r>
              <w:rPr>
                <w:rFonts w:hint="eastAsia" w:ascii="仿宋" w:hAnsi="仿宋" w:eastAsia="仿宋" w:cs="仿宋"/>
                <w:sz w:val="21"/>
                <w:szCs w:val="21"/>
              </w:rPr>
              <w:t>b.投标人未增加发包人的责任范围，或减少投标人义务；</w:t>
            </w:r>
          </w:p>
          <w:p>
            <w:pPr>
              <w:tabs>
                <w:tab w:val="left" w:pos="0"/>
                <w:tab w:val="left" w:pos="879"/>
              </w:tabs>
              <w:adjustRightInd w:val="0"/>
              <w:snapToGrid w:val="0"/>
              <w:spacing w:line="360" w:lineRule="auto"/>
              <w:ind w:left="29" w:firstLine="140"/>
              <w:rPr>
                <w:rFonts w:hint="eastAsia" w:ascii="仿宋" w:hAnsi="仿宋" w:eastAsia="仿宋" w:cs="仿宋"/>
                <w:sz w:val="21"/>
                <w:szCs w:val="21"/>
              </w:rPr>
            </w:pPr>
            <w:r>
              <w:rPr>
                <w:rFonts w:hint="eastAsia" w:ascii="仿宋" w:hAnsi="仿宋" w:eastAsia="仿宋" w:cs="仿宋"/>
                <w:sz w:val="21"/>
                <w:szCs w:val="21"/>
              </w:rPr>
              <w:t>c.投标人未提出不同的工程验收、计量、支付办法；</w:t>
            </w:r>
          </w:p>
          <w:p>
            <w:pPr>
              <w:tabs>
                <w:tab w:val="left" w:pos="0"/>
                <w:tab w:val="left" w:pos="879"/>
              </w:tabs>
              <w:adjustRightInd w:val="0"/>
              <w:snapToGrid w:val="0"/>
              <w:spacing w:line="360" w:lineRule="auto"/>
              <w:ind w:left="29" w:firstLine="140"/>
              <w:rPr>
                <w:rFonts w:hint="eastAsia" w:ascii="仿宋" w:hAnsi="仿宋" w:eastAsia="仿宋" w:cs="仿宋"/>
                <w:sz w:val="21"/>
                <w:szCs w:val="21"/>
              </w:rPr>
            </w:pPr>
            <w:r>
              <w:rPr>
                <w:rFonts w:hint="eastAsia" w:ascii="仿宋" w:hAnsi="仿宋" w:eastAsia="仿宋" w:cs="仿宋"/>
                <w:sz w:val="21"/>
                <w:szCs w:val="21"/>
              </w:rPr>
              <w:t>d.投标人对合同纠纷、事故处理办法未提出异议；</w:t>
            </w:r>
          </w:p>
          <w:p>
            <w:pPr>
              <w:tabs>
                <w:tab w:val="left" w:pos="0"/>
                <w:tab w:val="left" w:pos="879"/>
              </w:tabs>
              <w:adjustRightInd w:val="0"/>
              <w:snapToGrid w:val="0"/>
              <w:spacing w:line="360" w:lineRule="auto"/>
              <w:ind w:left="29" w:firstLine="140"/>
              <w:rPr>
                <w:rFonts w:hint="eastAsia" w:ascii="仿宋" w:hAnsi="仿宋" w:eastAsia="仿宋" w:cs="仿宋"/>
                <w:sz w:val="21"/>
                <w:szCs w:val="21"/>
              </w:rPr>
            </w:pPr>
            <w:r>
              <w:rPr>
                <w:rFonts w:hint="eastAsia" w:ascii="仿宋" w:hAnsi="仿宋" w:eastAsia="仿宋" w:cs="仿宋"/>
                <w:sz w:val="21"/>
                <w:szCs w:val="21"/>
              </w:rPr>
              <w:t>e.投标人在投标活动中无欺诈行为；</w:t>
            </w:r>
          </w:p>
          <w:p>
            <w:pPr>
              <w:tabs>
                <w:tab w:val="left" w:pos="0"/>
                <w:tab w:val="left" w:pos="879"/>
              </w:tabs>
              <w:adjustRightInd w:val="0"/>
              <w:snapToGrid w:val="0"/>
              <w:spacing w:line="360" w:lineRule="auto"/>
              <w:ind w:left="29" w:firstLine="140"/>
              <w:rPr>
                <w:rFonts w:hint="eastAsia" w:ascii="仿宋" w:hAnsi="仿宋" w:eastAsia="仿宋" w:cs="仿宋"/>
                <w:sz w:val="21"/>
                <w:szCs w:val="21"/>
              </w:rPr>
            </w:pPr>
            <w:r>
              <w:rPr>
                <w:rFonts w:hint="eastAsia" w:ascii="仿宋" w:hAnsi="仿宋" w:eastAsia="仿宋" w:cs="仿宋"/>
                <w:sz w:val="21"/>
                <w:szCs w:val="21"/>
              </w:rPr>
              <w:t>f.投标人未对合同条款有重要保留。</w:t>
            </w:r>
          </w:p>
          <w:p>
            <w:pPr>
              <w:tabs>
                <w:tab w:val="left" w:pos="0"/>
                <w:tab w:val="left" w:pos="879"/>
              </w:tabs>
              <w:adjustRightInd w:val="0"/>
              <w:snapToGrid w:val="0"/>
              <w:spacing w:line="360" w:lineRule="auto"/>
              <w:ind w:left="29" w:firstLine="140"/>
              <w:rPr>
                <w:rFonts w:hint="eastAsia" w:ascii="仿宋" w:hAnsi="仿宋" w:eastAsia="仿宋" w:cs="仿宋"/>
                <w:sz w:val="21"/>
                <w:szCs w:val="21"/>
              </w:rPr>
            </w:pPr>
            <w:r>
              <w:rPr>
                <w:rFonts w:hint="eastAsia" w:ascii="仿宋" w:hAnsi="仿宋" w:eastAsia="仿宋" w:cs="仿宋"/>
                <w:sz w:val="21"/>
                <w:szCs w:val="21"/>
              </w:rPr>
              <w:t>（14）投标人技术能力和以往履约信誉符合招标文件的规定，不得存在以下问题。存在以下问题之一的，属于重大偏差：</w:t>
            </w:r>
          </w:p>
          <w:p>
            <w:pPr>
              <w:tabs>
                <w:tab w:val="left" w:pos="0"/>
                <w:tab w:val="left" w:pos="879"/>
              </w:tabs>
              <w:adjustRightInd w:val="0"/>
              <w:snapToGrid w:val="0"/>
              <w:spacing w:line="360" w:lineRule="auto"/>
              <w:ind w:left="29" w:firstLine="140"/>
              <w:rPr>
                <w:rFonts w:hint="eastAsia" w:ascii="仿宋" w:hAnsi="仿宋" w:eastAsia="仿宋" w:cs="仿宋"/>
                <w:sz w:val="21"/>
                <w:szCs w:val="21"/>
              </w:rPr>
            </w:pPr>
            <w:r>
              <w:rPr>
                <w:rFonts w:hint="eastAsia" w:ascii="仿宋" w:hAnsi="仿宋" w:eastAsia="仿宋" w:cs="仿宋"/>
                <w:sz w:val="21"/>
                <w:szCs w:val="21"/>
              </w:rPr>
              <w:t>a.承诺的质量检验标准低于招标文件或国家强制性标准要求；</w:t>
            </w:r>
          </w:p>
          <w:p>
            <w:pPr>
              <w:tabs>
                <w:tab w:val="left" w:pos="0"/>
                <w:tab w:val="left" w:pos="879"/>
              </w:tabs>
              <w:adjustRightInd w:val="0"/>
              <w:snapToGrid w:val="0"/>
              <w:spacing w:line="360" w:lineRule="auto"/>
              <w:ind w:left="29" w:firstLine="140"/>
              <w:rPr>
                <w:rFonts w:hint="eastAsia" w:ascii="仿宋" w:hAnsi="仿宋" w:eastAsia="仿宋" w:cs="仿宋"/>
                <w:sz w:val="21"/>
                <w:szCs w:val="21"/>
              </w:rPr>
            </w:pPr>
            <w:r>
              <w:rPr>
                <w:rFonts w:hint="eastAsia" w:ascii="仿宋" w:hAnsi="仿宋" w:eastAsia="仿宋" w:cs="仿宋"/>
                <w:sz w:val="21"/>
                <w:szCs w:val="21"/>
              </w:rPr>
              <w:t>b.业绩、人员、财务及履约信誉等证明材料存在虚假。</w:t>
            </w:r>
          </w:p>
          <w:p>
            <w:pPr>
              <w:tabs>
                <w:tab w:val="left" w:pos="0"/>
                <w:tab w:val="left" w:pos="879"/>
              </w:tabs>
              <w:adjustRightInd w:val="0"/>
              <w:snapToGrid w:val="0"/>
              <w:spacing w:line="360" w:lineRule="auto"/>
              <w:ind w:left="29" w:firstLine="140"/>
              <w:rPr>
                <w:rFonts w:hint="eastAsia" w:ascii="仿宋" w:hAnsi="仿宋" w:eastAsia="仿宋" w:cs="仿宋"/>
                <w:bCs/>
                <w:sz w:val="21"/>
                <w:szCs w:val="21"/>
                <w:lang w:eastAsia="zh-CN"/>
              </w:rPr>
            </w:pP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15</w:t>
            </w:r>
            <w:r>
              <w:rPr>
                <w:rFonts w:hint="eastAsia" w:ascii="仿宋" w:hAnsi="仿宋" w:eastAsia="仿宋" w:cs="仿宋"/>
                <w:sz w:val="21"/>
                <w:szCs w:val="21"/>
                <w:lang w:eastAsia="zh-CN"/>
              </w:rPr>
              <w:t>）满足投标人须知前附表第10.7款的要求。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42" w:hRule="atLeast"/>
          <w:jc w:val="center"/>
        </w:trPr>
        <w:tc>
          <w:tcPr>
            <w:tcW w:w="10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2.1.2</w:t>
            </w:r>
          </w:p>
        </w:tc>
        <w:tc>
          <w:tcPr>
            <w:tcW w:w="16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资格评审标准</w:t>
            </w:r>
          </w:p>
        </w:tc>
        <w:tc>
          <w:tcPr>
            <w:tcW w:w="6960" w:type="dxa"/>
            <w:tcBorders>
              <w:tl2br w:val="nil"/>
              <w:tr2bl w:val="nil"/>
            </w:tcBorders>
            <w:vAlign w:val="center"/>
          </w:tcPr>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sz w:val="21"/>
                <w:szCs w:val="21"/>
              </w:rPr>
            </w:pPr>
            <w:r>
              <w:rPr>
                <w:rFonts w:hint="eastAsia" w:ascii="仿宋" w:hAnsi="仿宋" w:eastAsia="仿宋" w:cs="仿宋"/>
                <w:sz w:val="21"/>
                <w:szCs w:val="21"/>
              </w:rPr>
              <w:t>（1）投标人具备有效的营业执照、资质证书、安全生产许可证和基本账户开户许可证（基本存款账户信息）；</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sz w:val="21"/>
                <w:szCs w:val="21"/>
              </w:rPr>
            </w:pPr>
            <w:r>
              <w:rPr>
                <w:rFonts w:hint="eastAsia" w:ascii="仿宋" w:hAnsi="仿宋" w:eastAsia="仿宋" w:cs="仿宋"/>
                <w:sz w:val="21"/>
                <w:szCs w:val="21"/>
              </w:rPr>
              <w:t>（2）投标人的资质等级符合招标文件投标人须知附录1的规定；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sz w:val="21"/>
                <w:szCs w:val="21"/>
              </w:rPr>
            </w:pPr>
            <w:r>
              <w:rPr>
                <w:rFonts w:hint="eastAsia" w:ascii="仿宋" w:hAnsi="仿宋" w:eastAsia="仿宋" w:cs="仿宋"/>
                <w:sz w:val="21"/>
                <w:szCs w:val="21"/>
              </w:rPr>
              <w:t>（3）投标人的财务状况应符合招标文件投标人须知附录2的规定；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sz w:val="21"/>
                <w:szCs w:val="21"/>
              </w:rPr>
            </w:pPr>
            <w:r>
              <w:rPr>
                <w:rFonts w:hint="eastAsia" w:ascii="仿宋" w:hAnsi="仿宋" w:eastAsia="仿宋" w:cs="仿宋"/>
                <w:sz w:val="21"/>
                <w:szCs w:val="21"/>
              </w:rPr>
              <w:t>（4）投标人的类似项目业绩符合招标文件投标人须知附录3的规定；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sz w:val="21"/>
                <w:szCs w:val="21"/>
              </w:rPr>
            </w:pPr>
            <w:r>
              <w:rPr>
                <w:rFonts w:hint="eastAsia" w:ascii="仿宋" w:hAnsi="仿宋" w:eastAsia="仿宋" w:cs="仿宋"/>
                <w:sz w:val="21"/>
                <w:szCs w:val="21"/>
              </w:rPr>
              <w:t>（5）投标人的信誉符合招标文件投标人须知附录4的规定；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sz w:val="21"/>
                <w:szCs w:val="21"/>
              </w:rPr>
            </w:pPr>
            <w:r>
              <w:rPr>
                <w:rFonts w:hint="eastAsia" w:ascii="仿宋" w:hAnsi="仿宋" w:eastAsia="仿宋" w:cs="仿宋"/>
                <w:sz w:val="21"/>
                <w:szCs w:val="21"/>
              </w:rPr>
              <w:t>（6）投标人的项目经理和项目总工资格、在岗情况符合招标文件投标人须知附录5的规定；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sz w:val="21"/>
                <w:szCs w:val="21"/>
              </w:rPr>
            </w:pPr>
            <w:r>
              <w:rPr>
                <w:rFonts w:hint="eastAsia" w:ascii="仿宋" w:hAnsi="仿宋" w:eastAsia="仿宋" w:cs="仿宋"/>
                <w:sz w:val="21"/>
                <w:szCs w:val="21"/>
              </w:rPr>
              <w:t>（7）投标人不存在第二章“投标人须知”第1.4.3项或第1.4.4项规定的任何一种情形。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2.1.1</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2.1.3</w:t>
            </w:r>
          </w:p>
        </w:tc>
        <w:tc>
          <w:tcPr>
            <w:tcW w:w="16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 w:hAnsi="仿宋" w:eastAsia="仿宋" w:cs="仿宋"/>
                <w:sz w:val="21"/>
                <w:szCs w:val="21"/>
              </w:rPr>
            </w:pPr>
            <w:r>
              <w:rPr>
                <w:rFonts w:hint="eastAsia" w:ascii="仿宋" w:hAnsi="仿宋" w:eastAsia="仿宋" w:cs="仿宋"/>
                <w:sz w:val="21"/>
                <w:szCs w:val="21"/>
              </w:rPr>
              <w:t>形式评审与响应性评审标准（第二个信封）</w:t>
            </w:r>
          </w:p>
        </w:tc>
        <w:tc>
          <w:tcPr>
            <w:tcW w:w="6960" w:type="dxa"/>
            <w:tcBorders>
              <w:tl2br w:val="nil"/>
              <w:tr2bl w:val="nil"/>
            </w:tcBorders>
            <w:vAlign w:val="center"/>
          </w:tcPr>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sz w:val="21"/>
                <w:szCs w:val="21"/>
              </w:rPr>
            </w:pPr>
            <w:r>
              <w:rPr>
                <w:rFonts w:hint="eastAsia" w:ascii="仿宋" w:hAnsi="仿宋" w:eastAsia="仿宋" w:cs="仿宋"/>
                <w:sz w:val="21"/>
                <w:szCs w:val="21"/>
              </w:rPr>
              <w:t>（1）第二个信封（报价文件）电子投标文件满足招标文件第二章“投标人须知”第3条规定；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sz w:val="21"/>
                <w:szCs w:val="21"/>
              </w:rPr>
            </w:pPr>
            <w:r>
              <w:rPr>
                <w:rFonts w:hint="eastAsia" w:ascii="仿宋" w:hAnsi="仿宋" w:eastAsia="仿宋" w:cs="仿宋"/>
                <w:sz w:val="21"/>
                <w:szCs w:val="21"/>
              </w:rPr>
              <w:t>（2）第二个信封（报价文件）按照招标文件规定的格式、内容填写，字迹清晰可辨：</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sz w:val="21"/>
                <w:szCs w:val="21"/>
              </w:rPr>
            </w:pPr>
            <w:r>
              <w:rPr>
                <w:rFonts w:hint="eastAsia" w:ascii="仿宋" w:hAnsi="仿宋" w:eastAsia="仿宋" w:cs="仿宋"/>
                <w:sz w:val="21"/>
                <w:szCs w:val="21"/>
              </w:rPr>
              <w:t>a.投标函按招标文件规定填报了项目名称、标段号、补遗书编号（如有）、投标价（包括大写金额和小写金额）；</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sz w:val="21"/>
                <w:szCs w:val="21"/>
              </w:rPr>
            </w:pPr>
            <w:r>
              <w:rPr>
                <w:rFonts w:hint="eastAsia" w:ascii="仿宋" w:hAnsi="仿宋" w:eastAsia="仿宋" w:cs="仿宋"/>
                <w:sz w:val="21"/>
                <w:szCs w:val="21"/>
              </w:rPr>
              <w:t>b.第二个信封（报价文件）组成齐全完整，内容均按规定填写；</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sz w:val="21"/>
                <w:szCs w:val="21"/>
              </w:rPr>
            </w:pPr>
            <w:r>
              <w:rPr>
                <w:rFonts w:hint="eastAsia" w:ascii="仿宋" w:hAnsi="仿宋" w:eastAsia="仿宋" w:cs="仿宋"/>
                <w:sz w:val="21"/>
                <w:szCs w:val="21"/>
              </w:rPr>
              <w:t>（3）第二个信封（报价文件）上法定代表人的电子签名、投标人单位的电子签章齐全，符合招标文件规定；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sz w:val="21"/>
                <w:szCs w:val="21"/>
              </w:rPr>
            </w:pPr>
            <w:r>
              <w:rPr>
                <w:rFonts w:hint="eastAsia" w:ascii="仿宋" w:hAnsi="仿宋" w:eastAsia="仿宋" w:cs="仿宋"/>
                <w:sz w:val="21"/>
                <w:szCs w:val="21"/>
              </w:rPr>
              <w:t>（4）投标报价的大写金额能够确定具体数值；</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sz w:val="21"/>
                <w:szCs w:val="21"/>
              </w:rPr>
            </w:pPr>
            <w:r>
              <w:rPr>
                <w:rFonts w:hint="eastAsia" w:ascii="仿宋" w:hAnsi="仿宋" w:eastAsia="仿宋" w:cs="仿宋"/>
                <w:sz w:val="21"/>
                <w:szCs w:val="21"/>
              </w:rPr>
              <w:t>（5）同一投标人未提交两个以上不同的投标报价；</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sz w:val="21"/>
                <w:szCs w:val="21"/>
                <w:lang w:eastAsia="zh-CN"/>
              </w:rPr>
            </w:pPr>
            <w:r>
              <w:rPr>
                <w:rFonts w:hint="eastAsia" w:ascii="仿宋" w:hAnsi="仿宋" w:eastAsia="仿宋" w:cs="仿宋"/>
                <w:sz w:val="21"/>
                <w:szCs w:val="21"/>
              </w:rPr>
              <w:t>（6）投标报价未超过招标文件设定的最高投标限价（如有）</w:t>
            </w:r>
            <w:r>
              <w:rPr>
                <w:rFonts w:hint="eastAsia" w:ascii="仿宋" w:hAnsi="仿宋" w:eastAsia="仿宋" w:cs="仿宋"/>
                <w:sz w:val="21"/>
                <w:szCs w:val="21"/>
                <w:lang w:eastAsia="zh-CN"/>
              </w:rPr>
              <w:t>；</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sz w:val="21"/>
                <w:szCs w:val="21"/>
              </w:rPr>
            </w:pPr>
            <w:r>
              <w:rPr>
                <w:rFonts w:hint="eastAsia" w:ascii="仿宋" w:hAnsi="仿宋" w:eastAsia="仿宋" w:cs="仿宋"/>
                <w:sz w:val="21"/>
                <w:szCs w:val="21"/>
              </w:rPr>
              <w:t>（7）满足投标人须知前附表第10.7款的要求。</w:t>
            </w:r>
          </w:p>
        </w:tc>
      </w:tr>
    </w:tbl>
    <w:p>
      <w:pPr>
        <w:pStyle w:val="2"/>
        <w:spacing w:line="240" w:lineRule="exact"/>
        <w:jc w:val="right"/>
        <w:rPr>
          <w:rFonts w:ascii="Times New Roman" w:eastAsia="仿宋"/>
          <w:sz w:val="24"/>
        </w:rPr>
      </w:pPr>
      <w:r>
        <w:rPr>
          <w:rFonts w:ascii="Times New Roman" w:eastAsia="仿宋"/>
          <w:sz w:val="24"/>
        </w:rPr>
        <w:br w:type="page"/>
      </w:r>
      <w:bookmarkStart w:id="46" w:name="_GoBack"/>
      <w:bookmarkEnd w:id="46"/>
    </w:p>
    <w:p/>
    <w:tbl>
      <w:tblPr>
        <w:tblStyle w:val="10"/>
        <w:tblW w:w="971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99"/>
        <w:gridCol w:w="1584"/>
        <w:gridCol w:w="70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2.2.1</w:t>
            </w:r>
          </w:p>
        </w:tc>
        <w:tc>
          <w:tcPr>
            <w:tcW w:w="15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分值构成</w:t>
            </w:r>
          </w:p>
        </w:tc>
        <w:tc>
          <w:tcPr>
            <w:tcW w:w="7036" w:type="dxa"/>
            <w:tcBorders>
              <w:tl2br w:val="nil"/>
              <w:tr2bl w:val="nil"/>
            </w:tcBorders>
            <w:vAlign w:val="center"/>
          </w:tcPr>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评标价：100分</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信用得分：见2.2.4（</w:t>
            </w:r>
            <w:r>
              <w:rPr>
                <w:rFonts w:hint="eastAsia" w:ascii="仿宋" w:hAnsi="仿宋" w:eastAsia="仿宋" w:cs="仿宋"/>
                <w:b/>
                <w:bCs/>
                <w:color w:val="auto"/>
                <w:sz w:val="21"/>
                <w:szCs w:val="21"/>
                <w:lang w:val="en-US" w:eastAsia="zh-CN"/>
              </w:rPr>
              <w:t>2</w:t>
            </w:r>
            <w:r>
              <w:rPr>
                <w:rFonts w:hint="eastAsia" w:ascii="仿宋" w:hAnsi="仿宋" w:eastAsia="仿宋" w:cs="仿宋"/>
                <w:b/>
                <w:bCs/>
                <w:color w:val="auto"/>
                <w:sz w:val="21"/>
                <w:szCs w:val="21"/>
              </w:rPr>
              <w:t>）款</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color w:val="auto"/>
                <w:sz w:val="21"/>
                <w:szCs w:val="21"/>
              </w:rPr>
            </w:pPr>
            <w:r>
              <w:rPr>
                <w:rFonts w:hint="eastAsia" w:ascii="仿宋" w:hAnsi="仿宋" w:eastAsia="仿宋" w:cs="仿宋"/>
                <w:b/>
                <w:bCs/>
                <w:color w:val="auto"/>
                <w:sz w:val="21"/>
                <w:szCs w:val="21"/>
              </w:rPr>
              <w:t>其他因素分值均为0分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2.2.2</w:t>
            </w:r>
          </w:p>
        </w:tc>
        <w:tc>
          <w:tcPr>
            <w:tcW w:w="15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评标基准价计算方法</w:t>
            </w:r>
          </w:p>
        </w:tc>
        <w:tc>
          <w:tcPr>
            <w:tcW w:w="7036" w:type="dxa"/>
            <w:tcBorders>
              <w:tl2br w:val="nil"/>
              <w:tr2bl w:val="nil"/>
            </w:tcBorders>
            <w:vAlign w:val="center"/>
          </w:tcPr>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评标基准价的计算：</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（1）评标价的确定：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评标价＝投标报价函文字报价</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未按照招标文件规定提交保证金和出现第二章“投标人须知”第5.2.4项所规定情况的投标文件，其投标报价不参与任何计算。</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（2）确定最终最高投标限价G2</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第一个信封开标时随机抽取最高投标限价的下浮系数X1。</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（X1为0.5%（含）～3％（含）中，按照步长0.5％取值，随机从中抽取一个）。</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最终最高投标限价G2=G1×（1-X1）</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G1=各标段最高投标限价（含暂列金额）。</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如投标人评标价高于本标段的G2，则视其为超出招标人的支付能力，将不再参与后续任何计算，按投标无效处理。</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（3）确定理论成本价LC</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同一标段中不高于G2的评标价的算术平均值的50%与G2的50%相加后，乘以成本价系数Z所得数值为该标段的理论成本价。</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LC=（0.5×G2+0.5×SP1）×0.85</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SP1——该标段不高于G2的评标价的算术平均值，当评标价有5个及以上时，应去掉其中的最高值和最低值，再进行算术平均值计算。</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评标价低于理论成本价的，不再参与后续计算。</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（4）确定评标基准价JZ</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评标基准价计算采用以下三种方法，由投标人代表或现场监督在开标时按标段随机抽取一种。在评标过程中，评标委员会应对招标人计算的评标基准价进行复核，存在计算错误的应予以修正并在评标报告中作出说明。除此之外，评标基准价在整个评标期间保持不变，不随任何因素发生变化</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1、评标基准价计算方法1</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评标基准价＝［最终最高投标限价×加权系数＋有效评标价算术平均值×（1-加权系数）］×评标基准价系数</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式中：加权系数应从0.3、0.35、0.4中选取，评标基准价系数应从0.96～0.99（含0.96和0.99，步长0.01）中选取，均由投标人代表或现场监督在开标时随机抽取确定。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有效评标价指介于理论成本价（含）与最终最高投标限价（含）范围内的评标价。当有效评标价数量大于5时，可去掉其中的最高和最低值，再进行有效评标价算术平均值计算。</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color w:val="auto"/>
                <w:sz w:val="21"/>
                <w:szCs w:val="21"/>
              </w:rPr>
            </w:pP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2、评标基准价计算方法2</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招标人设置评标基准价下浮系数K，从0.5%（含）与3%（含）之间，按照步长0.5%，由投标人代表或现场监督在开标时随机抽取确定。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评标基准价=B×（1-K）。</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B值是按以下方式计算所得：将理论成本价（含）与最终最高投标限价（含）范围内的评标价，从高到低划分为5个等差报价区间，对各区间的评标价进行算术平均值计算（“四舍五入”保留小数点后两位，当评标价等于区间临界值时，列入较高一个区间计算平均值，最高评标价不参与区间计算），然后再将各区间的算术平均值（非零）进行第二次算术平均值计算，所得数值即为B值。</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color w:val="auto"/>
                <w:sz w:val="21"/>
                <w:szCs w:val="21"/>
              </w:rPr>
            </w:pP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3、评标基准价计算方法3</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1）评标价平均值确定：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在理论成本价（含）与最终最高投标限价（含）范围内的评标价，由投标人代表按以下原则随机抽取相应数量（四舍五入取整）投标人的评标价，其算术平均值作为评标价平均值。</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（a）有效投标人数量在10（含）以内时，随机抽取50%数量，但不小于3个；</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（b）有效投标人数量在10～20（含）时，随机抽取40%数量，但不小于6个；</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（c）有效投标人数量大于20时，随机抽取30%数量，但不小于9个。</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2）评标基准价的确定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K为评标基准价下浮系数，由投标人代表或现场监督从0.5%（含）~3%（含）中，按照步长0.5%，在开标时随机抽取确定。</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评标基准价=评标价平均值×（1-K）。</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（5）上述相关系数（X1、X2、X3、K）在开标时由投标人推举代表按标段随机抽取。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2.2.3</w:t>
            </w:r>
          </w:p>
        </w:tc>
        <w:tc>
          <w:tcPr>
            <w:tcW w:w="15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评标价的偏差率计算公式</w:t>
            </w:r>
          </w:p>
        </w:tc>
        <w:tc>
          <w:tcPr>
            <w:tcW w:w="7036" w:type="dxa"/>
            <w:tcBorders>
              <w:tl2br w:val="nil"/>
              <w:tr2bl w:val="nil"/>
            </w:tcBorders>
            <w:vAlign w:val="center"/>
          </w:tcPr>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偏差率=100%×（投标人评标价－评标基准价）/评标基准价</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“（投标人评标价－评标基准价）/评标基准价”保留小数点后三位，小数点后第四位“四舍五入”。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2.2.4（1）</w:t>
            </w:r>
          </w:p>
        </w:tc>
        <w:tc>
          <w:tcPr>
            <w:tcW w:w="15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评标价得分</w:t>
            </w:r>
          </w:p>
        </w:tc>
        <w:tc>
          <w:tcPr>
            <w:tcW w:w="7036" w:type="dxa"/>
            <w:tcBorders>
              <w:tl2br w:val="nil"/>
              <w:tr2bl w:val="nil"/>
            </w:tcBorders>
            <w:vAlign w:val="center"/>
          </w:tcPr>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评标价得分计算（满分100 分）：</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评标价得分C的计算公式（得分保留小数点后三位，小数点后第四位“四舍五入”）：</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如果投标人的评标价＞评标基准价，则评标价得分C=100-偏差率×100×</w:t>
            </w:r>
            <w:r>
              <w:rPr>
                <w:rFonts w:hint="eastAsia" w:ascii="仿宋" w:hAnsi="仿宋" w:eastAsia="仿宋" w:cs="仿宋"/>
                <w:b/>
                <w:color w:val="auto"/>
                <w:sz w:val="21"/>
                <w:szCs w:val="21"/>
              </w:rPr>
              <w:t>E1</w:t>
            </w:r>
            <w:r>
              <w:rPr>
                <w:rFonts w:hint="eastAsia" w:ascii="仿宋" w:hAnsi="仿宋" w:eastAsia="仿宋" w:cs="仿宋"/>
                <w:color w:val="auto"/>
                <w:sz w:val="21"/>
                <w:szCs w:val="21"/>
              </w:rPr>
              <w:t>；</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如果投标人的评标价≤评标基准价，则评标价得分C=100+偏差率×100×</w:t>
            </w:r>
            <w:r>
              <w:rPr>
                <w:rFonts w:hint="eastAsia" w:ascii="仿宋" w:hAnsi="仿宋" w:eastAsia="仿宋" w:cs="仿宋"/>
                <w:b/>
                <w:color w:val="auto"/>
                <w:sz w:val="21"/>
                <w:szCs w:val="21"/>
              </w:rPr>
              <w:t>E2</w:t>
            </w:r>
            <w:r>
              <w:rPr>
                <w:rFonts w:hint="eastAsia" w:ascii="仿宋" w:hAnsi="仿宋" w:eastAsia="仿宋" w:cs="仿宋"/>
                <w:color w:val="auto"/>
                <w:sz w:val="21"/>
                <w:szCs w:val="21"/>
              </w:rPr>
              <w:t>。</w:t>
            </w:r>
          </w:p>
          <w:p>
            <w:pPr>
              <w:keepNext w:val="0"/>
              <w:keepLines w:val="0"/>
              <w:pageBreakBefore w:val="0"/>
              <w:widowControl w:val="0"/>
              <w:tabs>
                <w:tab w:val="left" w:pos="0"/>
                <w:tab w:val="left" w:pos="879"/>
              </w:tabs>
              <w:kinsoku/>
              <w:wordWrap/>
              <w:overflowPunct/>
              <w:topLinePunct w:val="0"/>
              <w:autoSpaceDE/>
              <w:autoSpaceDN/>
              <w:bidi w:val="0"/>
              <w:adjustRightInd w:val="0"/>
              <w:snapToGrid w:val="0"/>
              <w:spacing w:line="400" w:lineRule="exact"/>
              <w:ind w:left="29" w:firstLine="14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其中</w:t>
            </w:r>
            <w:r>
              <w:rPr>
                <w:rStyle w:val="12"/>
                <w:rFonts w:hint="eastAsia" w:ascii="仿宋" w:hAnsi="仿宋" w:eastAsia="仿宋" w:cs="仿宋"/>
                <w:color w:val="auto"/>
                <w:sz w:val="21"/>
                <w:szCs w:val="21"/>
              </w:rPr>
              <w:footnoteReference w:id="0"/>
            </w:r>
            <w:r>
              <w:rPr>
                <w:rFonts w:hint="eastAsia" w:ascii="仿宋" w:hAnsi="仿宋" w:eastAsia="仿宋" w:cs="仿宋"/>
                <w:color w:val="auto"/>
                <w:sz w:val="21"/>
                <w:szCs w:val="21"/>
              </w:rPr>
              <w:t>：</w:t>
            </w:r>
            <w:r>
              <w:rPr>
                <w:rFonts w:hint="eastAsia" w:ascii="仿宋" w:hAnsi="仿宋" w:eastAsia="仿宋" w:cs="仿宋"/>
                <w:b/>
                <w:bCs/>
                <w:color w:val="auto"/>
                <w:sz w:val="21"/>
                <w:szCs w:val="21"/>
              </w:rPr>
              <w:t>E1=1；E2=0.5</w:t>
            </w:r>
            <w:r>
              <w:rPr>
                <w:rFonts w:hint="eastAsia" w:ascii="仿宋" w:hAnsi="仿宋" w:eastAsia="仿宋" w:cs="仿宋"/>
                <w:color w:val="auto"/>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2.2.4（2）</w:t>
            </w:r>
          </w:p>
        </w:tc>
        <w:tc>
          <w:tcPr>
            <w:tcW w:w="15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信用得分</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（D）</w:t>
            </w:r>
            <w:r>
              <w:rPr>
                <w:rStyle w:val="12"/>
                <w:rFonts w:hint="eastAsia" w:ascii="仿宋" w:hAnsi="仿宋" w:eastAsia="仿宋" w:cs="仿宋"/>
                <w:color w:val="auto"/>
                <w:sz w:val="21"/>
                <w:szCs w:val="21"/>
              </w:rPr>
              <w:footnoteReference w:id="1"/>
            </w:r>
          </w:p>
        </w:tc>
        <w:tc>
          <w:tcPr>
            <w:tcW w:w="7036" w:type="dxa"/>
            <w:tcBorders>
              <w:tl2br w:val="nil"/>
              <w:tr2bl w:val="nil"/>
            </w:tcBorders>
            <w:vAlign w:val="center"/>
          </w:tcPr>
          <w:p>
            <w:pPr>
              <w:pStyle w:val="9"/>
              <w:keepNext w:val="0"/>
              <w:keepLines w:val="0"/>
              <w:pageBreakBefore w:val="0"/>
              <w:widowControl w:val="0"/>
              <w:kinsoku/>
              <w:wordWrap/>
              <w:overflowPunct/>
              <w:topLinePunct w:val="0"/>
              <w:autoSpaceDE/>
              <w:autoSpaceDN/>
              <w:bidi w:val="0"/>
              <w:adjustRightInd w:val="0"/>
              <w:snapToGrid w:val="0"/>
              <w:spacing w:line="400" w:lineRule="exact"/>
              <w:ind w:left="2" w:leftChars="1" w:firstLine="357" w:firstLineChars="17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信用评价以山西省交通运输厅最新发布的公路建设市场信用评价结果为准，如无山西省交通运输厅公路建设市场信用评价结果则以交通运输部最新发布的公路建设市场全国综合信用评价结果为准。若在交通运输部和山西省交通运输厅均无信用评价结果，按B级对待。</w:t>
            </w:r>
          </w:p>
          <w:p>
            <w:pPr>
              <w:pStyle w:val="9"/>
              <w:keepNext w:val="0"/>
              <w:keepLines w:val="0"/>
              <w:pageBreakBefore w:val="0"/>
              <w:widowControl w:val="0"/>
              <w:kinsoku/>
              <w:wordWrap/>
              <w:overflowPunct/>
              <w:topLinePunct w:val="0"/>
              <w:autoSpaceDE/>
              <w:autoSpaceDN/>
              <w:bidi w:val="0"/>
              <w:adjustRightInd w:val="0"/>
              <w:snapToGrid w:val="0"/>
              <w:spacing w:line="400" w:lineRule="exact"/>
              <w:ind w:left="2" w:leftChars="1" w:firstLine="357" w:firstLineChars="17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信用得分D计算：</w:t>
            </w:r>
          </w:p>
          <w:p>
            <w:pPr>
              <w:pStyle w:val="9"/>
              <w:keepNext w:val="0"/>
              <w:keepLines w:val="0"/>
              <w:pageBreakBefore w:val="0"/>
              <w:widowControl w:val="0"/>
              <w:kinsoku/>
              <w:wordWrap/>
              <w:overflowPunct/>
              <w:topLinePunct w:val="0"/>
              <w:autoSpaceDE/>
              <w:autoSpaceDN/>
              <w:bidi w:val="0"/>
              <w:adjustRightInd w:val="0"/>
              <w:snapToGrid w:val="0"/>
              <w:spacing w:line="400" w:lineRule="exact"/>
              <w:ind w:left="2" w:leftChars="1" w:firstLine="357" w:firstLineChars="17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依据晋交建管【2010】789号文件《公路施工企业信用评价实施细则（试行）》规定：</w:t>
            </w:r>
          </w:p>
          <w:p>
            <w:pPr>
              <w:pStyle w:val="9"/>
              <w:keepNext w:val="0"/>
              <w:keepLines w:val="0"/>
              <w:pageBreakBefore w:val="0"/>
              <w:widowControl w:val="0"/>
              <w:kinsoku/>
              <w:wordWrap/>
              <w:overflowPunct/>
              <w:topLinePunct w:val="0"/>
              <w:autoSpaceDE/>
              <w:autoSpaceDN/>
              <w:bidi w:val="0"/>
              <w:adjustRightInd w:val="0"/>
              <w:snapToGrid w:val="0"/>
              <w:spacing w:line="400" w:lineRule="exact"/>
              <w:ind w:left="2" w:leftChars="1" w:firstLine="357" w:firstLineChars="17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信用等级为“AA级”的投标人：D=a</w:t>
            </w:r>
          </w:p>
          <w:p>
            <w:pPr>
              <w:pStyle w:val="9"/>
              <w:keepNext w:val="0"/>
              <w:keepLines w:val="0"/>
              <w:pageBreakBefore w:val="0"/>
              <w:widowControl w:val="0"/>
              <w:kinsoku/>
              <w:wordWrap/>
              <w:overflowPunct/>
              <w:topLinePunct w:val="0"/>
              <w:autoSpaceDE/>
              <w:autoSpaceDN/>
              <w:bidi w:val="0"/>
              <w:adjustRightInd w:val="0"/>
              <w:snapToGrid w:val="0"/>
              <w:spacing w:line="400" w:lineRule="exact"/>
              <w:ind w:left="2" w:leftChars="1" w:firstLine="357" w:firstLineChars="17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信用等级为“A级”的投标人：D=0.5a</w:t>
            </w:r>
          </w:p>
          <w:p>
            <w:pPr>
              <w:pStyle w:val="9"/>
              <w:keepNext w:val="0"/>
              <w:keepLines w:val="0"/>
              <w:pageBreakBefore w:val="0"/>
              <w:widowControl w:val="0"/>
              <w:kinsoku/>
              <w:wordWrap/>
              <w:overflowPunct/>
              <w:topLinePunct w:val="0"/>
              <w:autoSpaceDE/>
              <w:autoSpaceDN/>
              <w:bidi w:val="0"/>
              <w:adjustRightInd w:val="0"/>
              <w:snapToGrid w:val="0"/>
              <w:spacing w:line="400" w:lineRule="exact"/>
              <w:ind w:left="2" w:leftChars="1" w:firstLine="357" w:firstLineChars="17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信用等级为“B级”的投标人的：D=0</w:t>
            </w:r>
          </w:p>
          <w:p>
            <w:pPr>
              <w:pStyle w:val="9"/>
              <w:keepNext w:val="0"/>
              <w:keepLines w:val="0"/>
              <w:pageBreakBefore w:val="0"/>
              <w:widowControl w:val="0"/>
              <w:kinsoku/>
              <w:wordWrap/>
              <w:overflowPunct/>
              <w:topLinePunct w:val="0"/>
              <w:autoSpaceDE/>
              <w:autoSpaceDN/>
              <w:bidi w:val="0"/>
              <w:adjustRightInd w:val="0"/>
              <w:snapToGrid w:val="0"/>
              <w:spacing w:line="400" w:lineRule="exact"/>
              <w:ind w:left="2" w:leftChars="1" w:firstLine="357" w:firstLineChars="17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信用等级为“C级”的投标人：D=-0.5a</w:t>
            </w:r>
          </w:p>
          <w:p>
            <w:pPr>
              <w:pStyle w:val="9"/>
              <w:keepNext w:val="0"/>
              <w:keepLines w:val="0"/>
              <w:pageBreakBefore w:val="0"/>
              <w:widowControl w:val="0"/>
              <w:kinsoku/>
              <w:wordWrap/>
              <w:overflowPunct/>
              <w:topLinePunct w:val="0"/>
              <w:autoSpaceDE/>
              <w:autoSpaceDN/>
              <w:bidi w:val="0"/>
              <w:adjustRightInd w:val="0"/>
              <w:snapToGrid w:val="0"/>
              <w:spacing w:line="400" w:lineRule="exact"/>
              <w:ind w:left="2" w:leftChars="1" w:firstLine="357" w:firstLineChars="17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其中：</w:t>
            </w:r>
          </w:p>
          <w:p>
            <w:pPr>
              <w:pStyle w:val="9"/>
              <w:keepNext w:val="0"/>
              <w:keepLines w:val="0"/>
              <w:pageBreakBefore w:val="0"/>
              <w:widowControl w:val="0"/>
              <w:kinsoku/>
              <w:wordWrap/>
              <w:overflowPunct/>
              <w:topLinePunct w:val="0"/>
              <w:autoSpaceDE/>
              <w:autoSpaceDN/>
              <w:bidi w:val="0"/>
              <w:adjustRightInd w:val="0"/>
              <w:snapToGrid w:val="0"/>
              <w:spacing w:line="400" w:lineRule="exact"/>
              <w:ind w:left="2" w:leftChars="1" w:firstLine="357" w:firstLineChars="17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①a=（投标报价排名第一的投标人的评标价得分-投标报价排名第n的投标人的评标价得分）/（n-1）；a值在评标过程中保持不变。</w:t>
            </w:r>
          </w:p>
          <w:p>
            <w:pPr>
              <w:pStyle w:val="9"/>
              <w:keepNext w:val="0"/>
              <w:keepLines w:val="0"/>
              <w:pageBreakBefore w:val="0"/>
              <w:widowControl w:val="0"/>
              <w:kinsoku/>
              <w:wordWrap/>
              <w:overflowPunct/>
              <w:topLinePunct w:val="0"/>
              <w:autoSpaceDE/>
              <w:autoSpaceDN/>
              <w:bidi w:val="0"/>
              <w:adjustRightInd w:val="0"/>
              <w:snapToGrid w:val="0"/>
              <w:spacing w:line="400" w:lineRule="exact"/>
              <w:ind w:left="2" w:leftChars="1" w:firstLine="357" w:firstLineChars="17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②n值选定：依据晋交建管【2011】618号文件，仅对评标价得分排名前五位的投标人进行信用评价得分计算。当参与评标价得分计算的投标人数量≥5时，n=5;参与评标价得分计算的投标人数量＜5时，n按所有参与评标价得分计算的投标人数量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19"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需要补充的其他内容：</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根据晋交建管发【2021】2号文的规定：</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（1）不同投标人间不得有下列情形：</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a.不同投标人的投标文件由同一电子设备编制、打印加密或者上传；</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b.不同投标人的投标文件的实质性内容存在两处以上细节错误一致；</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c.电子投标文件记录的MAC地址、硬盘序列号等硬件信息出现任一相同情况，包含不同投标人在不同批次投标活动中信息相同情况；</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d.投标文件的制作、记录上传IP地址，投标人购买招标文件IP地址等信息出现任一相同情况。</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发现（1）所列情形的，评标委员会应当否决相应投标文件并详细记录至评标报告。因此导致有效投标不足3个使得投标明显缺乏竞争的，可以否决全部投标；未否决全部投标的，评标委员会应当在评标报告中阐明理由并推荐中标候选人。</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（3）发现（1）所列情形的，招标人在评标结束后，应就相关投标人是否涉嫌围标串标行为进行调查取证，形成明确认定意见，逐级备案制交通运输主管部门。</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本项目采用双信封合理低价法进行评标，评标办法正文第3条内容细化如下：</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  评标程序</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评标工作按以下程序进行：</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3.1   第一个信封初步评审</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3.1.1评标委员会依据本章第2.1款规定的标准对投标文件第一个信封（商务及技术文件）进行初步评审。有一项不符合评审标准的，评标委员会应否决其投标。</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3.1.2通过第一个信封评审的投标人不足3个时，所有投标人的第二个信封均不予开标，招标人将重新组织招标。</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3.2  第二个信封开标</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第一个信封（商务及技术文件）评审结束后，招标人将按照第二章“投标人须知”第5.1款规定的时间和地点对通过投标文件第一个信封（商务及技术文件）评审的投标文件第二个信封（报价文件）进行开标。</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3.3  第二个信封初步评审</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3.3.1投标人初步评估得分</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（1）按本章第2.2款规定的量化因素和分值进行打分，并计算出投标人初步评估得分。</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a.按本章第 2.2.4（1）目规定的评审因素和分值对评标价计算出得分A；</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b.按本章第 2.2.4（2）目规定的评审因素和分值对信用得分计算出得分B。</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（2）初步评估得分分值计算保留小数点后两位，小数点后第三位“四舍五入”。</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（3）投标人初步评估得分=A+B</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3.3.2 第二个信封的初步评审</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评标委员会按照投标人初步评估得分由高到低进行排序，对得分前三名的投标人的投标文件依据本章第2.1.1项、第2.1.3项规定的评审标准进行初步评审。有一项不符合评审标准的，其投标将被否决，当前3名投标人的投标文件由于否决投标而不足三份时，由初步评估得分排名紧随其后的投标人的投标文件依次递补。评标委员会对新增加的投标文件进行第二个信封初步评审，并一直保持对三份投标文件进行评审，其余投标文件不进行评审。（经初步评审后不足三份时，按实际投标文件数量评审。）</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3.4  第二个信封详细评审</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3.4.1通过第二个信封（报价文件）的初步评审的投标人，其投标人得分=该投标人的初步评估得分。</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3.4.2评标委员会发现投标人的报价明显低于其他投标报价，使得其投标报价可能低于其个别成本的，应当要求该投标人作出书面说明并提供相应的证明材料。投标人不能合理说明或者不能提供相应证明材料的，评标委员会应认定该投标人以低于成本报价竞标，并否决其投标。</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3.5  投标文件相关信息的核查</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3.5.1 在评标过程中，评标委员会应查询规定网站，对投标人的资质、业绩、主要人员资历和目前在岗情况、信用等级等信息进行核实。若投标文件载明的信息与规定网站发布的信息不符，使得投标人的资格条件不符合招标文件规定的，评标委员会应否决其投标。</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3.5.2 评标委员会应对在评标过程中发现的投标人与投标人之间、投标人与招标人之间存在的串通投标的情形进行评审和认定。投标人存在串通投标、弄虚作假、行贿等违法行为的，评标委员会应否决其投标。</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（1）有下列情形之一的，属于投标人相互串通投标：</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a.投标人之间协商投标报价等投标文件的实质性内容；</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b.投标人之间约定中标人；</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c.投标人之间约定部分投标人放弃投标或中标；</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d.属于同一集团、协会、商会等组织成员的投标人按照该组织要求协同投标；</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e.投标人之间为谋取中标或排斥特定投标人而采取的其他联合行动。</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（2）有下列情形之一的，视为投标人相互串通投标：</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a.不同投标人的投标文件由同一单位或个人编制；</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b.不同投标人委托同一单位或个人办理投标事宜；</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c.不同投标人的投标文件载明的项目管理成员为同一人；</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d.不同投标人的投标文件异常一致或投标报价呈规律性差异；</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e.不同投标人的投标文件相互混装；</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f.不同投标人的投标保证金从同一单位或个人的账户转出；</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g.不同投标人的CA数字证书混用。</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（3）有下列情形之一的，属于招标人与投标人串通投标：</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a.招标人在开标前开启投标文件并将有关信息泄露给其他投标人;</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b.招标人直接或间接向投标人泄露标底、评标委员会成员等信息；</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c.招标人明示或暗示投标人压低或抬高投标报价；</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d.招标人授意投标人撤换、修改投标文件；</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e.招标人明示或暗示投标人为特定投标人中标提供方便；</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f.招标人与投标人为谋求特定投标人中标而采取的其他串通行为。</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（4）投标人有下列情形之一的，属于弄虚作假的行为：</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a.使用通过受让或租借等方式获取的资格、资质证书投标；</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b.使用伪造、变造的许可证件；</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c.提供虚假的财务状况或业绩；</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d.提供虚假的项目负责人或主要技术人员简历、劳动关系证明；</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e.提供虚假的信用状况；</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f.其他弄虚作假的行为。</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3.6  投标文件的澄清和说明</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3.6.1 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3.6.2 澄清和说明不得超出投标文件的范围或改变投标文件的实质性内容（算术性错误修正的除外）。投标人的书面澄清、说明属于投标文件的组成部分。</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3.6.3 评标委员会不得暗示或诱导投标人作出澄清、说明，对投标人提交的澄清、说明有疑问的，可以要求投标人进一步澄清或说明，直至满足评标委员会的要求。</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3.6.4凡超出招标文件规定的或给发包人带来未曾要求的利益的变化、偏差或其他因素在评标时不予考虑。</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3.7  不得否决投标的情形</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投标文件存在第二章“投标人须知”第1.12.3项所列情形的，均视为细微偏差，评标委员会不得否决投标人的投标，应按照第二章“投标人须知”第1.12.4项规定的原则处理。</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3.8   评标结果</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3.8.1 评标委员会根据投标人得分由高到低的顺序，依次推荐1名中标候选人。</w:t>
            </w:r>
          </w:p>
          <w:p>
            <w:pPr>
              <w:keepNext w:val="0"/>
              <w:keepLines w:val="0"/>
              <w:pageBreakBefore w:val="0"/>
              <w:widowControl w:val="0"/>
              <w:kinsoku/>
              <w:wordWrap/>
              <w:overflowPunct/>
              <w:topLinePunct w:val="0"/>
              <w:autoSpaceDE/>
              <w:autoSpaceDN/>
              <w:bidi w:val="0"/>
              <w:adjustRightInd w:val="0"/>
              <w:snapToGrid w:val="0"/>
              <w:spacing w:line="400" w:lineRule="exact"/>
              <w:ind w:left="31680" w:hanging="539" w:hangingChars="257"/>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3.8.2 评标委员会完成评标后，应当向招标人提交书面评标报告并推荐中标候选人。</w:t>
            </w:r>
          </w:p>
        </w:tc>
      </w:tr>
    </w:tbl>
    <w:p>
      <w:pPr>
        <w:ind w:left="482" w:hanging="482" w:hangingChars="200"/>
        <w:rPr>
          <w:rFonts w:eastAsia="仿宋"/>
          <w:b/>
          <w:bCs/>
          <w:sz w:val="24"/>
        </w:rPr>
      </w:pPr>
      <w:r>
        <w:rPr>
          <w:rFonts w:eastAsia="仿宋"/>
          <w:b/>
          <w:bCs/>
          <w:sz w:val="24"/>
        </w:rPr>
        <w:t>评标办法正文内容参见：</w:t>
      </w:r>
    </w:p>
    <w:p>
      <w:pPr>
        <w:adjustRightInd w:val="0"/>
        <w:snapToGrid w:val="0"/>
        <w:spacing w:line="360" w:lineRule="auto"/>
        <w:outlineLvl w:val="2"/>
        <w:rPr>
          <w:rFonts w:hint="eastAsia" w:ascii="仿宋" w:hAnsi="仿宋" w:eastAsia="仿宋" w:cs="仿宋"/>
          <w:b/>
          <w:bCs/>
          <w:sz w:val="24"/>
          <w:szCs w:val="24"/>
        </w:rPr>
      </w:pPr>
      <w:r>
        <w:rPr>
          <w:rFonts w:ascii="Times New Roman" w:eastAsia="仿宋"/>
          <w:b/>
          <w:bCs/>
          <w:sz w:val="24"/>
        </w:rPr>
        <w:t>中华人民共和国交通运输部《公路工程标准施工招标文件》（2018年版）第三章</w:t>
      </w:r>
      <w:r>
        <w:rPr>
          <w:rFonts w:ascii="Times New Roman" w:eastAsia="仿宋"/>
          <w:b/>
          <w:bCs/>
          <w:sz w:val="24"/>
        </w:rPr>
        <w:br w:type="page"/>
      </w:r>
      <w:bookmarkStart w:id="23" w:name="_Toc518427691"/>
      <w:bookmarkStart w:id="24" w:name="_Toc444678080"/>
      <w:r>
        <w:rPr>
          <w:rFonts w:hint="eastAsia" w:ascii="仿宋" w:hAnsi="仿宋" w:eastAsia="仿宋" w:cs="仿宋"/>
          <w:b/>
          <w:bCs/>
          <w:sz w:val="24"/>
          <w:szCs w:val="24"/>
        </w:rPr>
        <w:t>1. 评标方法</w:t>
      </w:r>
      <w:bookmarkEnd w:id="23"/>
      <w:bookmarkEnd w:id="24"/>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次评标采用合理低价法。评标委员会对满足招标文件实质性要求的投标文件，按照本章第2.2款规定的评分标准进行打分，并按得分由高到低顺序推荐中标候选人，或根据招标人授权直接确定中标人，但投标报价低于其成本的除外。综合评分相等时，评标委员会应按照评标办法前附表规定的优先次序推荐中标候选人或确定中标人。</w:t>
      </w:r>
    </w:p>
    <w:p>
      <w:pPr>
        <w:adjustRightInd w:val="0"/>
        <w:snapToGrid w:val="0"/>
        <w:spacing w:line="360" w:lineRule="auto"/>
        <w:outlineLvl w:val="2"/>
        <w:rPr>
          <w:rFonts w:hint="eastAsia" w:ascii="仿宋" w:hAnsi="仿宋" w:eastAsia="仿宋" w:cs="仿宋"/>
          <w:b/>
          <w:bCs/>
          <w:sz w:val="24"/>
          <w:szCs w:val="24"/>
        </w:rPr>
      </w:pPr>
      <w:bookmarkStart w:id="25" w:name="_Toc518427692"/>
      <w:bookmarkStart w:id="26" w:name="_Toc444678081"/>
      <w:r>
        <w:rPr>
          <w:rFonts w:hint="eastAsia" w:ascii="仿宋" w:hAnsi="仿宋" w:eastAsia="仿宋" w:cs="仿宋"/>
          <w:b/>
          <w:bCs/>
          <w:sz w:val="24"/>
          <w:szCs w:val="24"/>
        </w:rPr>
        <w:t>2. 评审标准</w:t>
      </w:r>
      <w:bookmarkEnd w:id="25"/>
      <w:bookmarkEnd w:id="26"/>
    </w:p>
    <w:p>
      <w:pPr>
        <w:pStyle w:val="15"/>
        <w:adjustRightInd w:val="0"/>
        <w:snapToGrid w:val="0"/>
        <w:spacing w:line="360" w:lineRule="auto"/>
        <w:outlineLvl w:val="9"/>
        <w:rPr>
          <w:rFonts w:hint="eastAsia" w:ascii="仿宋" w:hAnsi="仿宋" w:eastAsia="仿宋" w:cs="仿宋"/>
          <w:sz w:val="24"/>
          <w:szCs w:val="24"/>
        </w:rPr>
      </w:pPr>
      <w:r>
        <w:rPr>
          <w:rFonts w:hint="eastAsia" w:ascii="仿宋" w:hAnsi="仿宋" w:eastAsia="仿宋" w:cs="仿宋"/>
          <w:sz w:val="24"/>
          <w:szCs w:val="24"/>
        </w:rPr>
        <w:t>2.1 初步评审标准</w:t>
      </w:r>
    </w:p>
    <w:p>
      <w:pPr>
        <w:adjustRightInd w:val="0"/>
        <w:snapToGrid w:val="0"/>
        <w:spacing w:line="360" w:lineRule="auto"/>
        <w:ind w:firstLine="482" w:firstLineChars="200"/>
        <w:rPr>
          <w:rFonts w:hint="eastAsia" w:ascii="仿宋" w:hAnsi="仿宋" w:eastAsia="仿宋" w:cs="仿宋"/>
          <w:sz w:val="24"/>
          <w:szCs w:val="24"/>
        </w:rPr>
      </w:pPr>
      <w:r>
        <w:rPr>
          <w:rFonts w:hint="eastAsia" w:ascii="仿宋" w:hAnsi="仿宋" w:eastAsia="仿宋" w:cs="仿宋"/>
          <w:b/>
          <w:sz w:val="24"/>
          <w:szCs w:val="24"/>
        </w:rPr>
        <w:t>2.1.1</w:t>
      </w:r>
      <w:r>
        <w:rPr>
          <w:rFonts w:hint="eastAsia" w:ascii="仿宋" w:hAnsi="仿宋" w:eastAsia="仿宋" w:cs="仿宋"/>
          <w:sz w:val="24"/>
          <w:szCs w:val="24"/>
        </w:rPr>
        <w:t xml:space="preserve"> 形式评审标准：见评标办法前附表。</w:t>
      </w:r>
    </w:p>
    <w:p>
      <w:pPr>
        <w:adjustRightInd w:val="0"/>
        <w:snapToGrid w:val="0"/>
        <w:spacing w:line="360" w:lineRule="auto"/>
        <w:ind w:firstLine="482" w:firstLineChars="200"/>
        <w:rPr>
          <w:rFonts w:hint="eastAsia" w:ascii="仿宋" w:hAnsi="仿宋" w:eastAsia="仿宋" w:cs="仿宋"/>
          <w:sz w:val="24"/>
          <w:szCs w:val="24"/>
        </w:rPr>
      </w:pPr>
      <w:r>
        <w:rPr>
          <w:rFonts w:hint="eastAsia" w:ascii="仿宋" w:hAnsi="仿宋" w:eastAsia="仿宋" w:cs="仿宋"/>
          <w:b/>
          <w:sz w:val="24"/>
          <w:szCs w:val="24"/>
        </w:rPr>
        <w:t>2.1.2</w:t>
      </w:r>
      <w:r>
        <w:rPr>
          <w:rFonts w:hint="eastAsia" w:ascii="仿宋" w:hAnsi="仿宋" w:eastAsia="仿宋" w:cs="仿宋"/>
          <w:sz w:val="24"/>
          <w:szCs w:val="24"/>
        </w:rPr>
        <w:t xml:space="preserve"> 资格评审标准：见评标办法前附表（适用于未进行资格预审的）。</w:t>
      </w:r>
    </w:p>
    <w:p>
      <w:pPr>
        <w:adjustRightInd w:val="0"/>
        <w:snapToGrid w:val="0"/>
        <w:spacing w:line="360" w:lineRule="auto"/>
        <w:ind w:firstLine="482" w:firstLineChars="200"/>
        <w:rPr>
          <w:rFonts w:hint="eastAsia" w:ascii="仿宋" w:hAnsi="仿宋" w:eastAsia="仿宋" w:cs="仿宋"/>
          <w:sz w:val="24"/>
          <w:szCs w:val="24"/>
        </w:rPr>
      </w:pPr>
      <w:r>
        <w:rPr>
          <w:rFonts w:hint="eastAsia" w:ascii="仿宋" w:hAnsi="仿宋" w:eastAsia="仿宋" w:cs="仿宋"/>
          <w:b/>
          <w:sz w:val="24"/>
          <w:szCs w:val="24"/>
        </w:rPr>
        <w:t>2.1.2</w:t>
      </w:r>
      <w:r>
        <w:rPr>
          <w:rFonts w:hint="eastAsia" w:ascii="仿宋" w:hAnsi="仿宋" w:eastAsia="仿宋" w:cs="仿宋"/>
          <w:sz w:val="24"/>
          <w:szCs w:val="24"/>
        </w:rPr>
        <w:t xml:space="preserve"> 资格评审标准：见资格预审文件第三章“资格审查办法”详细审查标准（适用于已进行资格预审的）。</w:t>
      </w:r>
    </w:p>
    <w:p>
      <w:pPr>
        <w:adjustRightInd w:val="0"/>
        <w:snapToGrid w:val="0"/>
        <w:spacing w:line="360" w:lineRule="auto"/>
        <w:ind w:firstLine="431" w:firstLineChars="179"/>
        <w:rPr>
          <w:rFonts w:hint="eastAsia" w:ascii="仿宋" w:hAnsi="仿宋" w:eastAsia="仿宋" w:cs="仿宋"/>
          <w:sz w:val="24"/>
          <w:szCs w:val="24"/>
        </w:rPr>
      </w:pPr>
      <w:r>
        <w:rPr>
          <w:rFonts w:hint="eastAsia" w:ascii="仿宋" w:hAnsi="仿宋" w:eastAsia="仿宋" w:cs="仿宋"/>
          <w:b/>
          <w:sz w:val="24"/>
          <w:szCs w:val="24"/>
        </w:rPr>
        <w:t>2.1.3</w:t>
      </w:r>
      <w:r>
        <w:rPr>
          <w:rFonts w:hint="eastAsia" w:ascii="仿宋" w:hAnsi="仿宋" w:eastAsia="仿宋" w:cs="仿宋"/>
          <w:sz w:val="24"/>
          <w:szCs w:val="24"/>
        </w:rPr>
        <w:t xml:space="preserve"> 响应性评审标准：见评标办法前附表。</w:t>
      </w:r>
    </w:p>
    <w:p>
      <w:pPr>
        <w:adjustRightInd w:val="0"/>
        <w:snapToGrid w:val="0"/>
        <w:spacing w:line="360" w:lineRule="auto"/>
        <w:outlineLvl w:val="2"/>
        <w:rPr>
          <w:rFonts w:hint="eastAsia" w:ascii="仿宋" w:hAnsi="仿宋" w:eastAsia="仿宋" w:cs="仿宋"/>
          <w:b/>
          <w:bCs/>
          <w:sz w:val="24"/>
          <w:szCs w:val="24"/>
        </w:rPr>
      </w:pPr>
      <w:r>
        <w:rPr>
          <w:rFonts w:hint="eastAsia" w:ascii="仿宋" w:hAnsi="仿宋" w:eastAsia="仿宋" w:cs="仿宋"/>
          <w:sz w:val="24"/>
          <w:szCs w:val="24"/>
        </w:rPr>
        <w:t>2.2 分值构成与评分标准</w:t>
      </w:r>
    </w:p>
    <w:p>
      <w:pPr>
        <w:adjustRightInd w:val="0"/>
        <w:snapToGrid w:val="0"/>
        <w:spacing w:line="360" w:lineRule="auto"/>
        <w:ind w:firstLine="482" w:firstLineChars="200"/>
        <w:rPr>
          <w:rFonts w:hint="eastAsia" w:ascii="仿宋" w:hAnsi="仿宋" w:eastAsia="仿宋" w:cs="仿宋"/>
          <w:b/>
          <w:sz w:val="24"/>
          <w:szCs w:val="24"/>
        </w:rPr>
      </w:pPr>
      <w:r>
        <w:rPr>
          <w:rFonts w:hint="eastAsia" w:ascii="仿宋" w:hAnsi="仿宋" w:eastAsia="仿宋" w:cs="仿宋"/>
          <w:b/>
          <w:sz w:val="24"/>
          <w:szCs w:val="24"/>
        </w:rPr>
        <w:t>2.2.1 分值构成</w:t>
      </w:r>
    </w:p>
    <w:p>
      <w:pPr>
        <w:adjustRightInd w:val="0"/>
        <w:snapToGrid w:val="0"/>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评标价：见评标办法前附表。</w:t>
      </w:r>
    </w:p>
    <w:p>
      <w:pPr>
        <w:adjustRightInd w:val="0"/>
        <w:snapToGrid w:val="0"/>
        <w:spacing w:line="360" w:lineRule="auto"/>
        <w:ind w:firstLine="482" w:firstLineChars="200"/>
        <w:rPr>
          <w:rFonts w:hint="eastAsia" w:ascii="仿宋" w:hAnsi="仿宋" w:eastAsia="仿宋" w:cs="仿宋"/>
          <w:b/>
          <w:sz w:val="24"/>
          <w:szCs w:val="24"/>
        </w:rPr>
      </w:pPr>
      <w:r>
        <w:rPr>
          <w:rFonts w:hint="eastAsia" w:ascii="仿宋" w:hAnsi="仿宋" w:eastAsia="仿宋" w:cs="仿宋"/>
          <w:b/>
          <w:sz w:val="24"/>
          <w:szCs w:val="24"/>
        </w:rPr>
        <w:t>2.2.2 评标基准价计算</w:t>
      </w:r>
    </w:p>
    <w:p>
      <w:pPr>
        <w:adjustRightInd w:val="0"/>
        <w:snapToGrid w:val="0"/>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评标基准价计算方法：见评标办法前附表。</w:t>
      </w:r>
    </w:p>
    <w:p>
      <w:pPr>
        <w:adjustRightInd w:val="0"/>
        <w:snapToGrid w:val="0"/>
        <w:spacing w:line="360" w:lineRule="auto"/>
        <w:ind w:firstLine="482" w:firstLineChars="200"/>
        <w:rPr>
          <w:rFonts w:hint="eastAsia" w:ascii="仿宋" w:hAnsi="仿宋" w:eastAsia="仿宋" w:cs="仿宋"/>
          <w:b/>
          <w:sz w:val="24"/>
          <w:szCs w:val="24"/>
        </w:rPr>
      </w:pPr>
      <w:r>
        <w:rPr>
          <w:rFonts w:hint="eastAsia" w:ascii="仿宋" w:hAnsi="仿宋" w:eastAsia="仿宋" w:cs="仿宋"/>
          <w:b/>
          <w:sz w:val="24"/>
          <w:szCs w:val="24"/>
        </w:rPr>
        <w:t>2.2.3 投标报价的偏差率计算</w:t>
      </w:r>
    </w:p>
    <w:p>
      <w:pPr>
        <w:adjustRightInd w:val="0"/>
        <w:snapToGrid w:val="0"/>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评标价的偏差率计算公式：见评标办法前附表。</w:t>
      </w:r>
    </w:p>
    <w:p>
      <w:pPr>
        <w:adjustRightInd w:val="0"/>
        <w:snapToGrid w:val="0"/>
        <w:spacing w:line="360" w:lineRule="auto"/>
        <w:ind w:firstLine="482" w:firstLineChars="200"/>
        <w:rPr>
          <w:rFonts w:hint="eastAsia" w:ascii="仿宋" w:hAnsi="仿宋" w:eastAsia="仿宋" w:cs="仿宋"/>
          <w:b/>
          <w:sz w:val="24"/>
          <w:szCs w:val="24"/>
        </w:rPr>
      </w:pPr>
      <w:r>
        <w:rPr>
          <w:rFonts w:hint="eastAsia" w:ascii="仿宋" w:hAnsi="仿宋" w:eastAsia="仿宋" w:cs="仿宋"/>
          <w:b/>
          <w:sz w:val="24"/>
          <w:szCs w:val="24"/>
        </w:rPr>
        <w:t>2.2.4 评分标准</w:t>
      </w:r>
    </w:p>
    <w:p>
      <w:pPr>
        <w:adjustRightInd w:val="0"/>
        <w:snapToGrid w:val="0"/>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评标价评分标准：见评标办法前附表。</w:t>
      </w:r>
    </w:p>
    <w:p>
      <w:pPr>
        <w:adjustRightInd w:val="0"/>
        <w:snapToGrid w:val="0"/>
        <w:spacing w:line="360" w:lineRule="auto"/>
        <w:outlineLvl w:val="2"/>
        <w:rPr>
          <w:rFonts w:hint="eastAsia" w:ascii="仿宋" w:hAnsi="仿宋" w:eastAsia="仿宋" w:cs="仿宋"/>
          <w:b/>
          <w:bCs/>
          <w:sz w:val="24"/>
          <w:szCs w:val="24"/>
        </w:rPr>
      </w:pPr>
      <w:bookmarkStart w:id="27" w:name="_Toc518427693"/>
      <w:bookmarkStart w:id="28" w:name="_Toc444678082"/>
      <w:r>
        <w:rPr>
          <w:rFonts w:hint="eastAsia" w:ascii="仿宋" w:hAnsi="仿宋" w:eastAsia="仿宋" w:cs="仿宋"/>
          <w:b/>
          <w:bCs/>
          <w:sz w:val="24"/>
          <w:szCs w:val="24"/>
        </w:rPr>
        <w:t>3. 评标程序</w:t>
      </w:r>
      <w:bookmarkEnd w:id="27"/>
      <w:bookmarkEnd w:id="28"/>
    </w:p>
    <w:p>
      <w:pPr>
        <w:pStyle w:val="15"/>
        <w:adjustRightInd w:val="0"/>
        <w:snapToGrid w:val="0"/>
        <w:spacing w:line="360" w:lineRule="auto"/>
        <w:outlineLvl w:val="9"/>
        <w:rPr>
          <w:rFonts w:hint="eastAsia" w:ascii="仿宋" w:hAnsi="仿宋" w:eastAsia="仿宋" w:cs="仿宋"/>
          <w:sz w:val="24"/>
          <w:szCs w:val="24"/>
        </w:rPr>
      </w:pPr>
      <w:r>
        <w:rPr>
          <w:rFonts w:hint="eastAsia" w:ascii="仿宋" w:hAnsi="仿宋" w:eastAsia="仿宋" w:cs="仿宋"/>
          <w:sz w:val="24"/>
          <w:szCs w:val="24"/>
        </w:rPr>
        <w:t>3.1 第一个信封初步评审</w:t>
      </w:r>
    </w:p>
    <w:p>
      <w:pPr>
        <w:adjustRightInd w:val="0"/>
        <w:snapToGrid w:val="0"/>
        <w:spacing w:line="360" w:lineRule="auto"/>
        <w:ind w:firstLine="482" w:firstLineChars="200"/>
        <w:rPr>
          <w:rFonts w:hint="eastAsia" w:ascii="仿宋" w:hAnsi="仿宋" w:eastAsia="仿宋" w:cs="仿宋"/>
          <w:sz w:val="24"/>
          <w:szCs w:val="24"/>
        </w:rPr>
      </w:pPr>
      <w:r>
        <w:rPr>
          <w:rFonts w:hint="eastAsia" w:ascii="仿宋" w:hAnsi="仿宋" w:eastAsia="仿宋" w:cs="仿宋"/>
          <w:b/>
          <w:sz w:val="24"/>
          <w:szCs w:val="24"/>
        </w:rPr>
        <w:t>3.1.1</w:t>
      </w:r>
      <w:r>
        <w:rPr>
          <w:rFonts w:hint="eastAsia" w:ascii="仿宋" w:hAnsi="仿宋" w:eastAsia="仿宋" w:cs="仿宋"/>
          <w:sz w:val="24"/>
          <w:szCs w:val="24"/>
        </w:rPr>
        <w:t>评标委员会依据本章第2.1款规定的标准对投标文件第一个信封（商务及技术文件）进行初步评审。有一项不符合评审标准的，评标委员会应否决其投标。（适用于未进行资格预审的）</w:t>
      </w:r>
    </w:p>
    <w:p>
      <w:pPr>
        <w:pStyle w:val="15"/>
        <w:adjustRightInd w:val="0"/>
        <w:snapToGrid w:val="0"/>
        <w:spacing w:line="360" w:lineRule="auto"/>
        <w:outlineLvl w:val="9"/>
        <w:rPr>
          <w:rFonts w:hint="eastAsia" w:ascii="仿宋" w:hAnsi="仿宋" w:eastAsia="仿宋" w:cs="仿宋"/>
          <w:sz w:val="24"/>
          <w:szCs w:val="24"/>
        </w:rPr>
      </w:pPr>
      <w:r>
        <w:rPr>
          <w:rFonts w:hint="eastAsia" w:ascii="仿宋" w:hAnsi="仿宋" w:eastAsia="仿宋" w:cs="仿宋"/>
          <w:sz w:val="24"/>
          <w:szCs w:val="24"/>
        </w:rPr>
        <w:t>3.2 第二个信封开标</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第一个信封（商务及技术文件）评审结束后，招标人将按照第二章“投标人须知”第5.1款规定的时间和地点对通过投标文件第一个信封（商务及技术文件）评审的投标文件第二个信封（报价文件）进行开标。</w:t>
      </w:r>
    </w:p>
    <w:p>
      <w:pPr>
        <w:pStyle w:val="15"/>
        <w:adjustRightInd w:val="0"/>
        <w:snapToGrid w:val="0"/>
        <w:spacing w:line="360" w:lineRule="auto"/>
        <w:outlineLvl w:val="9"/>
        <w:rPr>
          <w:rFonts w:hint="eastAsia" w:ascii="仿宋" w:hAnsi="仿宋" w:eastAsia="仿宋" w:cs="仿宋"/>
          <w:sz w:val="24"/>
          <w:szCs w:val="24"/>
        </w:rPr>
      </w:pPr>
      <w:r>
        <w:rPr>
          <w:rFonts w:hint="eastAsia" w:ascii="仿宋" w:hAnsi="仿宋" w:eastAsia="仿宋" w:cs="仿宋"/>
          <w:sz w:val="24"/>
          <w:szCs w:val="24"/>
        </w:rPr>
        <w:t>3.3 第二个信封初步评审</w:t>
      </w:r>
    </w:p>
    <w:p>
      <w:pPr>
        <w:adjustRightInd w:val="0"/>
        <w:snapToGrid w:val="0"/>
        <w:spacing w:line="360" w:lineRule="auto"/>
        <w:ind w:firstLine="482" w:firstLineChars="200"/>
        <w:rPr>
          <w:rFonts w:hint="eastAsia" w:ascii="仿宋" w:hAnsi="仿宋" w:eastAsia="仿宋" w:cs="仿宋"/>
          <w:sz w:val="24"/>
          <w:szCs w:val="24"/>
        </w:rPr>
      </w:pPr>
      <w:r>
        <w:rPr>
          <w:rFonts w:hint="eastAsia" w:ascii="仿宋" w:hAnsi="仿宋" w:eastAsia="仿宋" w:cs="仿宋"/>
          <w:b/>
          <w:sz w:val="24"/>
          <w:szCs w:val="24"/>
        </w:rPr>
        <w:t xml:space="preserve">3.3.1 </w:t>
      </w:r>
      <w:r>
        <w:rPr>
          <w:rFonts w:hint="eastAsia" w:ascii="仿宋" w:hAnsi="仿宋" w:eastAsia="仿宋" w:cs="仿宋"/>
          <w:sz w:val="24"/>
          <w:szCs w:val="24"/>
        </w:rPr>
        <w:t>评标委员会依据本章第2.1.1项、第2.1.3项规定的评审标准对投标文件第二个信封（报价文件）进行初步评审。有一项不符合评审标准的，评标委员会应否决其投标。</w:t>
      </w:r>
    </w:p>
    <w:p>
      <w:pPr>
        <w:adjustRightInd w:val="0"/>
        <w:snapToGrid w:val="0"/>
        <w:spacing w:line="360" w:lineRule="auto"/>
        <w:ind w:firstLine="482" w:firstLineChars="200"/>
        <w:rPr>
          <w:rFonts w:hint="eastAsia" w:ascii="仿宋" w:hAnsi="仿宋" w:eastAsia="仿宋" w:cs="仿宋"/>
          <w:sz w:val="24"/>
          <w:szCs w:val="24"/>
        </w:rPr>
      </w:pPr>
      <w:r>
        <w:rPr>
          <w:rFonts w:hint="eastAsia" w:ascii="仿宋" w:hAnsi="仿宋" w:eastAsia="仿宋" w:cs="仿宋"/>
          <w:b/>
          <w:sz w:val="24"/>
          <w:szCs w:val="24"/>
        </w:rPr>
        <w:t xml:space="preserve">3.3.2 </w:t>
      </w:r>
      <w:r>
        <w:rPr>
          <w:rStyle w:val="12"/>
          <w:rFonts w:hint="eastAsia" w:ascii="仿宋" w:hAnsi="仿宋" w:eastAsia="仿宋" w:cs="仿宋"/>
          <w:b/>
          <w:sz w:val="24"/>
          <w:szCs w:val="24"/>
        </w:rPr>
        <w:footnoteReference w:id="2"/>
      </w:r>
      <w:r>
        <w:rPr>
          <w:rFonts w:hint="eastAsia" w:ascii="仿宋" w:hAnsi="仿宋" w:eastAsia="仿宋" w:cs="仿宋"/>
          <w:sz w:val="24"/>
          <w:szCs w:val="24"/>
        </w:rPr>
        <w:t>投标报价有算术错误的，评标委员会按以下原则对投标报价进行修正，修正的价格经投标人书面确认后具有约束力。投标人不接受修正价格的，评标委员会应否决其投标。</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（1）投标文件中的大写金额与小写金额不一致的，以大写金额为准；</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（2）总价金额与依据单价计算出的结果不一致的，以单价金额为准修正总价，但单价金额小数点有明显错误的除外；</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（3）当单价与数量相乘不等于合价时，以单价计算为准，如果单价有明显的小数点位置差错，应以标出的合价为准，同时对单价予以修正；</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（4）当各子目的合价累计不等于总价时，应以各子目合价累计数为准，修正总价。</w:t>
      </w:r>
    </w:p>
    <w:p>
      <w:pPr>
        <w:adjustRightInd w:val="0"/>
        <w:snapToGrid w:val="0"/>
        <w:spacing w:line="360" w:lineRule="auto"/>
        <w:ind w:firstLine="482" w:firstLineChars="200"/>
        <w:rPr>
          <w:rFonts w:hint="eastAsia" w:ascii="仿宋" w:hAnsi="仿宋" w:eastAsia="仿宋" w:cs="仿宋"/>
          <w:sz w:val="24"/>
          <w:szCs w:val="24"/>
        </w:rPr>
      </w:pPr>
      <w:r>
        <w:rPr>
          <w:rFonts w:hint="eastAsia" w:ascii="仿宋" w:hAnsi="仿宋" w:eastAsia="仿宋" w:cs="仿宋"/>
          <w:b/>
          <w:sz w:val="24"/>
          <w:szCs w:val="24"/>
        </w:rPr>
        <w:t xml:space="preserve">3.3.3 </w:t>
      </w:r>
      <w:r>
        <w:rPr>
          <w:rFonts w:hint="eastAsia" w:ascii="仿宋" w:hAnsi="仿宋" w:eastAsia="仿宋" w:cs="仿宋"/>
          <w:sz w:val="24"/>
          <w:szCs w:val="24"/>
        </w:rPr>
        <w:t>工程量清单中的投标报价有其他错误的，评标委员会按以下原则对投标报价进行修正，修正的价格经投标人书面确认后具有约束力。投标人不接受修正价格的，评标委员会应否决其投标。</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在招标人给定的工程量清单中漏报了某个工程子目的单价、合价或总额价，或所报单价、合价或总额价减少了报价范围，则漏报的工程子目单价、合价和总额价或单价、合价和总额价中减少的报价内容视为已含入其他工程子目的单价、合价和总额价之中。</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在招标人给定的工程量清单中多报了某个工程子目的单价、合价或总额价，或所报单价、合价或总额价增加了报价范围，则从投标报价中扣除多报的工程子目报价或工程子目报价中增加了报价范围的部分报价。</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（3）当单价与数量的乘积与合价（金额）虽然一致，但投标人修改了该子目的工程数量，则其合价按招标人给定的工程数量乘以投标人所报单价予以修正。</w:t>
      </w:r>
    </w:p>
    <w:p>
      <w:pPr>
        <w:adjustRightInd w:val="0"/>
        <w:snapToGrid w:val="0"/>
        <w:spacing w:line="360" w:lineRule="auto"/>
        <w:ind w:firstLine="482" w:firstLineChars="200"/>
        <w:rPr>
          <w:rFonts w:hint="eastAsia" w:ascii="仿宋" w:hAnsi="仿宋" w:eastAsia="仿宋" w:cs="仿宋"/>
          <w:sz w:val="24"/>
          <w:szCs w:val="24"/>
        </w:rPr>
      </w:pPr>
      <w:r>
        <w:rPr>
          <w:rFonts w:hint="eastAsia" w:ascii="仿宋" w:hAnsi="仿宋" w:eastAsia="仿宋" w:cs="仿宋"/>
          <w:b/>
          <w:sz w:val="24"/>
          <w:szCs w:val="24"/>
        </w:rPr>
        <w:t xml:space="preserve">3.3.4 </w:t>
      </w:r>
      <w:r>
        <w:rPr>
          <w:rFonts w:hint="eastAsia" w:ascii="仿宋" w:hAnsi="仿宋" w:eastAsia="仿宋" w:cs="仿宋"/>
          <w:sz w:val="24"/>
          <w:szCs w:val="24"/>
        </w:rPr>
        <w:t>修正后的最终投标报价若超过最高投标限价（如有），评标委员会应否决其投标。</w:t>
      </w:r>
    </w:p>
    <w:p>
      <w:pPr>
        <w:adjustRightInd w:val="0"/>
        <w:snapToGrid w:val="0"/>
        <w:spacing w:line="360" w:lineRule="auto"/>
        <w:ind w:firstLine="482" w:firstLineChars="200"/>
        <w:rPr>
          <w:rFonts w:hint="eastAsia" w:ascii="仿宋" w:hAnsi="仿宋" w:eastAsia="仿宋" w:cs="仿宋"/>
          <w:sz w:val="24"/>
          <w:szCs w:val="24"/>
        </w:rPr>
      </w:pPr>
      <w:r>
        <w:rPr>
          <w:rFonts w:hint="eastAsia" w:ascii="仿宋" w:hAnsi="仿宋" w:eastAsia="仿宋" w:cs="仿宋"/>
          <w:b/>
          <w:sz w:val="24"/>
          <w:szCs w:val="24"/>
        </w:rPr>
        <w:t xml:space="preserve">3.3.5 </w:t>
      </w:r>
      <w:r>
        <w:rPr>
          <w:rFonts w:hint="eastAsia" w:ascii="仿宋" w:hAnsi="仿宋" w:eastAsia="仿宋" w:cs="仿宋"/>
          <w:sz w:val="24"/>
          <w:szCs w:val="24"/>
        </w:rPr>
        <w:t>修正后的最终投标报价仅作为签订合同的一个依据，不参与评标价得分的计算。</w:t>
      </w:r>
    </w:p>
    <w:p>
      <w:pPr>
        <w:pStyle w:val="15"/>
        <w:adjustRightInd w:val="0"/>
        <w:snapToGrid w:val="0"/>
        <w:spacing w:line="360" w:lineRule="auto"/>
        <w:outlineLvl w:val="9"/>
        <w:rPr>
          <w:rFonts w:hint="eastAsia" w:ascii="仿宋" w:hAnsi="仿宋" w:eastAsia="仿宋" w:cs="仿宋"/>
          <w:sz w:val="24"/>
          <w:szCs w:val="24"/>
        </w:rPr>
      </w:pPr>
      <w:r>
        <w:rPr>
          <w:rFonts w:hint="eastAsia" w:ascii="仿宋" w:hAnsi="仿宋" w:eastAsia="仿宋" w:cs="仿宋"/>
          <w:sz w:val="24"/>
          <w:szCs w:val="24"/>
        </w:rPr>
        <w:t>3.4 第二个信封详细评审</w:t>
      </w:r>
    </w:p>
    <w:p>
      <w:pPr>
        <w:adjustRightInd w:val="0"/>
        <w:snapToGrid w:val="0"/>
        <w:spacing w:line="360" w:lineRule="auto"/>
        <w:ind w:firstLine="482" w:firstLineChars="200"/>
        <w:rPr>
          <w:rFonts w:hint="eastAsia" w:ascii="仿宋" w:hAnsi="仿宋" w:eastAsia="仿宋" w:cs="仿宋"/>
          <w:sz w:val="24"/>
          <w:szCs w:val="24"/>
        </w:rPr>
      </w:pPr>
      <w:r>
        <w:rPr>
          <w:rFonts w:hint="eastAsia" w:ascii="仿宋" w:hAnsi="仿宋" w:eastAsia="仿宋" w:cs="仿宋"/>
          <w:b/>
          <w:sz w:val="24"/>
          <w:szCs w:val="24"/>
        </w:rPr>
        <w:t>3.4.1</w:t>
      </w:r>
      <w:r>
        <w:rPr>
          <w:rFonts w:hint="eastAsia" w:ascii="仿宋" w:hAnsi="仿宋" w:eastAsia="仿宋" w:cs="仿宋"/>
          <w:sz w:val="24"/>
          <w:szCs w:val="24"/>
        </w:rPr>
        <w:t xml:space="preserve"> 评标委员会按本章第2.2款规定的量化因素和分值进行打分，并计算出综合评估得分（即评标价得分）。</w:t>
      </w:r>
    </w:p>
    <w:p>
      <w:pPr>
        <w:adjustRightInd w:val="0"/>
        <w:snapToGrid w:val="0"/>
        <w:spacing w:line="360" w:lineRule="auto"/>
        <w:ind w:firstLine="482" w:firstLineChars="200"/>
        <w:rPr>
          <w:rFonts w:hint="eastAsia" w:ascii="仿宋" w:hAnsi="仿宋" w:eastAsia="仿宋" w:cs="仿宋"/>
          <w:sz w:val="24"/>
          <w:szCs w:val="24"/>
        </w:rPr>
      </w:pPr>
      <w:r>
        <w:rPr>
          <w:rFonts w:hint="eastAsia" w:ascii="仿宋" w:hAnsi="仿宋" w:eastAsia="仿宋" w:cs="仿宋"/>
          <w:b/>
          <w:sz w:val="24"/>
          <w:szCs w:val="24"/>
        </w:rPr>
        <w:t>3.4.2</w:t>
      </w:r>
      <w:r>
        <w:rPr>
          <w:rFonts w:hint="eastAsia" w:ascii="仿宋" w:hAnsi="仿宋" w:eastAsia="仿宋" w:cs="仿宋"/>
          <w:sz w:val="24"/>
          <w:szCs w:val="24"/>
        </w:rPr>
        <w:t xml:space="preserve"> 投标人得分分值计算保留小数点后两位，小数点后第三位“四舍五入”。</w:t>
      </w:r>
    </w:p>
    <w:p>
      <w:pPr>
        <w:adjustRightInd w:val="0"/>
        <w:snapToGrid w:val="0"/>
        <w:spacing w:line="360" w:lineRule="auto"/>
        <w:ind w:firstLine="482" w:firstLineChars="200"/>
        <w:rPr>
          <w:rFonts w:hint="eastAsia" w:ascii="仿宋" w:hAnsi="仿宋" w:eastAsia="仿宋" w:cs="仿宋"/>
          <w:sz w:val="24"/>
          <w:szCs w:val="24"/>
        </w:rPr>
      </w:pPr>
      <w:r>
        <w:rPr>
          <w:rFonts w:hint="eastAsia" w:ascii="仿宋" w:hAnsi="仿宋" w:eastAsia="仿宋" w:cs="仿宋"/>
          <w:b/>
          <w:sz w:val="24"/>
          <w:szCs w:val="24"/>
        </w:rPr>
        <w:t>3.4.3</w:t>
      </w:r>
      <w:r>
        <w:rPr>
          <w:rFonts w:hint="eastAsia" w:ascii="仿宋" w:hAnsi="仿宋" w:eastAsia="仿宋" w:cs="仿宋"/>
          <w:sz w:val="24"/>
          <w:szCs w:val="24"/>
        </w:rPr>
        <w:t xml:space="preserve"> 评标委员会发现投标人的报价明显低于其他投标报价，使得其投标报价可能低于其个别成本的，应要求该投标人作出书面说明并提供相应的证明材料。投标人不能合理说明或不能提供相应证明材料的，评标委员会应认定该投标人以低于成本报价竞标，并否决其投标。</w:t>
      </w:r>
    </w:p>
    <w:p>
      <w:pPr>
        <w:pStyle w:val="15"/>
        <w:adjustRightInd w:val="0"/>
        <w:snapToGrid w:val="0"/>
        <w:spacing w:line="360" w:lineRule="auto"/>
        <w:outlineLvl w:val="9"/>
        <w:rPr>
          <w:rFonts w:hint="eastAsia" w:ascii="仿宋" w:hAnsi="仿宋" w:eastAsia="仿宋" w:cs="仿宋"/>
          <w:sz w:val="24"/>
          <w:szCs w:val="24"/>
        </w:rPr>
      </w:pPr>
      <w:r>
        <w:rPr>
          <w:rFonts w:hint="eastAsia" w:ascii="仿宋" w:hAnsi="仿宋" w:eastAsia="仿宋" w:cs="仿宋"/>
          <w:sz w:val="24"/>
          <w:szCs w:val="24"/>
        </w:rPr>
        <w:t>3.5 投标文件相关信息的核查</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3.5.1 在评标过程中，评标委员会应查询规定网站，对投标人的资质、业绩、主要人员资历和目前在岗情况、信用等级等信息进行核实。若投标文件载明的信息与规定网站发布的信息不符，使得投标人的资格条件不符合招标文件规定的，评标委员会应否决其投标。</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3.5.2 评标委员会应对在评标过程中发现的投标人与投标人之间、投标人与招标人之间存在的串通投标的情形进行评审和认定。投标人存在串通投标、弄虚作假、行贿等违法行为的，评标委员会应否决其投标。</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（1）有下列情形之一的，属于投标人相互串通投标：</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a.投标人之间协商投标报价等投标文件的实质性内容；</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b.投标人之间约定中标人；</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c.投标人之间约定部分投标人放弃投标或中标；</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d.属于同一集团、协会、商会等组织成员的投标人按照该组织要求协同投标；</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e.投标人之间为谋取中标或排斥特定投标人而采取的其他联合行动。</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（2）有下列情形之一的，视为投标人相互串通投标：</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a.不同投标人的投标文件由同一单位或个人编制；</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b.不同投标人委托同一单位或个人办理投标事宜；</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c.不同投标人的投标文件载明的项目管理成员为同一人；</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d.不同投标人的投标文件异常一致或投标报价呈规律性差异；</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e.不同投标人的投标文件相互混装；</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f.不同投标人的投标保证金从同一单位或个人的账户转出。</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（3）有下列情形之一的，属于招标人与投标人串通投标：</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a.招标人在开标前开启投标文件并将有关信息泄露给其他投标人;</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b.招标人直接或间接向投标人泄露标底、评标委员会成员等信息；</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c.招标人明示或暗示投标人压低或抬高投标报价；</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d.招标人授意投标人撤换、修改投标文件；</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e.招标人明示或暗示投标人为特定投标人中标提供方便；</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f.招标人与投标人为谋求特定投标人中标而采取的其他串通行为。</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（4）投标人有下列情形之一的，属于弄虚作假的行为：</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a.使用通过受让或租借等方式获取的资格、资质证书投标；</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b.使用伪造、变造的许可证件；</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c.提供虚假的财务状况或业绩；</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d.提供虚假的项目负责人或主要技术人员简历、劳动关系证明；</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e.提供虚假的信用状况；</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f.其他弄虚作假的行为。</w:t>
      </w:r>
    </w:p>
    <w:p>
      <w:pPr>
        <w:pStyle w:val="15"/>
        <w:adjustRightInd w:val="0"/>
        <w:snapToGrid w:val="0"/>
        <w:spacing w:line="360" w:lineRule="auto"/>
        <w:outlineLvl w:val="9"/>
        <w:rPr>
          <w:rFonts w:hint="eastAsia" w:ascii="仿宋" w:hAnsi="仿宋" w:eastAsia="仿宋" w:cs="仿宋"/>
          <w:sz w:val="24"/>
          <w:szCs w:val="24"/>
        </w:rPr>
      </w:pPr>
      <w:r>
        <w:rPr>
          <w:rFonts w:hint="eastAsia" w:ascii="仿宋" w:hAnsi="仿宋" w:eastAsia="仿宋" w:cs="仿宋"/>
          <w:sz w:val="24"/>
          <w:szCs w:val="24"/>
        </w:rPr>
        <w:t>3.6 投标文件的澄清和说明</w:t>
      </w:r>
    </w:p>
    <w:p>
      <w:pPr>
        <w:adjustRightInd w:val="0"/>
        <w:snapToGrid w:val="0"/>
        <w:spacing w:line="360" w:lineRule="auto"/>
        <w:ind w:firstLine="482" w:firstLineChars="200"/>
        <w:rPr>
          <w:rFonts w:hint="eastAsia" w:ascii="仿宋" w:hAnsi="仿宋" w:eastAsia="仿宋" w:cs="仿宋"/>
          <w:sz w:val="24"/>
          <w:szCs w:val="24"/>
        </w:rPr>
      </w:pPr>
      <w:r>
        <w:rPr>
          <w:rFonts w:hint="eastAsia" w:ascii="仿宋" w:hAnsi="仿宋" w:eastAsia="仿宋" w:cs="仿宋"/>
          <w:b/>
          <w:sz w:val="24"/>
          <w:szCs w:val="24"/>
        </w:rPr>
        <w:t>3.6.1</w:t>
      </w:r>
      <w:r>
        <w:rPr>
          <w:rFonts w:hint="eastAsia" w:ascii="仿宋" w:hAnsi="仿宋" w:eastAsia="仿宋" w:cs="仿宋"/>
          <w:sz w:val="24"/>
          <w:szCs w:val="24"/>
        </w:rPr>
        <w:t xml:space="preserve"> 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pPr>
        <w:adjustRightInd w:val="0"/>
        <w:snapToGrid w:val="0"/>
        <w:spacing w:line="360" w:lineRule="auto"/>
        <w:ind w:firstLine="482" w:firstLineChars="200"/>
        <w:rPr>
          <w:rFonts w:hint="eastAsia" w:ascii="仿宋" w:hAnsi="仿宋" w:eastAsia="仿宋" w:cs="仿宋"/>
          <w:sz w:val="24"/>
          <w:szCs w:val="24"/>
        </w:rPr>
      </w:pPr>
      <w:r>
        <w:rPr>
          <w:rFonts w:hint="eastAsia" w:ascii="仿宋" w:hAnsi="仿宋" w:eastAsia="仿宋" w:cs="仿宋"/>
          <w:b/>
          <w:sz w:val="24"/>
          <w:szCs w:val="24"/>
        </w:rPr>
        <w:t xml:space="preserve">3.6.2 </w:t>
      </w:r>
      <w:r>
        <w:rPr>
          <w:rFonts w:hint="eastAsia" w:ascii="仿宋" w:hAnsi="仿宋" w:eastAsia="仿宋" w:cs="仿宋"/>
          <w:sz w:val="24"/>
          <w:szCs w:val="24"/>
        </w:rPr>
        <w:t>澄清和说明不得超出投标文件的范围或改变投标文件的实质性内容（算术性错误修正的除外）。投标人的书面澄清、说明属于投标文件的组成部分。</w:t>
      </w:r>
    </w:p>
    <w:p>
      <w:pPr>
        <w:adjustRightInd w:val="0"/>
        <w:snapToGrid w:val="0"/>
        <w:spacing w:line="360" w:lineRule="auto"/>
        <w:ind w:firstLine="482" w:firstLineChars="200"/>
        <w:rPr>
          <w:rFonts w:hint="eastAsia" w:ascii="仿宋" w:hAnsi="仿宋" w:eastAsia="仿宋" w:cs="仿宋"/>
          <w:sz w:val="24"/>
          <w:szCs w:val="24"/>
        </w:rPr>
      </w:pPr>
      <w:r>
        <w:rPr>
          <w:rFonts w:hint="eastAsia" w:ascii="仿宋" w:hAnsi="仿宋" w:eastAsia="仿宋" w:cs="仿宋"/>
          <w:b/>
          <w:sz w:val="24"/>
          <w:szCs w:val="24"/>
        </w:rPr>
        <w:t>3.6.3</w:t>
      </w:r>
      <w:r>
        <w:rPr>
          <w:rFonts w:hint="eastAsia" w:ascii="仿宋" w:hAnsi="仿宋" w:eastAsia="仿宋" w:cs="仿宋"/>
          <w:sz w:val="24"/>
          <w:szCs w:val="24"/>
        </w:rPr>
        <w:t xml:space="preserve"> 评标委员会不得暗示或诱导投标人作出澄清、说明，对投标人提交的澄清、说明有疑问的，可以要求投标人进一步澄清或说明，直至满足评标委员会的要求。</w:t>
      </w:r>
    </w:p>
    <w:p>
      <w:pPr>
        <w:adjustRightInd w:val="0"/>
        <w:snapToGrid w:val="0"/>
        <w:spacing w:line="360" w:lineRule="auto"/>
        <w:ind w:firstLine="482" w:firstLineChars="200"/>
        <w:rPr>
          <w:rFonts w:hint="eastAsia" w:ascii="仿宋" w:hAnsi="仿宋" w:eastAsia="仿宋" w:cs="仿宋"/>
          <w:sz w:val="24"/>
          <w:szCs w:val="24"/>
        </w:rPr>
      </w:pPr>
      <w:r>
        <w:rPr>
          <w:rFonts w:hint="eastAsia" w:ascii="仿宋" w:hAnsi="仿宋" w:eastAsia="仿宋" w:cs="仿宋"/>
          <w:b/>
          <w:sz w:val="24"/>
          <w:szCs w:val="24"/>
        </w:rPr>
        <w:t>3.6.4</w:t>
      </w:r>
      <w:r>
        <w:rPr>
          <w:rFonts w:hint="eastAsia" w:ascii="仿宋" w:hAnsi="仿宋" w:eastAsia="仿宋" w:cs="仿宋"/>
          <w:sz w:val="24"/>
          <w:szCs w:val="24"/>
        </w:rPr>
        <w:t>凡超出招标文件规定的或给发包人带来未曾要求的利益的变化、偏差或其他因素在评标时不予考虑。</w:t>
      </w:r>
    </w:p>
    <w:p>
      <w:pPr>
        <w:pStyle w:val="15"/>
        <w:adjustRightInd w:val="0"/>
        <w:snapToGrid w:val="0"/>
        <w:spacing w:line="360" w:lineRule="auto"/>
        <w:outlineLvl w:val="9"/>
        <w:rPr>
          <w:rFonts w:hint="eastAsia" w:ascii="仿宋" w:hAnsi="仿宋" w:eastAsia="仿宋" w:cs="仿宋"/>
          <w:sz w:val="24"/>
          <w:szCs w:val="24"/>
        </w:rPr>
      </w:pPr>
      <w:r>
        <w:rPr>
          <w:rFonts w:hint="eastAsia" w:ascii="仿宋" w:hAnsi="仿宋" w:eastAsia="仿宋" w:cs="仿宋"/>
          <w:sz w:val="24"/>
          <w:szCs w:val="24"/>
        </w:rPr>
        <w:t>3.7 不得否决投标的情形</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投标文件存在第二章“投标人须知”第1.12.3项所列情形的，均视为细微偏差，评标委员会不得否决投标人的投标，应按照第二章“投标人须知”第1.12.4项规定的原则处理。</w:t>
      </w:r>
    </w:p>
    <w:p>
      <w:pPr>
        <w:pStyle w:val="15"/>
        <w:adjustRightInd w:val="0"/>
        <w:snapToGrid w:val="0"/>
        <w:spacing w:line="360" w:lineRule="auto"/>
        <w:outlineLvl w:val="9"/>
        <w:rPr>
          <w:rFonts w:hint="eastAsia" w:ascii="仿宋" w:hAnsi="仿宋" w:eastAsia="仿宋" w:cs="仿宋"/>
          <w:sz w:val="24"/>
          <w:szCs w:val="24"/>
        </w:rPr>
      </w:pPr>
      <w:r>
        <w:rPr>
          <w:rFonts w:hint="eastAsia" w:ascii="仿宋" w:hAnsi="仿宋" w:eastAsia="仿宋" w:cs="仿宋"/>
          <w:sz w:val="24"/>
          <w:szCs w:val="24"/>
        </w:rPr>
        <w:t>3.8 评标结果</w:t>
      </w:r>
    </w:p>
    <w:p>
      <w:pPr>
        <w:adjustRightInd w:val="0"/>
        <w:snapToGrid w:val="0"/>
        <w:spacing w:line="360" w:lineRule="auto"/>
        <w:ind w:firstLine="482" w:firstLineChars="200"/>
        <w:rPr>
          <w:rFonts w:hint="eastAsia" w:ascii="仿宋" w:hAnsi="仿宋" w:eastAsia="仿宋" w:cs="仿宋"/>
          <w:sz w:val="24"/>
          <w:szCs w:val="24"/>
        </w:rPr>
      </w:pPr>
      <w:r>
        <w:rPr>
          <w:rFonts w:hint="eastAsia" w:ascii="仿宋" w:hAnsi="仿宋" w:eastAsia="仿宋" w:cs="仿宋"/>
          <w:b/>
          <w:sz w:val="24"/>
          <w:szCs w:val="24"/>
        </w:rPr>
        <w:t>3.8.1</w:t>
      </w:r>
      <w:r>
        <w:rPr>
          <w:rFonts w:hint="eastAsia" w:ascii="仿宋" w:hAnsi="仿宋" w:eastAsia="仿宋" w:cs="仿宋"/>
          <w:sz w:val="24"/>
          <w:szCs w:val="24"/>
        </w:rPr>
        <w:t xml:space="preserve"> 除第二章“投标人须知”前附表授权直接确定中标人外，评标委员会按照得分由高到低的顺序推荐中标候选人，并标明排序。</w:t>
      </w:r>
    </w:p>
    <w:p>
      <w:pPr>
        <w:adjustRightInd w:val="0"/>
        <w:snapToGrid w:val="0"/>
        <w:spacing w:line="360" w:lineRule="auto"/>
        <w:ind w:firstLine="482" w:firstLineChars="200"/>
        <w:rPr>
          <w:rFonts w:hint="eastAsia" w:ascii="仿宋" w:hAnsi="仿宋" w:eastAsia="仿宋" w:cs="仿宋"/>
          <w:sz w:val="24"/>
          <w:szCs w:val="24"/>
        </w:rPr>
      </w:pPr>
      <w:r>
        <w:rPr>
          <w:rFonts w:hint="eastAsia" w:ascii="仿宋" w:hAnsi="仿宋" w:eastAsia="仿宋" w:cs="仿宋"/>
          <w:b/>
          <w:sz w:val="24"/>
          <w:szCs w:val="24"/>
        </w:rPr>
        <w:t xml:space="preserve">3.8.2 </w:t>
      </w:r>
      <w:r>
        <w:rPr>
          <w:rFonts w:hint="eastAsia" w:ascii="仿宋" w:hAnsi="仿宋" w:eastAsia="仿宋" w:cs="仿宋"/>
          <w:sz w:val="24"/>
          <w:szCs w:val="24"/>
        </w:rPr>
        <w:t>评标委员会完成评标后，应当向招标人提交书面评标报告。</w:t>
      </w:r>
    </w:p>
    <w:p>
      <w:pPr>
        <w:keepNext/>
        <w:keepLines/>
        <w:pageBreakBefore w:val="0"/>
        <w:widowControl w:val="0"/>
        <w:kinsoku/>
        <w:overflowPunct/>
        <w:autoSpaceDE/>
        <w:autoSpaceDN/>
        <w:bidi w:val="0"/>
        <w:adjustRightInd/>
        <w:snapToGrid/>
        <w:spacing w:before="156" w:beforeLines="50" w:line="420" w:lineRule="exact"/>
        <w:textAlignment w:val="auto"/>
        <w:outlineLvl w:val="1"/>
        <w:rPr>
          <w:rFonts w:hint="default" w:ascii="仿宋" w:hAnsi="仿宋" w:eastAsia="仿宋" w:cs="仿宋"/>
          <w:b/>
          <w:sz w:val="24"/>
          <w:szCs w:val="24"/>
          <w:lang w:val="en-US" w:eastAsia="zh-CN"/>
        </w:rPr>
      </w:pPr>
      <w:r>
        <w:rPr>
          <w:rFonts w:hint="eastAsia" w:ascii="仿宋" w:hAnsi="仿宋" w:eastAsia="仿宋" w:cs="仿宋"/>
          <w:b/>
          <w:sz w:val="24"/>
          <w:szCs w:val="24"/>
          <w:lang w:val="en-US" w:eastAsia="zh-CN"/>
        </w:rPr>
        <w:t>五.其他内容</w:t>
      </w:r>
      <w:r>
        <w:rPr>
          <w:rFonts w:hint="eastAsia" w:ascii="仿宋" w:hAnsi="仿宋" w:eastAsia="仿宋" w:cs="仿宋"/>
          <w:b/>
          <w:sz w:val="24"/>
          <w:szCs w:val="24"/>
          <w:lang w:val="en-US" w:eastAsia="zh-CN"/>
        </w:rPr>
        <w:tab/>
      </w:r>
    </w:p>
    <w:p>
      <w:pPr>
        <w:spacing w:before="100" w:beforeAutospacing="1" w:after="100" w:afterAutospacing="1" w:line="360" w:lineRule="auto"/>
        <w:jc w:val="center"/>
        <w:outlineLvl w:val="1"/>
        <w:rPr>
          <w:rFonts w:hint="eastAsia" w:ascii="宋体" w:hAnsi="宋体" w:eastAsia="宋体" w:cs="宋体"/>
          <w:sz w:val="30"/>
          <w:szCs w:val="30"/>
        </w:rPr>
      </w:pPr>
      <w:r>
        <w:rPr>
          <w:rFonts w:hint="eastAsia" w:ascii="宋体" w:hAnsi="宋体" w:eastAsia="宋体" w:cs="宋体"/>
          <w:sz w:val="28"/>
          <w:szCs w:val="20"/>
        </w:rPr>
        <w:t>附录1  资格审查条件（资质最低要求）</w:t>
      </w:r>
    </w:p>
    <w:tbl>
      <w:tblPr>
        <w:tblStyle w:val="10"/>
        <w:tblW w:w="975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46"/>
        <w:gridCol w:w="76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146" w:type="dxa"/>
            <w:tcBorders>
              <w:tl2br w:val="nil"/>
              <w:tr2bl w:val="nil"/>
            </w:tcBorders>
            <w:vAlign w:val="center"/>
          </w:tcPr>
          <w:p>
            <w:pPr>
              <w:keepNext w:val="0"/>
              <w:keepLines w:val="0"/>
              <w:pageBreakBefore w:val="0"/>
              <w:widowControl w:val="0"/>
              <w:kinsoku/>
              <w:overflowPunct/>
              <w:topLinePunct w:val="0"/>
              <w:bidi w:val="0"/>
              <w:spacing w:line="360" w:lineRule="auto"/>
              <w:jc w:val="center"/>
              <w:rPr>
                <w:rFonts w:hint="eastAsia" w:ascii="宋体" w:hAnsi="宋体" w:eastAsia="宋体" w:cs="宋体"/>
                <w:b/>
                <w:bCs/>
                <w:kern w:val="144"/>
              </w:rPr>
            </w:pPr>
            <w:r>
              <w:rPr>
                <w:rFonts w:hint="eastAsia" w:ascii="宋体" w:hAnsi="宋体" w:eastAsia="宋体" w:cs="宋体"/>
                <w:b/>
                <w:bCs/>
                <w:kern w:val="144"/>
              </w:rPr>
              <w:t>标段</w:t>
            </w:r>
          </w:p>
        </w:tc>
        <w:tc>
          <w:tcPr>
            <w:tcW w:w="7613" w:type="dxa"/>
            <w:tcBorders>
              <w:tl2br w:val="nil"/>
              <w:tr2bl w:val="nil"/>
            </w:tcBorders>
            <w:vAlign w:val="center"/>
          </w:tcPr>
          <w:p>
            <w:pPr>
              <w:keepNext w:val="0"/>
              <w:keepLines w:val="0"/>
              <w:pageBreakBefore w:val="0"/>
              <w:widowControl w:val="0"/>
              <w:kinsoku/>
              <w:overflowPunct/>
              <w:topLinePunct w:val="0"/>
              <w:bidi w:val="0"/>
              <w:spacing w:line="360" w:lineRule="auto"/>
              <w:jc w:val="center"/>
              <w:rPr>
                <w:rFonts w:hint="eastAsia" w:ascii="宋体" w:hAnsi="宋体" w:eastAsia="宋体" w:cs="宋体"/>
                <w:b/>
                <w:bCs/>
                <w:kern w:val="144"/>
              </w:rPr>
            </w:pPr>
            <w:r>
              <w:rPr>
                <w:rFonts w:hint="eastAsia" w:ascii="宋体" w:hAnsi="宋体" w:eastAsia="宋体" w:cs="宋体"/>
                <w:b/>
                <w:bCs/>
                <w:kern w:val="144"/>
              </w:rPr>
              <w:t>要      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28" w:hRule="atLeast"/>
          <w:jc w:val="center"/>
        </w:trPr>
        <w:tc>
          <w:tcPr>
            <w:tcW w:w="2146" w:type="dxa"/>
            <w:tcBorders>
              <w:tl2br w:val="nil"/>
              <w:tr2bl w:val="nil"/>
            </w:tcBorders>
            <w:vAlign w:val="center"/>
          </w:tcPr>
          <w:p>
            <w:pPr>
              <w:spacing w:line="360" w:lineRule="auto"/>
              <w:jc w:val="center"/>
              <w:rPr>
                <w:rFonts w:hint="eastAsia" w:ascii="宋体" w:hAnsi="宋体" w:eastAsia="宋体" w:cs="宋体"/>
                <w:snapToGrid w:val="0"/>
                <w:kern w:val="0"/>
                <w:szCs w:val="21"/>
              </w:rPr>
            </w:pPr>
            <w:r>
              <w:rPr>
                <w:rFonts w:hint="eastAsia" w:ascii="宋体" w:hAnsi="宋体" w:eastAsia="宋体" w:cs="宋体"/>
                <w:b/>
                <w:bCs/>
                <w:snapToGrid w:val="0"/>
                <w:kern w:val="0"/>
                <w:szCs w:val="21"/>
              </w:rPr>
              <w:t>001</w:t>
            </w:r>
          </w:p>
        </w:tc>
        <w:tc>
          <w:tcPr>
            <w:tcW w:w="7613" w:type="dxa"/>
            <w:tcBorders>
              <w:tl2br w:val="nil"/>
              <w:tr2bl w:val="nil"/>
            </w:tcBorders>
            <w:vAlign w:val="center"/>
          </w:tcPr>
          <w:p>
            <w:pPr>
              <w:ind w:firstLine="420" w:firstLineChars="200"/>
              <w:rPr>
                <w:rFonts w:hint="eastAsia" w:ascii="宋体" w:hAnsi="宋体" w:eastAsia="宋体" w:cs="宋体"/>
                <w:szCs w:val="21"/>
              </w:rPr>
            </w:pPr>
            <w:r>
              <w:rPr>
                <w:rFonts w:hint="eastAsia" w:ascii="宋体" w:hAnsi="宋体" w:eastAsia="宋体" w:cs="宋体"/>
                <w:szCs w:val="21"/>
              </w:rPr>
              <w:t>投标人须具备山西省交通运输厅颁发（核准）的公路养护工程二类甲级从业资质，或同时具备交通运输主管部门颁发的公路养护作业单位路基路面养护甲级、交通安全设施养护资质。</w:t>
            </w:r>
          </w:p>
        </w:tc>
      </w:tr>
    </w:tbl>
    <w:p>
      <w:pPr>
        <w:spacing w:before="100" w:beforeAutospacing="1" w:after="100" w:afterAutospacing="1" w:line="360" w:lineRule="auto"/>
        <w:jc w:val="center"/>
        <w:outlineLvl w:val="1"/>
        <w:rPr>
          <w:rFonts w:hint="eastAsia" w:ascii="宋体" w:hAnsi="宋体" w:eastAsia="宋体" w:cs="宋体"/>
          <w:sz w:val="30"/>
          <w:szCs w:val="30"/>
        </w:rPr>
      </w:pPr>
      <w:r>
        <w:rPr>
          <w:rFonts w:hint="eastAsia" w:ascii="宋体" w:hAnsi="宋体" w:eastAsia="宋体" w:cs="宋体"/>
          <w:sz w:val="36"/>
          <w:szCs w:val="36"/>
        </w:rPr>
        <w:br w:type="page"/>
      </w:r>
      <w:bookmarkStart w:id="29" w:name="_Toc444639998"/>
      <w:bookmarkStart w:id="30" w:name="_Toc443492362"/>
      <w:bookmarkStart w:id="31" w:name="_Toc444678010"/>
      <w:bookmarkStart w:id="32" w:name="_Toc518427616"/>
      <w:r>
        <w:rPr>
          <w:rFonts w:hint="eastAsia" w:ascii="宋体" w:hAnsi="宋体" w:eastAsia="宋体" w:cs="宋体"/>
          <w:sz w:val="28"/>
          <w:szCs w:val="20"/>
        </w:rPr>
        <w:t>附录2  资格审查条件（财务最低要求）</w:t>
      </w:r>
      <w:bookmarkEnd w:id="29"/>
      <w:bookmarkEnd w:id="30"/>
      <w:bookmarkEnd w:id="31"/>
      <w:bookmarkEnd w:id="32"/>
    </w:p>
    <w:tbl>
      <w:tblPr>
        <w:tblStyle w:val="10"/>
        <w:tblW w:w="977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74"/>
        <w:gridCol w:w="76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2174" w:type="dxa"/>
            <w:tcBorders>
              <w:tl2br w:val="nil"/>
              <w:tr2bl w:val="nil"/>
            </w:tcBorders>
            <w:vAlign w:val="center"/>
          </w:tcPr>
          <w:p>
            <w:pPr>
              <w:jc w:val="center"/>
              <w:rPr>
                <w:rFonts w:hint="eastAsia" w:ascii="宋体" w:hAnsi="宋体" w:eastAsia="宋体" w:cs="宋体"/>
                <w:b/>
                <w:szCs w:val="21"/>
              </w:rPr>
            </w:pPr>
            <w:bookmarkStart w:id="33" w:name="_Hlk527014997"/>
            <w:r>
              <w:rPr>
                <w:rFonts w:hint="eastAsia" w:ascii="宋体" w:hAnsi="宋体" w:eastAsia="宋体" w:cs="宋体"/>
                <w:b/>
                <w:szCs w:val="21"/>
              </w:rPr>
              <w:t>标段</w:t>
            </w:r>
          </w:p>
        </w:tc>
        <w:tc>
          <w:tcPr>
            <w:tcW w:w="7605" w:type="dxa"/>
            <w:tcBorders>
              <w:tl2br w:val="nil"/>
              <w:tr2bl w:val="nil"/>
            </w:tcBorders>
            <w:vAlign w:val="center"/>
          </w:tcPr>
          <w:p>
            <w:pPr>
              <w:jc w:val="center"/>
              <w:rPr>
                <w:rFonts w:hint="eastAsia" w:ascii="宋体" w:hAnsi="宋体" w:eastAsia="宋体" w:cs="宋体"/>
                <w:b/>
                <w:szCs w:val="21"/>
              </w:rPr>
            </w:pPr>
            <w:r>
              <w:rPr>
                <w:rFonts w:hint="eastAsia" w:ascii="宋体" w:hAnsi="宋体" w:eastAsia="宋体" w:cs="宋体"/>
                <w:b/>
                <w:szCs w:val="21"/>
              </w:rPr>
              <w:t>财 务 要 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940" w:hRule="atLeast"/>
          <w:jc w:val="center"/>
        </w:trPr>
        <w:tc>
          <w:tcPr>
            <w:tcW w:w="2174" w:type="dxa"/>
            <w:tcBorders>
              <w:tl2br w:val="nil"/>
              <w:tr2bl w:val="nil"/>
            </w:tcBorders>
            <w:vAlign w:val="center"/>
          </w:tcPr>
          <w:p>
            <w:pPr>
              <w:jc w:val="center"/>
              <w:rPr>
                <w:rFonts w:hint="eastAsia" w:ascii="宋体" w:hAnsi="宋体" w:eastAsia="宋体" w:cs="宋体"/>
                <w:sz w:val="24"/>
              </w:rPr>
            </w:pPr>
            <w:r>
              <w:rPr>
                <w:rFonts w:hint="eastAsia" w:ascii="宋体" w:hAnsi="宋体" w:eastAsia="宋体" w:cs="宋体"/>
                <w:b/>
                <w:bCs/>
                <w:snapToGrid w:val="0"/>
                <w:kern w:val="0"/>
                <w:szCs w:val="21"/>
              </w:rPr>
              <w:t>001</w:t>
            </w:r>
          </w:p>
        </w:tc>
        <w:tc>
          <w:tcPr>
            <w:tcW w:w="7605" w:type="dxa"/>
            <w:tcBorders>
              <w:tl2br w:val="nil"/>
              <w:tr2bl w:val="nil"/>
            </w:tcBorders>
            <w:vAlign w:val="center"/>
          </w:tcPr>
          <w:p>
            <w:pPr>
              <w:ind w:firstLine="420" w:firstLineChars="200"/>
              <w:rPr>
                <w:rFonts w:hint="eastAsia" w:ascii="宋体" w:hAnsi="宋体" w:eastAsia="宋体" w:cs="宋体"/>
                <w:szCs w:val="21"/>
              </w:rPr>
            </w:pPr>
            <w:r>
              <w:rPr>
                <w:rFonts w:hint="eastAsia" w:ascii="宋体" w:hAnsi="宋体" w:eastAsia="宋体" w:cs="宋体"/>
                <w:szCs w:val="21"/>
              </w:rPr>
              <w:t>财务要求：投标人2021年度流动资产与流动负债</w:t>
            </w:r>
            <w:r>
              <w:rPr>
                <w:rFonts w:hint="eastAsia" w:ascii="宋体" w:hAnsi="宋体" w:cs="宋体"/>
                <w:szCs w:val="21"/>
                <w:lang w:val="en-US" w:eastAsia="zh-CN"/>
              </w:rPr>
              <w:t>的</w:t>
            </w:r>
            <w:r>
              <w:rPr>
                <w:rFonts w:hint="eastAsia" w:ascii="宋体" w:hAnsi="宋体" w:eastAsia="宋体" w:cs="宋体"/>
                <w:szCs w:val="21"/>
              </w:rPr>
              <w:t>比率不小于1。</w:t>
            </w:r>
          </w:p>
          <w:p>
            <w:pPr>
              <w:ind w:firstLine="480" w:firstLineChars="200"/>
              <w:rPr>
                <w:rFonts w:hint="eastAsia" w:ascii="宋体" w:hAnsi="宋体" w:eastAsia="宋体" w:cs="宋体"/>
                <w:sz w:val="24"/>
              </w:rPr>
            </w:pPr>
          </w:p>
        </w:tc>
      </w:tr>
      <w:bookmarkEnd w:id="33"/>
    </w:tbl>
    <w:p>
      <w:pPr>
        <w:spacing w:before="100" w:beforeAutospacing="1" w:after="100" w:afterAutospacing="1" w:line="360" w:lineRule="auto"/>
        <w:jc w:val="center"/>
        <w:outlineLvl w:val="1"/>
        <w:rPr>
          <w:rFonts w:hint="eastAsia" w:ascii="宋体" w:hAnsi="宋体" w:eastAsia="宋体" w:cs="宋体"/>
          <w:sz w:val="30"/>
          <w:szCs w:val="30"/>
        </w:rPr>
      </w:pPr>
      <w:r>
        <w:rPr>
          <w:rFonts w:hint="eastAsia" w:ascii="宋体" w:hAnsi="宋体" w:eastAsia="宋体" w:cs="宋体"/>
          <w:sz w:val="36"/>
          <w:szCs w:val="36"/>
        </w:rPr>
        <w:br w:type="page"/>
      </w:r>
      <w:bookmarkStart w:id="34" w:name="_Toc443492363"/>
      <w:bookmarkStart w:id="35" w:name="_Toc444678011"/>
      <w:bookmarkStart w:id="36" w:name="_Toc518427617"/>
      <w:bookmarkStart w:id="37" w:name="_Toc444639999"/>
      <w:r>
        <w:rPr>
          <w:rFonts w:hint="eastAsia" w:ascii="宋体" w:hAnsi="宋体" w:eastAsia="宋体" w:cs="宋体"/>
          <w:sz w:val="28"/>
          <w:szCs w:val="20"/>
        </w:rPr>
        <w:t>附录3  资格审查条件（业绩最低要求）</w:t>
      </w:r>
      <w:bookmarkEnd w:id="34"/>
      <w:bookmarkEnd w:id="35"/>
      <w:bookmarkEnd w:id="36"/>
      <w:bookmarkEnd w:id="37"/>
    </w:p>
    <w:tbl>
      <w:tblPr>
        <w:tblStyle w:val="10"/>
        <w:tblW w:w="959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68"/>
        <w:gridCol w:w="75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2068" w:type="dxa"/>
            <w:tcBorders>
              <w:tl2br w:val="nil"/>
              <w:tr2bl w:val="nil"/>
            </w:tcBorders>
            <w:vAlign w:val="center"/>
          </w:tcPr>
          <w:p>
            <w:pPr>
              <w:tabs>
                <w:tab w:val="left" w:pos="765"/>
              </w:tabs>
              <w:spacing w:line="360" w:lineRule="exact"/>
              <w:jc w:val="center"/>
              <w:rPr>
                <w:rFonts w:hint="eastAsia" w:ascii="宋体" w:hAnsi="宋体" w:eastAsia="宋体" w:cs="宋体"/>
                <w:bCs/>
                <w:szCs w:val="21"/>
              </w:rPr>
            </w:pPr>
            <w:r>
              <w:rPr>
                <w:rFonts w:hint="eastAsia" w:ascii="宋体" w:hAnsi="宋体" w:eastAsia="宋体" w:cs="宋体"/>
                <w:b/>
                <w:szCs w:val="21"/>
              </w:rPr>
              <w:t>标段</w:t>
            </w:r>
          </w:p>
        </w:tc>
        <w:tc>
          <w:tcPr>
            <w:tcW w:w="7531" w:type="dxa"/>
            <w:tcBorders>
              <w:tl2br w:val="nil"/>
              <w:tr2bl w:val="nil"/>
            </w:tcBorders>
            <w:vAlign w:val="center"/>
          </w:tcPr>
          <w:p>
            <w:pPr>
              <w:spacing w:line="360" w:lineRule="exact"/>
              <w:jc w:val="center"/>
              <w:rPr>
                <w:rFonts w:hint="eastAsia" w:ascii="宋体" w:hAnsi="宋体" w:eastAsia="宋体" w:cs="宋体"/>
                <w:bCs/>
                <w:szCs w:val="21"/>
              </w:rPr>
            </w:pPr>
            <w:r>
              <w:rPr>
                <w:rFonts w:hint="eastAsia" w:ascii="宋体" w:hAnsi="宋体" w:eastAsia="宋体" w:cs="宋体"/>
                <w:b/>
                <w:szCs w:val="21"/>
              </w:rPr>
              <w:t>业 绩 要 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962" w:hRule="atLeast"/>
          <w:jc w:val="center"/>
        </w:trPr>
        <w:tc>
          <w:tcPr>
            <w:tcW w:w="2068" w:type="dxa"/>
            <w:tcBorders>
              <w:tl2br w:val="nil"/>
              <w:tr2bl w:val="nil"/>
            </w:tcBorders>
            <w:vAlign w:val="center"/>
          </w:tcPr>
          <w:p>
            <w:pPr>
              <w:spacing w:line="360" w:lineRule="exact"/>
              <w:jc w:val="center"/>
              <w:rPr>
                <w:rFonts w:hint="default" w:ascii="宋体" w:hAnsi="宋体" w:eastAsia="宋体" w:cs="宋体"/>
                <w:bCs/>
                <w:szCs w:val="21"/>
                <w:lang w:val="en-US" w:eastAsia="zh-CN"/>
              </w:rPr>
            </w:pPr>
            <w:r>
              <w:rPr>
                <w:rFonts w:hint="eastAsia" w:ascii="宋体" w:hAnsi="宋体" w:eastAsia="宋体" w:cs="宋体"/>
                <w:b/>
                <w:bCs/>
                <w:snapToGrid w:val="0"/>
                <w:kern w:val="0"/>
                <w:szCs w:val="21"/>
                <w:lang w:val="en-US" w:eastAsia="zh-CN"/>
              </w:rPr>
              <w:t>001</w:t>
            </w:r>
          </w:p>
        </w:tc>
        <w:tc>
          <w:tcPr>
            <w:tcW w:w="7531" w:type="dxa"/>
            <w:tcBorders>
              <w:tl2br w:val="nil"/>
              <w:tr2bl w:val="nil"/>
            </w:tcBorders>
            <w:vAlign w:val="center"/>
          </w:tcPr>
          <w:p>
            <w:pPr>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业绩要求：投标人近5年内（2017年11月1日至响应文件递交截止日，以交（竣）工验收时间为准）至少独立完成过1项高速公路路面养护</w:t>
            </w:r>
            <w:r>
              <w:rPr>
                <w:rFonts w:hint="eastAsia" w:ascii="宋体" w:hAnsi="宋体" w:cs="宋体"/>
                <w:szCs w:val="21"/>
                <w:lang w:val="en-US" w:eastAsia="zh-CN"/>
              </w:rPr>
              <w:t>工程的</w:t>
            </w:r>
            <w:r>
              <w:rPr>
                <w:rFonts w:hint="eastAsia" w:ascii="宋体" w:hAnsi="宋体" w:eastAsia="宋体" w:cs="宋体"/>
                <w:szCs w:val="21"/>
                <w:lang w:val="en-US" w:eastAsia="zh-CN"/>
              </w:rPr>
              <w:t>施工业绩。</w:t>
            </w:r>
          </w:p>
          <w:p>
            <w:pPr>
              <w:spacing w:line="360" w:lineRule="auto"/>
              <w:ind w:firstLine="420" w:firstLineChars="200"/>
              <w:rPr>
                <w:rFonts w:hint="eastAsia" w:ascii="宋体" w:hAnsi="宋体" w:eastAsia="宋体" w:cs="宋体"/>
                <w:bCs/>
                <w:szCs w:val="21"/>
              </w:rPr>
            </w:pPr>
          </w:p>
        </w:tc>
      </w:tr>
    </w:tbl>
    <w:p>
      <w:pPr>
        <w:spacing w:before="100" w:beforeAutospacing="1" w:after="100" w:afterAutospacing="1" w:line="360" w:lineRule="auto"/>
        <w:jc w:val="center"/>
        <w:outlineLvl w:val="1"/>
        <w:rPr>
          <w:rFonts w:hint="eastAsia" w:ascii="宋体" w:hAnsi="宋体" w:eastAsia="宋体" w:cs="宋体"/>
          <w:sz w:val="30"/>
          <w:szCs w:val="30"/>
        </w:rPr>
      </w:pPr>
      <w:r>
        <w:rPr>
          <w:rFonts w:hint="eastAsia" w:ascii="宋体" w:hAnsi="宋体" w:eastAsia="宋体" w:cs="宋体"/>
          <w:sz w:val="36"/>
          <w:szCs w:val="36"/>
        </w:rPr>
        <w:br w:type="page"/>
      </w:r>
      <w:bookmarkStart w:id="38" w:name="_Toc444678012"/>
      <w:bookmarkStart w:id="39" w:name="_Toc443492364"/>
      <w:bookmarkStart w:id="40" w:name="_Toc444640000"/>
      <w:bookmarkStart w:id="41" w:name="_Toc518427618"/>
      <w:r>
        <w:rPr>
          <w:rFonts w:hint="eastAsia" w:ascii="宋体" w:hAnsi="宋体" w:eastAsia="宋体" w:cs="宋体"/>
          <w:sz w:val="28"/>
          <w:szCs w:val="20"/>
        </w:rPr>
        <w:t>附录4  资格审查条件（信誉最低要求）</w:t>
      </w:r>
      <w:bookmarkEnd w:id="38"/>
      <w:bookmarkEnd w:id="39"/>
      <w:bookmarkEnd w:id="40"/>
      <w:bookmarkEnd w:id="41"/>
    </w:p>
    <w:tbl>
      <w:tblPr>
        <w:tblStyle w:val="10"/>
        <w:tblW w:w="970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7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9700" w:type="dxa"/>
            <w:tcBorders>
              <w:tl2br w:val="nil"/>
              <w:tr2bl w:val="nil"/>
            </w:tcBorders>
            <w:vAlign w:val="center"/>
          </w:tcPr>
          <w:p>
            <w:pPr>
              <w:spacing w:line="360" w:lineRule="auto"/>
              <w:jc w:val="center"/>
              <w:rPr>
                <w:rFonts w:hint="eastAsia" w:ascii="宋体" w:hAnsi="宋体" w:eastAsia="宋体" w:cs="宋体"/>
                <w:b/>
                <w:szCs w:val="21"/>
              </w:rPr>
            </w:pPr>
            <w:r>
              <w:rPr>
                <w:rFonts w:hint="eastAsia" w:ascii="宋体" w:hAnsi="宋体" w:eastAsia="宋体" w:cs="宋体"/>
                <w:b/>
                <w:szCs w:val="21"/>
              </w:rPr>
              <w:t>信 誉 要 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31" w:hRule="atLeast"/>
          <w:jc w:val="center"/>
        </w:trPr>
        <w:tc>
          <w:tcPr>
            <w:tcW w:w="9700" w:type="dxa"/>
            <w:tcBorders>
              <w:tl2br w:val="nil"/>
              <w:tr2bl w:val="nil"/>
            </w:tcBorders>
            <w:vAlign w:val="center"/>
          </w:tcPr>
          <w:p>
            <w:pPr>
              <w:ind w:firstLine="420" w:firstLineChars="200"/>
              <w:jc w:val="both"/>
              <w:rPr>
                <w:rFonts w:hint="eastAsia" w:ascii="宋体" w:hAnsi="宋体" w:eastAsia="宋体" w:cs="宋体"/>
                <w:szCs w:val="21"/>
                <w:lang w:val="en-US" w:eastAsia="zh-CN"/>
              </w:rPr>
            </w:pPr>
            <w:r>
              <w:rPr>
                <w:rFonts w:hint="eastAsia" w:ascii="宋体" w:hAnsi="宋体" w:eastAsia="宋体" w:cs="宋体"/>
                <w:szCs w:val="21"/>
                <w:lang w:val="en-US" w:eastAsia="zh-CN"/>
              </w:rPr>
              <w:t>1.投标人在近三年（2019年11月1日至投标文件递交截止日）内未在交通工程建设领域因重、特大工程质量、安全事故受到省级及以上行政主管部门的通报，未在山西省公路工程建设项目中发生重大工程质量、安全等事故并受到处理；</w:t>
            </w:r>
          </w:p>
          <w:p>
            <w:pPr>
              <w:ind w:firstLine="420" w:firstLineChars="200"/>
              <w:jc w:val="both"/>
              <w:rPr>
                <w:rFonts w:hint="eastAsia" w:ascii="宋体" w:hAnsi="宋体" w:eastAsia="宋体" w:cs="宋体"/>
                <w:szCs w:val="21"/>
                <w:lang w:val="en-US" w:eastAsia="zh-CN"/>
              </w:rPr>
            </w:pPr>
            <w:r>
              <w:rPr>
                <w:rFonts w:hint="eastAsia" w:ascii="宋体" w:hAnsi="宋体" w:eastAsia="宋体" w:cs="宋体"/>
                <w:szCs w:val="21"/>
                <w:lang w:val="en-US" w:eastAsia="zh-CN"/>
              </w:rPr>
              <w:t>2.投标人未在山西省公路建设市场中发生严重不违约行为；</w:t>
            </w:r>
          </w:p>
          <w:p>
            <w:pPr>
              <w:ind w:firstLine="420" w:firstLineChars="200"/>
              <w:jc w:val="both"/>
              <w:rPr>
                <w:rFonts w:hint="eastAsia" w:ascii="宋体" w:hAnsi="宋体" w:eastAsia="宋体" w:cs="宋体"/>
                <w:szCs w:val="21"/>
                <w:lang w:val="en-US" w:eastAsia="zh-CN"/>
              </w:rPr>
            </w:pPr>
            <w:r>
              <w:rPr>
                <w:rFonts w:hint="eastAsia" w:ascii="宋体" w:hAnsi="宋体" w:eastAsia="宋体" w:cs="宋体"/>
                <w:szCs w:val="21"/>
                <w:lang w:val="en-US" w:eastAsia="zh-CN"/>
              </w:rPr>
              <w:t>3.投标人在交通运输部或山西省公路建设市场最新信用评价的考核定级中，未被评价为D级或曾被评价为D级但处罚期限已过；</w:t>
            </w:r>
          </w:p>
          <w:p>
            <w:pPr>
              <w:ind w:firstLine="420" w:firstLineChars="200"/>
              <w:jc w:val="both"/>
              <w:rPr>
                <w:rFonts w:hint="eastAsia" w:ascii="宋体" w:hAnsi="宋体" w:eastAsia="宋体" w:cs="宋体"/>
                <w:szCs w:val="21"/>
              </w:rPr>
            </w:pPr>
            <w:r>
              <w:rPr>
                <w:rFonts w:hint="eastAsia" w:ascii="宋体" w:hAnsi="宋体" w:eastAsia="宋体" w:cs="宋体"/>
                <w:szCs w:val="21"/>
                <w:lang w:val="en-US" w:eastAsia="zh-CN"/>
              </w:rPr>
              <w:t>4.投标人满足“投标人须知”第1.4.4项规定的内容。</w:t>
            </w:r>
          </w:p>
        </w:tc>
      </w:tr>
    </w:tbl>
    <w:p>
      <w:pPr>
        <w:spacing w:before="100" w:beforeAutospacing="1" w:after="100" w:afterAutospacing="1" w:line="360" w:lineRule="auto"/>
        <w:jc w:val="center"/>
        <w:outlineLvl w:val="1"/>
        <w:rPr>
          <w:rFonts w:hint="eastAsia" w:ascii="宋体" w:hAnsi="宋体" w:eastAsia="宋体" w:cs="宋体"/>
          <w:sz w:val="30"/>
          <w:szCs w:val="30"/>
        </w:rPr>
      </w:pPr>
      <w:r>
        <w:rPr>
          <w:rFonts w:hint="eastAsia" w:ascii="宋体" w:hAnsi="宋体" w:eastAsia="宋体" w:cs="宋体"/>
          <w:sz w:val="36"/>
          <w:szCs w:val="36"/>
        </w:rPr>
        <w:br w:type="page"/>
      </w:r>
      <w:bookmarkStart w:id="42" w:name="_Toc518427619"/>
      <w:bookmarkStart w:id="43" w:name="_Toc444678013"/>
      <w:bookmarkStart w:id="44" w:name="_Toc443492365"/>
      <w:bookmarkStart w:id="45" w:name="_Toc444640001"/>
      <w:r>
        <w:rPr>
          <w:rFonts w:hint="eastAsia" w:ascii="宋体" w:hAnsi="宋体" w:eastAsia="宋体" w:cs="宋体"/>
          <w:sz w:val="28"/>
          <w:szCs w:val="20"/>
        </w:rPr>
        <w:t>附录5  资格审查条件（项目经理和项目总工最低要求）</w:t>
      </w:r>
      <w:bookmarkEnd w:id="42"/>
      <w:bookmarkEnd w:id="43"/>
      <w:bookmarkEnd w:id="44"/>
      <w:bookmarkEnd w:id="45"/>
    </w:p>
    <w:tbl>
      <w:tblPr>
        <w:tblStyle w:val="10"/>
        <w:tblW w:w="913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944"/>
        <w:gridCol w:w="5522"/>
        <w:gridCol w:w="15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1097" w:type="dxa"/>
            <w:tcBorders>
              <w:tl2br w:val="nil"/>
              <w:tr2bl w:val="nil"/>
            </w:tcBorders>
            <w:vAlign w:val="center"/>
          </w:tcPr>
          <w:p>
            <w:pPr>
              <w:jc w:val="center"/>
              <w:rPr>
                <w:rFonts w:hint="eastAsia" w:ascii="宋体" w:hAnsi="宋体" w:eastAsia="宋体" w:cs="宋体"/>
                <w:b/>
                <w:szCs w:val="21"/>
              </w:rPr>
            </w:pPr>
            <w:r>
              <w:rPr>
                <w:rFonts w:hint="eastAsia" w:ascii="宋体" w:hAnsi="宋体" w:eastAsia="宋体" w:cs="宋体"/>
                <w:b/>
                <w:szCs w:val="21"/>
              </w:rPr>
              <w:t>人员</w:t>
            </w:r>
          </w:p>
        </w:tc>
        <w:tc>
          <w:tcPr>
            <w:tcW w:w="944" w:type="dxa"/>
            <w:tcBorders>
              <w:tl2br w:val="nil"/>
              <w:tr2bl w:val="nil"/>
            </w:tcBorders>
            <w:vAlign w:val="center"/>
          </w:tcPr>
          <w:p>
            <w:pPr>
              <w:jc w:val="center"/>
              <w:rPr>
                <w:rFonts w:hint="eastAsia" w:ascii="宋体" w:hAnsi="宋体" w:eastAsia="宋体" w:cs="宋体"/>
                <w:b/>
                <w:szCs w:val="21"/>
              </w:rPr>
            </w:pPr>
            <w:r>
              <w:rPr>
                <w:rFonts w:hint="eastAsia" w:ascii="宋体" w:hAnsi="宋体" w:eastAsia="宋体" w:cs="宋体"/>
                <w:b/>
                <w:szCs w:val="21"/>
              </w:rPr>
              <w:t>数量</w:t>
            </w:r>
          </w:p>
        </w:tc>
        <w:tc>
          <w:tcPr>
            <w:tcW w:w="5522" w:type="dxa"/>
            <w:tcBorders>
              <w:tl2br w:val="nil"/>
              <w:tr2bl w:val="nil"/>
            </w:tcBorders>
            <w:vAlign w:val="center"/>
          </w:tcPr>
          <w:p>
            <w:pPr>
              <w:jc w:val="center"/>
              <w:rPr>
                <w:rFonts w:hint="eastAsia" w:ascii="宋体" w:hAnsi="宋体" w:eastAsia="宋体" w:cs="宋体"/>
                <w:b/>
                <w:szCs w:val="21"/>
              </w:rPr>
            </w:pPr>
            <w:r>
              <w:rPr>
                <w:rFonts w:hint="eastAsia" w:ascii="宋体" w:hAnsi="宋体" w:eastAsia="宋体" w:cs="宋体"/>
                <w:b/>
                <w:szCs w:val="21"/>
                <w:highlight w:val="none"/>
              </w:rPr>
              <w:t>资格要求</w:t>
            </w:r>
          </w:p>
        </w:tc>
        <w:tc>
          <w:tcPr>
            <w:tcW w:w="1575" w:type="dxa"/>
            <w:tcBorders>
              <w:tl2br w:val="nil"/>
              <w:tr2bl w:val="nil"/>
            </w:tcBorders>
            <w:vAlign w:val="center"/>
          </w:tcPr>
          <w:p>
            <w:pPr>
              <w:jc w:val="center"/>
              <w:rPr>
                <w:rFonts w:hint="eastAsia" w:ascii="宋体" w:hAnsi="宋体" w:eastAsia="宋体" w:cs="宋体"/>
                <w:b/>
                <w:szCs w:val="21"/>
              </w:rPr>
            </w:pPr>
            <w:r>
              <w:rPr>
                <w:rFonts w:hint="eastAsia" w:ascii="宋体" w:hAnsi="宋体" w:eastAsia="宋体" w:cs="宋体"/>
                <w:b/>
              </w:rPr>
              <w:t xml:space="preserve">在岗要求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2" w:hRule="atLeast"/>
          <w:jc w:val="center"/>
        </w:trPr>
        <w:tc>
          <w:tcPr>
            <w:tcW w:w="1097" w:type="dxa"/>
            <w:tcBorders>
              <w:tl2br w:val="nil"/>
              <w:tr2bl w:val="nil"/>
            </w:tcBorders>
            <w:vAlign w:val="center"/>
          </w:tcPr>
          <w:p>
            <w:pPr>
              <w:jc w:val="center"/>
              <w:rPr>
                <w:rFonts w:hint="eastAsia" w:ascii="宋体" w:hAnsi="宋体" w:eastAsia="宋体" w:cs="宋体"/>
                <w:szCs w:val="21"/>
              </w:rPr>
            </w:pPr>
            <w:r>
              <w:rPr>
                <w:rFonts w:hint="eastAsia" w:ascii="宋体" w:hAnsi="宋体" w:eastAsia="宋体" w:cs="宋体"/>
                <w:szCs w:val="21"/>
              </w:rPr>
              <w:t>项目</w:t>
            </w:r>
          </w:p>
          <w:p>
            <w:pPr>
              <w:jc w:val="center"/>
              <w:rPr>
                <w:rFonts w:hint="eastAsia" w:ascii="宋体" w:hAnsi="宋体" w:eastAsia="宋体" w:cs="宋体"/>
                <w:szCs w:val="21"/>
              </w:rPr>
            </w:pPr>
            <w:r>
              <w:rPr>
                <w:rFonts w:hint="eastAsia" w:ascii="宋体" w:hAnsi="宋体" w:eastAsia="宋体" w:cs="宋体"/>
                <w:szCs w:val="21"/>
              </w:rPr>
              <w:t>经理</w:t>
            </w:r>
          </w:p>
        </w:tc>
        <w:tc>
          <w:tcPr>
            <w:tcW w:w="944" w:type="dxa"/>
            <w:tcBorders>
              <w:tl2br w:val="nil"/>
              <w:tr2bl w:val="nil"/>
            </w:tcBorders>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5522" w:type="dxa"/>
            <w:tcBorders>
              <w:tl2br w:val="nil"/>
              <w:tr2bl w:val="nil"/>
            </w:tcBorders>
            <w:vAlign w:val="center"/>
          </w:tcPr>
          <w:p>
            <w:pPr>
              <w:ind w:firstLine="420" w:firstLineChars="200"/>
              <w:jc w:val="both"/>
              <w:rPr>
                <w:rFonts w:hint="eastAsia"/>
              </w:rPr>
            </w:pPr>
            <w:r>
              <w:rPr>
                <w:rFonts w:hint="eastAsia"/>
              </w:rPr>
              <w:t>拟任项目经理（1名）最低资格要求：公路工程相关专业中级或以上技术职称，具备公路工程专业一级注册建造师执业资格（注册单位与投标人单位名称一致），持有交通运输主管部门颁发的有效的安全生产考核合格证书B类（登记单位与投标人单位名称一致），且在本单位任职。作为项目经理近五年内（2017年11月1日至投标文件递交截止日，以交（竣）工验收时间为准）至少完成过1项高速公路养护工程的施工管理。</w:t>
            </w:r>
          </w:p>
          <w:p>
            <w:pPr>
              <w:ind w:firstLine="420" w:firstLineChars="200"/>
              <w:jc w:val="both"/>
              <w:rPr>
                <w:rFonts w:hint="eastAsia"/>
              </w:rPr>
            </w:pPr>
          </w:p>
        </w:tc>
        <w:tc>
          <w:tcPr>
            <w:tcW w:w="1575" w:type="dxa"/>
            <w:vMerge w:val="restart"/>
            <w:tcBorders>
              <w:tl2br w:val="nil"/>
              <w:tr2bl w:val="nil"/>
            </w:tcBorders>
            <w:vAlign w:val="center"/>
          </w:tcPr>
          <w:p>
            <w:pPr>
              <w:autoSpaceDE w:val="0"/>
              <w:autoSpaceDN w:val="0"/>
              <w:adjustRightInd w:val="0"/>
              <w:snapToGrid w:val="0"/>
              <w:jc w:val="left"/>
              <w:rPr>
                <w:rFonts w:hint="eastAsia" w:ascii="宋体" w:hAnsi="宋体" w:eastAsia="宋体" w:cs="宋体"/>
                <w:kern w:val="0"/>
                <w:szCs w:val="21"/>
              </w:rPr>
            </w:pPr>
            <w:r>
              <w:rPr>
                <w:rFonts w:hint="eastAsia" w:ascii="宋体" w:hAnsi="宋体" w:eastAsia="宋体" w:cs="宋体"/>
              </w:rPr>
              <w:t xml:space="preserve">无在岗项目（指目前未在其他项目上任职，或虽在其他项目上任职但本项目中标后能够从该项目撤离）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79" w:hRule="atLeast"/>
          <w:jc w:val="center"/>
        </w:trPr>
        <w:tc>
          <w:tcPr>
            <w:tcW w:w="1097" w:type="dxa"/>
            <w:tcBorders>
              <w:tl2br w:val="nil"/>
              <w:tr2bl w:val="nil"/>
            </w:tcBorders>
            <w:vAlign w:val="center"/>
          </w:tcPr>
          <w:p>
            <w:pPr>
              <w:jc w:val="center"/>
              <w:rPr>
                <w:rFonts w:hint="eastAsia" w:ascii="宋体" w:hAnsi="宋体" w:eastAsia="宋体" w:cs="宋体"/>
                <w:szCs w:val="21"/>
              </w:rPr>
            </w:pPr>
            <w:r>
              <w:rPr>
                <w:rFonts w:hint="eastAsia" w:ascii="宋体" w:hAnsi="宋体" w:eastAsia="宋体" w:cs="宋体"/>
                <w:szCs w:val="21"/>
              </w:rPr>
              <w:t>项目</w:t>
            </w:r>
          </w:p>
          <w:p>
            <w:pPr>
              <w:jc w:val="center"/>
              <w:rPr>
                <w:rFonts w:hint="eastAsia" w:ascii="宋体" w:hAnsi="宋体" w:eastAsia="宋体" w:cs="宋体"/>
                <w:szCs w:val="21"/>
              </w:rPr>
            </w:pPr>
            <w:r>
              <w:rPr>
                <w:rFonts w:hint="eastAsia" w:ascii="宋体" w:hAnsi="宋体" w:eastAsia="宋体" w:cs="宋体"/>
                <w:szCs w:val="21"/>
              </w:rPr>
              <w:t>总工</w:t>
            </w:r>
          </w:p>
        </w:tc>
        <w:tc>
          <w:tcPr>
            <w:tcW w:w="944" w:type="dxa"/>
            <w:tcBorders>
              <w:tl2br w:val="nil"/>
              <w:tr2bl w:val="nil"/>
            </w:tcBorders>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5522" w:type="dxa"/>
            <w:tcBorders>
              <w:tl2br w:val="nil"/>
              <w:tr2bl w:val="nil"/>
            </w:tcBorders>
            <w:vAlign w:val="center"/>
          </w:tcPr>
          <w:p>
            <w:pPr>
              <w:ind w:firstLine="420" w:firstLineChars="200"/>
              <w:rPr>
                <w:rFonts w:hint="default" w:ascii="宋体" w:hAnsi="宋体" w:eastAsia="宋体" w:cs="宋体"/>
                <w:szCs w:val="21"/>
                <w:lang w:val="en-US"/>
              </w:rPr>
            </w:pPr>
            <w:r>
              <w:rPr>
                <w:rFonts w:hint="eastAsia" w:ascii="宋体" w:hAnsi="宋体" w:eastAsia="宋体" w:cs="宋体"/>
                <w:szCs w:val="21"/>
                <w:lang w:val="en-US" w:eastAsia="zh-CN"/>
              </w:rPr>
              <w:t>拟任项目总工（1名）最低资格要求：公路工程相关专业中级或以上技术职称，持有交通运输主管部门颁发的有效的安全生产考核合格证书B类（登记单位与投标人单位名称一致），且在本单位任职。作为项目总工近五年内（2017年11月1日至投标文件递交截止日，以交（竣）工验收时间为准）至少完成过1项高速公路养护工程的技术管理。</w:t>
            </w:r>
          </w:p>
        </w:tc>
        <w:tc>
          <w:tcPr>
            <w:tcW w:w="1575" w:type="dxa"/>
            <w:vMerge w:val="continue"/>
            <w:tcBorders>
              <w:tl2br w:val="nil"/>
              <w:tr2bl w:val="nil"/>
            </w:tcBorders>
          </w:tcPr>
          <w:p>
            <w:pPr>
              <w:rPr>
                <w:rFonts w:hint="eastAsia" w:ascii="宋体" w:hAnsi="宋体" w:eastAsia="宋体" w:cs="宋体"/>
                <w:szCs w:val="21"/>
              </w:rPr>
            </w:pPr>
          </w:p>
        </w:tc>
      </w:tr>
    </w:tbl>
    <w:p>
      <w:pPr>
        <w:pStyle w:val="2"/>
        <w:kinsoku w:val="0"/>
        <w:overflowPunct w:val="0"/>
        <w:spacing w:line="420" w:lineRule="exact"/>
        <w:ind w:left="0" w:leftChars="0" w:firstLine="0" w:firstLineChars="0"/>
        <w:rPr>
          <w:rFonts w:hint="default" w:ascii="Times New Roman" w:hAnsi="Times New Roman" w:eastAsia="仿宋" w:cs="Times New Roman"/>
        </w:rPr>
      </w:pP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0D"/>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21"/>
        <w:szCs w:val="21"/>
      </w:rPr>
    </w:pPr>
    <w:r>
      <w:rPr>
        <w:rFonts w:hint="eastAsia" w:ascii="黑体" w:hAnsi="黑体" w:eastAsia="黑体" w:cs="黑体"/>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pStyle w:val="8"/>
      </w:pPr>
      <w:r>
        <w:rPr>
          <w:rStyle w:val="12"/>
        </w:rPr>
        <w:footnoteRef/>
      </w:r>
      <w:r>
        <w:t xml:space="preserve"> </w:t>
      </w:r>
      <w:r>
        <w:rPr>
          <w:rFonts w:hint="eastAsia"/>
        </w:rPr>
        <w:t>如果投标人的评标价＞评标基准价，</w:t>
      </w:r>
      <w:r>
        <w:t>E1</w:t>
      </w:r>
      <w:r>
        <w:rPr>
          <w:rFonts w:hint="eastAsia"/>
        </w:rPr>
        <w:t>取</w:t>
      </w:r>
      <w:r>
        <w:t>1</w:t>
      </w:r>
      <w:r>
        <w:rPr>
          <w:rFonts w:hint="eastAsia"/>
        </w:rPr>
        <w:t>～</w:t>
      </w:r>
      <w:r>
        <w:t>2</w:t>
      </w:r>
      <w:r>
        <w:rPr>
          <w:rFonts w:hint="eastAsia"/>
        </w:rPr>
        <w:t>，如果投标人的评标价≤评标基准价，</w:t>
      </w:r>
      <w:r>
        <w:t>E2</w:t>
      </w:r>
      <w:r>
        <w:rPr>
          <w:rFonts w:hint="eastAsia"/>
        </w:rPr>
        <w:t>取</w:t>
      </w:r>
      <w:r>
        <w:t>0.5</w:t>
      </w:r>
      <w:r>
        <w:rPr>
          <w:rFonts w:hint="eastAsia"/>
        </w:rPr>
        <w:t>～</w:t>
      </w:r>
      <w:r>
        <w:t>1</w:t>
      </w:r>
      <w:r>
        <w:rPr>
          <w:rFonts w:hint="eastAsia"/>
        </w:rPr>
        <w:t>。</w:t>
      </w:r>
    </w:p>
  </w:footnote>
  <w:footnote w:id="1">
    <w:p>
      <w:pPr>
        <w:pStyle w:val="8"/>
      </w:pPr>
      <w:r>
        <w:rPr>
          <w:rStyle w:val="12"/>
        </w:rPr>
        <w:footnoteRef/>
      </w:r>
      <w:r>
        <w:t xml:space="preserve"> </w:t>
      </w:r>
      <w:r>
        <w:rPr>
          <w:rFonts w:hint="eastAsia"/>
        </w:rPr>
        <w:t>按照山西省信用评分的相关规定执行。</w:t>
      </w:r>
    </w:p>
  </w:footnote>
  <w:footnote w:id="2">
    <w:p>
      <w:pPr>
        <w:pStyle w:val="8"/>
      </w:pPr>
      <w:r>
        <w:rPr>
          <w:rStyle w:val="12"/>
        </w:rPr>
        <w:footnoteRef/>
      </w:r>
      <w:r>
        <w:t xml:space="preserve"> </w:t>
      </w:r>
      <w:r>
        <w:rPr>
          <w:rFonts w:hint="eastAsia"/>
        </w:rPr>
        <w:t>如本项目招标由投标人按照招标人提供的书面工程量清单填写本合同各工程子目的单价、合价和总额价，则评标委员会按照本章第</w:t>
      </w:r>
      <w:r>
        <w:t>3.3.2</w:t>
      </w:r>
      <w:r>
        <w:rPr>
          <w:rFonts w:hint="eastAsia"/>
        </w:rPr>
        <w:t>项和第</w:t>
      </w:r>
      <w:r>
        <w:t>3.3.3</w:t>
      </w:r>
      <w:r>
        <w:rPr>
          <w:rFonts w:hint="eastAsia"/>
        </w:rPr>
        <w:t>项的规定对投标人的投标报价进行修正。如本项目招标由投标人按照招标人提供的工程量固化清单电子文件填写工程量清单，无须按照本章第</w:t>
      </w:r>
      <w:r>
        <w:t>3.3.2</w:t>
      </w:r>
      <w:r>
        <w:rPr>
          <w:rFonts w:hint="eastAsia"/>
        </w:rPr>
        <w:t>项和第</w:t>
      </w:r>
      <w:r>
        <w:t>3.3.3</w:t>
      </w:r>
      <w:r>
        <w:rPr>
          <w:rFonts w:hint="eastAsia"/>
        </w:rPr>
        <w:t>项的规定对投标报价进行修正，第</w:t>
      </w:r>
      <w:r>
        <w:t>3.3.2</w:t>
      </w:r>
      <w:r>
        <w:rPr>
          <w:rFonts w:hint="eastAsia"/>
        </w:rPr>
        <w:t>项至第</w:t>
      </w:r>
      <w:r>
        <w:t>3.3.5</w:t>
      </w:r>
      <w:r>
        <w:rPr>
          <w:rFonts w:hint="eastAsia"/>
        </w:rPr>
        <w:t>项内容不适用。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6"/>
    <w:footnote w:id="7"/>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YTIzNTAyZjI4OGFiYjcwMTRiNWNmODJlNDMwMmEifQ=="/>
  </w:docVars>
  <w:rsids>
    <w:rsidRoot w:val="691C1D1B"/>
    <w:rsid w:val="01D53811"/>
    <w:rsid w:val="030B3BB3"/>
    <w:rsid w:val="03D85E23"/>
    <w:rsid w:val="03FF3D9A"/>
    <w:rsid w:val="07243642"/>
    <w:rsid w:val="08253C7F"/>
    <w:rsid w:val="0C1B40EA"/>
    <w:rsid w:val="0DEE4F6D"/>
    <w:rsid w:val="0E500807"/>
    <w:rsid w:val="10BA53FD"/>
    <w:rsid w:val="16393222"/>
    <w:rsid w:val="21644AD8"/>
    <w:rsid w:val="218C4997"/>
    <w:rsid w:val="235C138F"/>
    <w:rsid w:val="24E10292"/>
    <w:rsid w:val="254F010E"/>
    <w:rsid w:val="271D1DBA"/>
    <w:rsid w:val="295E6948"/>
    <w:rsid w:val="295F57ED"/>
    <w:rsid w:val="29BE5067"/>
    <w:rsid w:val="2A0232CF"/>
    <w:rsid w:val="2A600C13"/>
    <w:rsid w:val="2B250CAA"/>
    <w:rsid w:val="2BA769AB"/>
    <w:rsid w:val="2DE97221"/>
    <w:rsid w:val="2E22383C"/>
    <w:rsid w:val="2FBF7DE5"/>
    <w:rsid w:val="31CB082A"/>
    <w:rsid w:val="3548237A"/>
    <w:rsid w:val="35FF6626"/>
    <w:rsid w:val="36063A32"/>
    <w:rsid w:val="3729700D"/>
    <w:rsid w:val="38845576"/>
    <w:rsid w:val="3A82130D"/>
    <w:rsid w:val="3AE55B2F"/>
    <w:rsid w:val="3F5078EC"/>
    <w:rsid w:val="41512065"/>
    <w:rsid w:val="432B5B4E"/>
    <w:rsid w:val="435968D0"/>
    <w:rsid w:val="4540092C"/>
    <w:rsid w:val="455F7245"/>
    <w:rsid w:val="458B1CA5"/>
    <w:rsid w:val="47C77051"/>
    <w:rsid w:val="4AB46209"/>
    <w:rsid w:val="4AE97B73"/>
    <w:rsid w:val="4B043FA0"/>
    <w:rsid w:val="4F5E0974"/>
    <w:rsid w:val="53E12E15"/>
    <w:rsid w:val="54200610"/>
    <w:rsid w:val="542F5F5D"/>
    <w:rsid w:val="56881D03"/>
    <w:rsid w:val="5CD41DD8"/>
    <w:rsid w:val="5CF64481"/>
    <w:rsid w:val="5D751F9C"/>
    <w:rsid w:val="60A04F7A"/>
    <w:rsid w:val="61307E7B"/>
    <w:rsid w:val="618F629E"/>
    <w:rsid w:val="66AE3383"/>
    <w:rsid w:val="68CB3873"/>
    <w:rsid w:val="691C1D1B"/>
    <w:rsid w:val="6922410C"/>
    <w:rsid w:val="69A85446"/>
    <w:rsid w:val="6AA14FD0"/>
    <w:rsid w:val="6C25217A"/>
    <w:rsid w:val="6C75797B"/>
    <w:rsid w:val="6CC87405"/>
    <w:rsid w:val="6DF25BEE"/>
    <w:rsid w:val="6DF87AF7"/>
    <w:rsid w:val="705431DA"/>
    <w:rsid w:val="773E4B7E"/>
    <w:rsid w:val="7776420B"/>
    <w:rsid w:val="791A26BE"/>
    <w:rsid w:val="7B222A93"/>
    <w:rsid w:val="7C4E7C8F"/>
    <w:rsid w:val="7C7D32AB"/>
    <w:rsid w:val="7DFB33B2"/>
    <w:rsid w:val="7E53034C"/>
    <w:rsid w:val="7F882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99"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tabs>
        <w:tab w:val="left" w:pos="747"/>
      </w:tabs>
      <w:spacing w:before="260" w:after="260" w:line="480" w:lineRule="exact"/>
      <w:jc w:val="center"/>
      <w:outlineLvl w:val="1"/>
    </w:pPr>
    <w:rPr>
      <w:rFonts w:ascii="宋体" w:hAnsi="宋体" w:eastAsia="黑体"/>
      <w:bCs/>
      <w:i/>
      <w:iCs/>
      <w:sz w:val="24"/>
      <w:szCs w:val="20"/>
    </w:rPr>
  </w:style>
  <w:style w:type="paragraph" w:styleId="4">
    <w:name w:val="heading 3"/>
    <w:basedOn w:val="1"/>
    <w:next w:val="1"/>
    <w:qFormat/>
    <w:uiPriority w:val="99"/>
    <w:pPr>
      <w:keepNext/>
      <w:keepLines/>
      <w:spacing w:before="260" w:after="260" w:line="416" w:lineRule="auto"/>
      <w:outlineLvl w:val="2"/>
    </w:pPr>
    <w:rPr>
      <w:b/>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ind w:left="146"/>
    </w:pPr>
    <w:rPr>
      <w:rFonts w:ascii="宋体" w:hAnsi="宋体" w:eastAsia="宋体"/>
      <w:sz w:val="23"/>
      <w:szCs w:val="23"/>
    </w:rPr>
  </w:style>
  <w:style w:type="paragraph" w:styleId="5">
    <w:name w:val="Normal Indent"/>
    <w:basedOn w:val="1"/>
    <w:qFormat/>
    <w:uiPriority w:val="0"/>
    <w:pPr>
      <w:ind w:firstLine="420" w:firstLineChars="200"/>
    </w:pPr>
  </w:style>
  <w:style w:type="paragraph" w:styleId="6">
    <w:name w:val="footer"/>
    <w:basedOn w:val="1"/>
    <w:next w:val="1"/>
    <w:qFormat/>
    <w:uiPriority w:val="99"/>
    <w:pPr>
      <w:tabs>
        <w:tab w:val="center" w:pos="4153"/>
        <w:tab w:val="right" w:pos="8306"/>
      </w:tabs>
      <w:snapToGrid w:val="0"/>
      <w:jc w:val="left"/>
    </w:pPr>
    <w:rPr>
      <w:sz w:val="18"/>
      <w:szCs w:val="18"/>
    </w:rPr>
  </w:style>
  <w:style w:type="paragraph" w:styleId="7">
    <w:name w:val="header"/>
    <w:basedOn w:val="1"/>
    <w:qFormat/>
    <w:uiPriority w:val="99"/>
    <w:pPr>
      <w:tabs>
        <w:tab w:val="center" w:pos="4153"/>
        <w:tab w:val="right" w:pos="8306"/>
      </w:tabs>
      <w:snapToGrid w:val="0"/>
      <w:jc w:val="center"/>
    </w:pPr>
    <w:rPr>
      <w:sz w:val="18"/>
      <w:szCs w:val="18"/>
    </w:rPr>
  </w:style>
  <w:style w:type="paragraph" w:styleId="8">
    <w:name w:val="footnote text"/>
    <w:basedOn w:val="1"/>
    <w:qFormat/>
    <w:uiPriority w:val="99"/>
    <w:pPr>
      <w:snapToGrid w:val="0"/>
      <w:jc w:val="left"/>
    </w:pPr>
    <w:rPr>
      <w:sz w:val="18"/>
      <w:szCs w:val="18"/>
    </w:rPr>
  </w:style>
  <w:style w:type="paragraph" w:styleId="9">
    <w:name w:val="Normal (Web)"/>
    <w:basedOn w:val="1"/>
    <w:next w:val="1"/>
    <w:qFormat/>
    <w:uiPriority w:val="0"/>
    <w:pPr>
      <w:widowControl/>
      <w:spacing w:before="100" w:beforeLines="0" w:beforeAutospacing="1" w:after="100" w:afterLines="0" w:afterAutospacing="1"/>
      <w:jc w:val="left"/>
    </w:pPr>
    <w:rPr>
      <w:rFonts w:ascii="宋体" w:hAnsi="宋体" w:cs="Arial"/>
      <w:color w:val="0000FF"/>
      <w:kern w:val="0"/>
      <w:sz w:val="24"/>
    </w:rPr>
  </w:style>
  <w:style w:type="character" w:styleId="12">
    <w:name w:val="footnote reference"/>
    <w:basedOn w:val="11"/>
    <w:qFormat/>
    <w:uiPriority w:val="99"/>
    <w:rPr>
      <w:rFonts w:cs="Times New Roman"/>
      <w:vertAlign w:val="superscript"/>
    </w:rPr>
  </w:style>
  <w:style w:type="paragraph" w:customStyle="1" w:styleId="13">
    <w:name w:val="Table Paragraph"/>
    <w:basedOn w:val="1"/>
    <w:unhideWhenUsed/>
    <w:qFormat/>
    <w:uiPriority w:val="1"/>
    <w:pPr>
      <w:spacing w:beforeLines="0" w:afterLines="0"/>
    </w:pPr>
    <w:rPr>
      <w:rFonts w:hint="default"/>
      <w:sz w:val="24"/>
    </w:rPr>
  </w:style>
  <w:style w:type="paragraph" w:customStyle="1" w:styleId="14">
    <w:name w:val="p0"/>
    <w:basedOn w:val="1"/>
    <w:qFormat/>
    <w:uiPriority w:val="0"/>
    <w:pPr>
      <w:widowControl/>
    </w:pPr>
    <w:rPr>
      <w:kern w:val="0"/>
      <w:szCs w:val="21"/>
    </w:rPr>
  </w:style>
  <w:style w:type="paragraph" w:customStyle="1" w:styleId="15">
    <w:name w:val="样式 标题 3 + (中文) 黑体 小四 非加粗 段前: 7.8 磅 段后: 0 磅 行距: 固定值 20 磅"/>
    <w:basedOn w:val="4"/>
    <w:qFormat/>
    <w:uiPriority w:val="99"/>
    <w:pPr>
      <w:spacing w:before="0" w:after="0" w:line="400" w:lineRule="exact"/>
    </w:pPr>
    <w:rPr>
      <w:rFonts w:eastAsia="黑体" w:cs="宋体"/>
      <w:b w:val="0"/>
      <w:bCs w:val="0"/>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2022-03-08T07:44:00Z</dcterms:created>
  <dc:creator>______浮夸。</dc:creator>
  <cp:lastModifiedBy>祁</cp:lastModifiedBy>
  <dcterms:modified xsi:type="dcterms:W3CDTF">2022-11-22T02:23:46Z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191ACD86A1304F5992D1A4A997D99495</vt:lpwstr>
  </property>
</Properties>
</file>