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32"/>
          <w:szCs w:val="24"/>
          <w:lang w:val="en-US" w:eastAsia="zh-CN"/>
        </w:rPr>
      </w:pPr>
      <w:r>
        <w:rPr>
          <w:rFonts w:ascii="宋体" w:hAnsi="宋体" w:eastAsia="宋体" w:cs="宋体"/>
          <w:b/>
          <w:sz w:val="32"/>
          <w:szCs w:val="24"/>
        </w:rPr>
        <w:t>国道</w:t>
      </w:r>
      <w:r>
        <w:rPr>
          <w:rFonts w:ascii="Calibri" w:hAnsi="Calibri" w:eastAsia="Calibri" w:cs="Calibri"/>
          <w:b/>
          <w:sz w:val="32"/>
          <w:szCs w:val="24"/>
        </w:rPr>
        <w:t>342</w:t>
      </w:r>
      <w:r>
        <w:rPr>
          <w:rFonts w:ascii="宋体" w:hAnsi="宋体" w:eastAsia="宋体" w:cs="宋体"/>
          <w:b/>
          <w:sz w:val="32"/>
          <w:szCs w:val="24"/>
        </w:rPr>
        <w:t>线闻喜县城过境改线工程施工监理</w:t>
      </w:r>
      <w:r>
        <w:rPr>
          <w:rFonts w:hint="eastAsia" w:ascii="宋体" w:hAnsi="宋体" w:cs="宋体"/>
          <w:b/>
          <w:sz w:val="32"/>
          <w:szCs w:val="24"/>
          <w:lang w:val="en-US" w:eastAsia="zh-CN"/>
        </w:rPr>
        <w:t>关键内容公开</w:t>
      </w:r>
    </w:p>
    <w:p>
      <w:pPr>
        <w:spacing w:line="360" w:lineRule="auto"/>
        <w:rPr>
          <w:rFonts w:ascii="宋体" w:hAnsi="宋体" w:eastAsia="宋体" w:cs="宋体"/>
          <w:b/>
          <w:sz w:val="24"/>
        </w:rPr>
      </w:pPr>
      <w:r>
        <w:rPr>
          <w:rFonts w:hint="eastAsia"/>
          <w:sz w:val="24"/>
        </w:rPr>
        <w:t>招标项目所在地区</w:t>
      </w:r>
      <w:r>
        <w:rPr>
          <w:rFonts w:hint="eastAsia" w:ascii="宋体" w:hAnsi="宋体" w:cs="宋体"/>
          <w:sz w:val="24"/>
        </w:rPr>
        <w:t>：</w:t>
      </w:r>
      <w:r>
        <w:rPr>
          <w:rFonts w:hint="eastAsia"/>
          <w:sz w:val="24"/>
          <w:lang w:eastAsia="zh-CN"/>
        </w:rPr>
        <w:t>山西省运城市</w:t>
      </w:r>
    </w:p>
    <w:p>
      <w:pPr>
        <w:keepNext w:val="0"/>
        <w:keepLines w:val="0"/>
        <w:pageBreakBefore w:val="0"/>
        <w:widowControl w:val="0"/>
        <w:kinsoku/>
        <w:wordWrap/>
        <w:overflowPunct/>
        <w:topLinePunct w:val="0"/>
        <w:autoSpaceDE/>
        <w:autoSpaceDN/>
        <w:bidi w:val="0"/>
        <w:adjustRightInd/>
        <w:snapToGrid/>
        <w:spacing w:line="500" w:lineRule="exact"/>
        <w:ind w:firstLine="482"/>
        <w:jc w:val="left"/>
        <w:textAlignment w:val="auto"/>
        <w:rPr>
          <w:rFonts w:ascii="宋体" w:hAnsi="宋体" w:eastAsia="宋体" w:cs="宋体"/>
          <w:b/>
          <w:sz w:val="24"/>
        </w:rPr>
      </w:pPr>
      <w:r>
        <w:rPr>
          <w:rFonts w:ascii="宋体" w:hAnsi="宋体" w:eastAsia="宋体" w:cs="宋体"/>
          <w:b/>
          <w:sz w:val="24"/>
        </w:rPr>
        <w:t>一、招标条件</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color w:val="000000"/>
          <w:sz w:val="24"/>
        </w:rPr>
      </w:pPr>
      <w:r>
        <w:rPr>
          <w:rFonts w:ascii="宋体" w:hAnsi="宋体" w:eastAsia="宋体" w:cs="宋体"/>
          <w:color w:val="000000"/>
          <w:sz w:val="24"/>
        </w:rPr>
        <w:t xml:space="preserve"> </w:t>
      </w:r>
      <w:r>
        <w:rPr>
          <w:rFonts w:hint="eastAsia"/>
          <w:sz w:val="24"/>
        </w:rPr>
        <w:t xml:space="preserve"> 国道342线闻喜县城过境改线工程（招标项目编号：</w:t>
      </w:r>
      <w:r>
        <w:rPr>
          <w:rFonts w:hint="eastAsia" w:eastAsia="宋体" w:cs="Times New Roman"/>
          <w:sz w:val="24"/>
          <w:lang w:val="en-US" w:eastAsia="zh-CN"/>
        </w:rPr>
        <w:t>M1401000155101031002</w:t>
      </w:r>
      <w:bookmarkStart w:id="0" w:name="_GoBack"/>
      <w:bookmarkEnd w:id="0"/>
      <w:r>
        <w:rPr>
          <w:rFonts w:hint="eastAsia"/>
          <w:sz w:val="24"/>
        </w:rPr>
        <w:t>）</w:t>
      </w:r>
      <w:r>
        <w:rPr>
          <w:rFonts w:hint="eastAsia" w:ascii="宋体" w:hAnsi="宋体" w:eastAsia="宋体" w:cs="宋体"/>
          <w:b w:val="0"/>
          <w:bCs w:val="0"/>
          <w:i w:val="0"/>
          <w:iCs w:val="0"/>
          <w:caps w:val="0"/>
          <w:color w:val="333333"/>
          <w:spacing w:val="0"/>
          <w:sz w:val="24"/>
          <w:szCs w:val="24"/>
          <w:shd w:val="clear" w:color="auto" w:fill="FFFFFF"/>
        </w:rPr>
        <w:t>可行性研究报告</w:t>
      </w:r>
      <w:r>
        <w:rPr>
          <w:sz w:val="24"/>
        </w:rPr>
        <w:t>已</w:t>
      </w:r>
      <w:r>
        <w:rPr>
          <w:rFonts w:hint="eastAsia"/>
          <w:sz w:val="24"/>
        </w:rPr>
        <w:t>由山西省发展和改革委员会</w:t>
      </w:r>
      <w:r>
        <w:rPr>
          <w:rFonts w:hint="eastAsia"/>
          <w:sz w:val="24"/>
          <w:lang w:eastAsia="zh-CN"/>
        </w:rPr>
        <w:t>以晋发改审批发</w:t>
      </w:r>
      <w:r>
        <w:rPr>
          <w:rFonts w:hint="eastAsia"/>
          <w:sz w:val="24"/>
        </w:rPr>
        <w:t>〔202</w:t>
      </w:r>
      <w:r>
        <w:rPr>
          <w:rFonts w:hint="eastAsia"/>
          <w:sz w:val="24"/>
          <w:lang w:val="en-US" w:eastAsia="zh-CN"/>
        </w:rPr>
        <w:t>0</w:t>
      </w:r>
      <w:r>
        <w:rPr>
          <w:rFonts w:hint="eastAsia"/>
          <w:sz w:val="24"/>
        </w:rPr>
        <w:t>〕</w:t>
      </w:r>
      <w:r>
        <w:rPr>
          <w:rFonts w:hint="eastAsia"/>
          <w:sz w:val="24"/>
          <w:lang w:val="en-US" w:eastAsia="zh-CN"/>
        </w:rPr>
        <w:t>525</w:t>
      </w:r>
      <w:r>
        <w:rPr>
          <w:rFonts w:hint="eastAsia"/>
          <w:sz w:val="24"/>
        </w:rPr>
        <w:t>号批准，施工图设计由山西省交通运输厅以晋交审批发〔2021〕37号批准，项目</w:t>
      </w:r>
      <w:r>
        <w:rPr>
          <w:sz w:val="24"/>
        </w:rPr>
        <w:t>资金</w:t>
      </w:r>
      <w:r>
        <w:rPr>
          <w:rFonts w:hint="eastAsia"/>
          <w:sz w:val="24"/>
        </w:rPr>
        <w:t>来源为除申请交通运输部补助资金外，其余资金由闻喜县政府筹措</w:t>
      </w:r>
      <w:r>
        <w:rPr>
          <w:rFonts w:hint="eastAsia"/>
          <w:sz w:val="24"/>
          <w:lang w:eastAsia="zh-CN"/>
        </w:rPr>
        <w:t>，</w:t>
      </w:r>
      <w:r>
        <w:rPr>
          <w:sz w:val="24"/>
        </w:rPr>
        <w:t>招标人为</w:t>
      </w:r>
      <w:r>
        <w:rPr>
          <w:rFonts w:hint="eastAsia"/>
          <w:sz w:val="24"/>
        </w:rPr>
        <w:t>闻喜县闻虹交通建设投资有限责任公司</w:t>
      </w:r>
      <w:r>
        <w:rPr>
          <w:rFonts w:hint="eastAsia"/>
          <w:sz w:val="24"/>
          <w:lang w:eastAsia="zh-CN"/>
        </w:rPr>
        <w:t>，</w:t>
      </w:r>
      <w:r>
        <w:rPr>
          <w:rFonts w:hint="eastAsia"/>
          <w:sz w:val="24"/>
        </w:rPr>
        <w:t>本</w:t>
      </w:r>
      <w:r>
        <w:rPr>
          <w:sz w:val="24"/>
        </w:rPr>
        <w:t>项目已具备招标条件，现</w:t>
      </w:r>
      <w:r>
        <w:rPr>
          <w:rFonts w:hint="eastAsia"/>
          <w:sz w:val="24"/>
        </w:rPr>
        <w:t>对该项目的施工</w:t>
      </w:r>
      <w:r>
        <w:rPr>
          <w:rFonts w:hint="eastAsia"/>
          <w:sz w:val="24"/>
          <w:lang w:eastAsia="zh-CN"/>
        </w:rPr>
        <w:t>监理采用资格后审的方式</w:t>
      </w:r>
      <w:r>
        <w:rPr>
          <w:sz w:val="24"/>
        </w:rPr>
        <w:t>进行</w:t>
      </w:r>
      <w:r>
        <w:rPr>
          <w:rFonts w:hint="eastAsia"/>
          <w:sz w:val="24"/>
        </w:rPr>
        <w:t>公开招标。</w:t>
      </w:r>
    </w:p>
    <w:p>
      <w:pPr>
        <w:keepNext w:val="0"/>
        <w:keepLines w:val="0"/>
        <w:pageBreakBefore w:val="0"/>
        <w:widowControl w:val="0"/>
        <w:kinsoku/>
        <w:wordWrap/>
        <w:overflowPunct/>
        <w:topLinePunct w:val="0"/>
        <w:autoSpaceDE/>
        <w:autoSpaceDN/>
        <w:bidi w:val="0"/>
        <w:adjustRightInd/>
        <w:snapToGrid/>
        <w:spacing w:line="500" w:lineRule="exact"/>
        <w:ind w:firstLine="482"/>
        <w:jc w:val="left"/>
        <w:textAlignment w:val="auto"/>
        <w:rPr>
          <w:rFonts w:ascii="宋体" w:hAnsi="宋体" w:eastAsia="宋体" w:cs="宋体"/>
          <w:b/>
          <w:sz w:val="24"/>
        </w:rPr>
      </w:pPr>
      <w:r>
        <w:rPr>
          <w:rFonts w:ascii="宋体" w:hAnsi="宋体" w:eastAsia="宋体" w:cs="宋体"/>
          <w:b/>
          <w:sz w:val="24"/>
        </w:rPr>
        <w:t>二、项目概况与招标范围</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color w:val="000000"/>
          <w:sz w:val="24"/>
        </w:rPr>
      </w:pPr>
      <w:r>
        <w:rPr>
          <w:rFonts w:ascii="宋体" w:hAnsi="宋体" w:eastAsia="宋体" w:cs="宋体"/>
          <w:color w:val="000000"/>
          <w:sz w:val="24"/>
        </w:rPr>
        <w:t>项目规模：</w:t>
      </w:r>
      <w:r>
        <w:rPr>
          <w:rFonts w:ascii="宋体" w:hAnsi="宋体" w:eastAsia="宋体" w:cs="宋体"/>
          <w:sz w:val="24"/>
        </w:rPr>
        <w:t>国道</w:t>
      </w:r>
      <w:r>
        <w:rPr>
          <w:rFonts w:ascii="Times New Roman" w:hAnsi="Times New Roman" w:eastAsia="Times New Roman" w:cs="Times New Roman"/>
          <w:sz w:val="24"/>
        </w:rPr>
        <w:t>342</w:t>
      </w:r>
      <w:r>
        <w:rPr>
          <w:rFonts w:ascii="宋体" w:hAnsi="宋体" w:eastAsia="宋体" w:cs="宋体"/>
          <w:sz w:val="24"/>
        </w:rPr>
        <w:t>线闻喜县城过境改线工程起点位于闻喜县桐城镇李家庄村西侧，接既有国道</w:t>
      </w:r>
      <w:r>
        <w:rPr>
          <w:rFonts w:ascii="Times New Roman" w:hAnsi="Times New Roman" w:eastAsia="Times New Roman" w:cs="Times New Roman"/>
          <w:sz w:val="24"/>
        </w:rPr>
        <w:t>342</w:t>
      </w:r>
      <w:r>
        <w:rPr>
          <w:rFonts w:ascii="宋体" w:hAnsi="宋体" w:eastAsia="宋体" w:cs="宋体"/>
          <w:sz w:val="24"/>
        </w:rPr>
        <w:t>线</w:t>
      </w:r>
      <w:r>
        <w:rPr>
          <w:rFonts w:ascii="Times New Roman" w:hAnsi="Times New Roman" w:eastAsia="Times New Roman" w:cs="Times New Roman"/>
          <w:sz w:val="24"/>
        </w:rPr>
        <w:t>K1005+950</w:t>
      </w:r>
      <w:r>
        <w:rPr>
          <w:rFonts w:ascii="宋体" w:hAnsi="宋体" w:eastAsia="宋体" w:cs="宋体"/>
          <w:sz w:val="24"/>
        </w:rPr>
        <w:t>，沿线经七里店村、王顺坡、姚村、东宋、西宋、东韩、西韩、郭家庄，终点位于辛庄村南，与既有国道</w:t>
      </w:r>
      <w:r>
        <w:rPr>
          <w:rFonts w:ascii="Times New Roman" w:hAnsi="Times New Roman" w:eastAsia="Times New Roman" w:cs="Times New Roman"/>
          <w:sz w:val="24"/>
        </w:rPr>
        <w:t>342</w:t>
      </w:r>
      <w:r>
        <w:rPr>
          <w:rFonts w:ascii="宋体" w:hAnsi="宋体" w:eastAsia="宋体" w:cs="宋体"/>
          <w:sz w:val="24"/>
        </w:rPr>
        <w:t>线</w:t>
      </w:r>
      <w:r>
        <w:rPr>
          <w:rFonts w:ascii="Times New Roman" w:hAnsi="Times New Roman" w:eastAsia="Times New Roman" w:cs="Times New Roman"/>
          <w:sz w:val="24"/>
        </w:rPr>
        <w:t>K1017+012</w:t>
      </w:r>
      <w:r>
        <w:rPr>
          <w:rFonts w:ascii="宋体" w:hAnsi="宋体" w:eastAsia="宋体" w:cs="宋体"/>
          <w:sz w:val="24"/>
        </w:rPr>
        <w:t>处顺接，路线全长</w:t>
      </w:r>
      <w:r>
        <w:rPr>
          <w:rFonts w:ascii="Times New Roman" w:hAnsi="Times New Roman" w:eastAsia="Times New Roman" w:cs="Times New Roman"/>
          <w:sz w:val="24"/>
        </w:rPr>
        <w:t>13.024km</w:t>
      </w:r>
      <w:r>
        <w:rPr>
          <w:rFonts w:ascii="宋体" w:hAnsi="宋体" w:eastAsia="宋体" w:cs="宋体"/>
          <w:sz w:val="24"/>
        </w:rPr>
        <w:t>。全线采用双向四车道一级公路技术标准，设计时速</w:t>
      </w:r>
      <w:r>
        <w:rPr>
          <w:rFonts w:ascii="Times New Roman" w:hAnsi="Times New Roman" w:eastAsia="Times New Roman" w:cs="Times New Roman"/>
          <w:sz w:val="24"/>
        </w:rPr>
        <w:t>80</w:t>
      </w:r>
      <w:r>
        <w:rPr>
          <w:rFonts w:ascii="宋体" w:hAnsi="宋体" w:eastAsia="宋体" w:cs="宋体"/>
          <w:sz w:val="24"/>
        </w:rPr>
        <w:t>公里</w:t>
      </w:r>
      <w:r>
        <w:rPr>
          <w:rFonts w:ascii="Times New Roman" w:hAnsi="Times New Roman" w:eastAsia="Times New Roman" w:cs="Times New Roman"/>
          <w:sz w:val="24"/>
        </w:rPr>
        <w:t>/</w:t>
      </w:r>
      <w:r>
        <w:rPr>
          <w:rFonts w:ascii="宋体" w:hAnsi="宋体" w:eastAsia="宋体" w:cs="宋体"/>
          <w:sz w:val="24"/>
        </w:rPr>
        <w:t>小时，路基宽</w:t>
      </w:r>
      <w:r>
        <w:rPr>
          <w:rFonts w:ascii="Times New Roman" w:hAnsi="Times New Roman" w:eastAsia="Times New Roman" w:cs="Times New Roman"/>
          <w:sz w:val="24"/>
        </w:rPr>
        <w:t>25.5</w:t>
      </w:r>
      <w:r>
        <w:rPr>
          <w:rFonts w:ascii="宋体" w:hAnsi="宋体" w:eastAsia="宋体" w:cs="宋体"/>
          <w:sz w:val="24"/>
        </w:rPr>
        <w:t>米，桥涵设计荷载等级采用公路</w:t>
      </w:r>
      <w:r>
        <w:rPr>
          <w:rFonts w:ascii="Times New Roman" w:hAnsi="Times New Roman" w:eastAsia="Times New Roman" w:cs="Times New Roman"/>
          <w:sz w:val="24"/>
        </w:rPr>
        <w:t>-I</w:t>
      </w:r>
      <w:r>
        <w:rPr>
          <w:rFonts w:ascii="宋体" w:hAnsi="宋体" w:eastAsia="宋体" w:cs="宋体"/>
          <w:sz w:val="24"/>
        </w:rPr>
        <w:t>级，宽度与路基同宽。全线共设大桥</w:t>
      </w:r>
      <w:r>
        <w:rPr>
          <w:rFonts w:ascii="Times New Roman" w:hAnsi="Times New Roman" w:eastAsia="Times New Roman" w:cs="Times New Roman"/>
          <w:sz w:val="24"/>
        </w:rPr>
        <w:t>182m/1</w:t>
      </w:r>
      <w:r>
        <w:rPr>
          <w:rFonts w:ascii="宋体" w:hAnsi="宋体" w:eastAsia="宋体" w:cs="宋体"/>
          <w:sz w:val="24"/>
        </w:rPr>
        <w:t>座、互通立交</w:t>
      </w:r>
      <w:r>
        <w:rPr>
          <w:rFonts w:ascii="Times New Roman" w:hAnsi="Times New Roman" w:eastAsia="Times New Roman" w:cs="Times New Roman"/>
          <w:sz w:val="24"/>
        </w:rPr>
        <w:t>1</w:t>
      </w:r>
      <w:r>
        <w:rPr>
          <w:rFonts w:ascii="宋体" w:hAnsi="宋体" w:eastAsia="宋体" w:cs="宋体"/>
          <w:sz w:val="24"/>
        </w:rPr>
        <w:t>处、右进右出</w:t>
      </w:r>
      <w:r>
        <w:rPr>
          <w:rFonts w:ascii="Times New Roman" w:hAnsi="Times New Roman" w:eastAsia="Times New Roman" w:cs="Times New Roman"/>
          <w:sz w:val="24"/>
        </w:rPr>
        <w:t>+</w:t>
      </w:r>
      <w:r>
        <w:rPr>
          <w:rFonts w:ascii="宋体" w:hAnsi="宋体" w:eastAsia="宋体" w:cs="宋体"/>
          <w:sz w:val="24"/>
        </w:rPr>
        <w:t>分离立交</w:t>
      </w:r>
      <w:r>
        <w:rPr>
          <w:rFonts w:ascii="Times New Roman" w:hAnsi="Times New Roman" w:eastAsia="Times New Roman" w:cs="Times New Roman"/>
          <w:sz w:val="24"/>
        </w:rPr>
        <w:t>3</w:t>
      </w:r>
      <w:r>
        <w:rPr>
          <w:rFonts w:ascii="宋体" w:hAnsi="宋体" w:eastAsia="宋体" w:cs="宋体"/>
          <w:sz w:val="24"/>
        </w:rPr>
        <w:t>处、分离立交</w:t>
      </w:r>
      <w:r>
        <w:rPr>
          <w:rFonts w:ascii="Times New Roman" w:hAnsi="Times New Roman" w:eastAsia="Times New Roman" w:cs="Times New Roman"/>
          <w:sz w:val="24"/>
        </w:rPr>
        <w:t>2</w:t>
      </w:r>
      <w:r>
        <w:rPr>
          <w:rFonts w:ascii="宋体" w:hAnsi="宋体" w:eastAsia="宋体" w:cs="宋体"/>
          <w:sz w:val="24"/>
        </w:rPr>
        <w:t>处、天桥</w:t>
      </w:r>
      <w:r>
        <w:rPr>
          <w:rFonts w:ascii="Times New Roman" w:hAnsi="Times New Roman" w:eastAsia="Times New Roman" w:cs="Times New Roman"/>
          <w:sz w:val="24"/>
        </w:rPr>
        <w:t>1</w:t>
      </w:r>
      <w:r>
        <w:rPr>
          <w:rFonts w:ascii="宋体" w:hAnsi="宋体" w:eastAsia="宋体" w:cs="宋体"/>
          <w:sz w:val="24"/>
        </w:rPr>
        <w:t>座、平面交叉</w:t>
      </w:r>
      <w:r>
        <w:rPr>
          <w:rFonts w:ascii="Times New Roman" w:hAnsi="Times New Roman" w:eastAsia="Times New Roman" w:cs="Times New Roman"/>
          <w:sz w:val="24"/>
        </w:rPr>
        <w:t>5</w:t>
      </w:r>
      <w:r>
        <w:rPr>
          <w:rFonts w:ascii="宋体" w:hAnsi="宋体" w:eastAsia="宋体" w:cs="宋体"/>
          <w:sz w:val="24"/>
        </w:rPr>
        <w:t>处、通道</w:t>
      </w:r>
      <w:r>
        <w:rPr>
          <w:rFonts w:ascii="Times New Roman" w:hAnsi="Times New Roman" w:eastAsia="Times New Roman" w:cs="Times New Roman"/>
          <w:sz w:val="24"/>
        </w:rPr>
        <w:t>16</w:t>
      </w:r>
      <w:r>
        <w:rPr>
          <w:rFonts w:ascii="宋体" w:hAnsi="宋体" w:eastAsia="宋体" w:cs="宋体"/>
          <w:sz w:val="24"/>
        </w:rPr>
        <w:t>道、涵洞</w:t>
      </w:r>
      <w:r>
        <w:rPr>
          <w:rFonts w:ascii="Times New Roman" w:hAnsi="Times New Roman" w:eastAsia="Times New Roman" w:cs="Times New Roman"/>
          <w:sz w:val="24"/>
        </w:rPr>
        <w:t>13</w:t>
      </w:r>
      <w:r>
        <w:rPr>
          <w:rFonts w:ascii="宋体" w:hAnsi="宋体" w:eastAsia="宋体" w:cs="宋体"/>
          <w:sz w:val="24"/>
        </w:rPr>
        <w:t>道。建设内容包括路基、路面、桥涵、安全设施、交叉及附属工程。</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Calibri" w:hAnsi="Calibri" w:eastAsia="Calibri" w:cs="Calibri"/>
          <w:sz w:val="22"/>
        </w:rPr>
      </w:pPr>
      <w:r>
        <w:rPr>
          <w:rFonts w:ascii="宋体" w:hAnsi="宋体" w:eastAsia="宋体" w:cs="宋体"/>
          <w:color w:val="000000"/>
          <w:sz w:val="24"/>
        </w:rPr>
        <w:t>招标内容与范围：</w:t>
      </w:r>
      <w:r>
        <w:rPr>
          <w:rFonts w:ascii="宋体" w:hAnsi="宋体" w:eastAsia="宋体" w:cs="宋体"/>
          <w:sz w:val="24"/>
        </w:rPr>
        <w:t>本次施工</w:t>
      </w:r>
      <w:r>
        <w:rPr>
          <w:rFonts w:hint="eastAsia" w:ascii="宋体" w:hAnsi="宋体" w:eastAsia="宋体" w:cs="宋体"/>
          <w:sz w:val="24"/>
          <w:lang w:eastAsia="zh-CN"/>
        </w:rPr>
        <w:t>监理</w:t>
      </w:r>
      <w:r>
        <w:rPr>
          <w:rFonts w:ascii="宋体" w:hAnsi="宋体" w:eastAsia="宋体" w:cs="宋体"/>
          <w:sz w:val="24"/>
        </w:rPr>
        <w:t>招标共划分为</w:t>
      </w:r>
      <w:r>
        <w:rPr>
          <w:rFonts w:ascii="Times New Roman" w:hAnsi="Times New Roman" w:eastAsia="Times New Roman" w:cs="Times New Roman"/>
          <w:sz w:val="24"/>
        </w:rPr>
        <w:t>2</w:t>
      </w:r>
      <w:r>
        <w:rPr>
          <w:rFonts w:ascii="宋体" w:hAnsi="宋体" w:eastAsia="宋体" w:cs="宋体"/>
          <w:sz w:val="24"/>
        </w:rPr>
        <w:t>个类别，共</w:t>
      </w:r>
      <w:r>
        <w:rPr>
          <w:rFonts w:ascii="Times New Roman" w:hAnsi="Times New Roman" w:eastAsia="Times New Roman" w:cs="Times New Roman"/>
          <w:sz w:val="24"/>
        </w:rPr>
        <w:t>3</w:t>
      </w:r>
      <w:r>
        <w:rPr>
          <w:rFonts w:ascii="宋体" w:hAnsi="宋体" w:eastAsia="宋体" w:cs="宋体"/>
          <w:sz w:val="24"/>
        </w:rPr>
        <w:t>个标段，具体为</w:t>
      </w:r>
      <w:r>
        <w:rPr>
          <w:rFonts w:ascii="宋体" w:hAnsi="宋体" w:eastAsia="宋体" w:cs="宋体"/>
          <w:color w:val="000000"/>
          <w:sz w:val="24"/>
        </w:rPr>
        <w:t>：</w:t>
      </w:r>
    </w:p>
    <w:tbl>
      <w:tblPr>
        <w:tblStyle w:val="4"/>
        <w:tblW w:w="0" w:type="auto"/>
        <w:jc w:val="center"/>
        <w:tblLayout w:type="autofit"/>
        <w:tblCellMar>
          <w:top w:w="0" w:type="dxa"/>
          <w:left w:w="10" w:type="dxa"/>
          <w:bottom w:w="0" w:type="dxa"/>
          <w:right w:w="10" w:type="dxa"/>
        </w:tblCellMar>
      </w:tblPr>
      <w:tblGrid>
        <w:gridCol w:w="693"/>
        <w:gridCol w:w="680"/>
        <w:gridCol w:w="2736"/>
        <w:gridCol w:w="1151"/>
        <w:gridCol w:w="3262"/>
      </w:tblGrid>
      <w:tr>
        <w:tblPrEx>
          <w:tblCellMar>
            <w:top w:w="0" w:type="dxa"/>
            <w:left w:w="10" w:type="dxa"/>
            <w:bottom w:w="0" w:type="dxa"/>
            <w:right w:w="10" w:type="dxa"/>
          </w:tblCellMar>
        </w:tblPrEx>
        <w:trPr>
          <w:trHeight w:val="1"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类别</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标段</w:t>
            </w:r>
          </w:p>
        </w:tc>
        <w:tc>
          <w:tcPr>
            <w:tcW w:w="225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起讫桩号</w:t>
            </w:r>
          </w:p>
        </w:tc>
        <w:tc>
          <w:tcPr>
            <w:tcW w:w="116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长度</w:t>
            </w:r>
          </w:p>
        </w:tc>
        <w:tc>
          <w:tcPr>
            <w:tcW w:w="36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主要工作内容</w:t>
            </w:r>
          </w:p>
        </w:tc>
      </w:tr>
      <w:tr>
        <w:tblPrEx>
          <w:tblCellMar>
            <w:top w:w="0" w:type="dxa"/>
            <w:left w:w="10" w:type="dxa"/>
            <w:bottom w:w="0" w:type="dxa"/>
            <w:right w:w="10" w:type="dxa"/>
          </w:tblCellMar>
        </w:tblPrEx>
        <w:trPr>
          <w:trHeight w:val="1" w:hRule="atLeast"/>
          <w:jc w:val="center"/>
        </w:trPr>
        <w:tc>
          <w:tcPr>
            <w:tcW w:w="733"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A</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1</w:t>
            </w:r>
          </w:p>
        </w:tc>
        <w:tc>
          <w:tcPr>
            <w:tcW w:w="225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color w:val="000000"/>
                <w:sz w:val="24"/>
              </w:rPr>
              <w:t>K0+000～K5+880</w:t>
            </w:r>
          </w:p>
        </w:tc>
        <w:tc>
          <w:tcPr>
            <w:tcW w:w="116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5.880km</w:t>
            </w:r>
          </w:p>
        </w:tc>
        <w:tc>
          <w:tcPr>
            <w:tcW w:w="36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rPr>
            </w:pPr>
            <w:r>
              <w:rPr>
                <w:rFonts w:ascii="宋体" w:hAnsi="宋体" w:eastAsia="宋体" w:cs="宋体"/>
                <w:color w:val="000000"/>
                <w:sz w:val="24"/>
              </w:rPr>
              <w:t>路基、路面、桥涵施工、绿化、交通安全设施及附属工程</w:t>
            </w:r>
            <w:r>
              <w:rPr>
                <w:rFonts w:hint="eastAsia" w:ascii="宋体" w:hAnsi="宋体" w:eastAsia="宋体" w:cs="宋体"/>
                <w:color w:val="000000"/>
                <w:sz w:val="24"/>
                <w:lang w:val="en-US" w:eastAsia="zh-CN"/>
              </w:rPr>
              <w:t>施工准备阶段、</w:t>
            </w:r>
            <w:r>
              <w:rPr>
                <w:rFonts w:ascii="宋体" w:hAnsi="宋体" w:eastAsia="宋体" w:cs="宋体"/>
                <w:color w:val="000000"/>
                <w:sz w:val="24"/>
              </w:rPr>
              <w:t>施工阶段、缺陷责任期阶段及交（竣）工验收的监理工作</w:t>
            </w:r>
          </w:p>
        </w:tc>
      </w:tr>
      <w:tr>
        <w:tblPrEx>
          <w:tblCellMar>
            <w:top w:w="0" w:type="dxa"/>
            <w:left w:w="10" w:type="dxa"/>
            <w:bottom w:w="0" w:type="dxa"/>
            <w:right w:w="10" w:type="dxa"/>
          </w:tblCellMar>
        </w:tblPrEx>
        <w:trPr>
          <w:trHeight w:val="1" w:hRule="atLeast"/>
          <w:jc w:val="center"/>
        </w:trPr>
        <w:tc>
          <w:tcPr>
            <w:tcW w:w="733"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tabs>
                <w:tab w:val="center" w:pos="4592"/>
                <w:tab w:val="left" w:pos="5921"/>
              </w:tabs>
              <w:kinsoku/>
              <w:wordWrap/>
              <w:overflowPunct/>
              <w:topLinePunct w:val="0"/>
              <w:autoSpaceDE/>
              <w:autoSpaceDN/>
              <w:bidi w:val="0"/>
              <w:adjustRightInd/>
              <w:snapToGrid/>
              <w:spacing w:line="500" w:lineRule="exact"/>
              <w:jc w:val="center"/>
              <w:textAlignment w:val="auto"/>
              <w:rPr>
                <w:rFonts w:ascii="宋体" w:hAnsi="宋体" w:eastAsia="宋体" w:cs="宋体"/>
                <w:sz w:val="22"/>
              </w:rPr>
            </w:pPr>
          </w:p>
        </w:tc>
        <w:tc>
          <w:tcPr>
            <w:tcW w:w="71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2</w:t>
            </w:r>
          </w:p>
        </w:tc>
        <w:tc>
          <w:tcPr>
            <w:tcW w:w="225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color w:val="000000"/>
                <w:sz w:val="24"/>
              </w:rPr>
              <w:t>K5+880～K13+025</w:t>
            </w:r>
          </w:p>
        </w:tc>
        <w:tc>
          <w:tcPr>
            <w:tcW w:w="116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7.145km</w:t>
            </w:r>
          </w:p>
        </w:tc>
        <w:tc>
          <w:tcPr>
            <w:tcW w:w="36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rPr>
            </w:pPr>
            <w:r>
              <w:rPr>
                <w:rFonts w:ascii="宋体" w:hAnsi="宋体" w:eastAsia="宋体" w:cs="宋体"/>
                <w:color w:val="000000"/>
                <w:sz w:val="24"/>
              </w:rPr>
              <w:t>路基、路面、桥涵施工、绿化、交通安全设施及附属工程</w:t>
            </w:r>
            <w:r>
              <w:rPr>
                <w:rFonts w:hint="eastAsia" w:ascii="宋体" w:hAnsi="宋体" w:eastAsia="宋体" w:cs="宋体"/>
                <w:color w:val="000000"/>
                <w:sz w:val="24"/>
                <w:lang w:val="en-US" w:eastAsia="zh-CN"/>
              </w:rPr>
              <w:t>施工准备阶段、</w:t>
            </w:r>
            <w:r>
              <w:rPr>
                <w:rFonts w:ascii="宋体" w:hAnsi="宋体" w:eastAsia="宋体" w:cs="宋体"/>
                <w:color w:val="000000"/>
                <w:sz w:val="24"/>
              </w:rPr>
              <w:t>施工阶段、缺陷责任期阶段及交（竣）工验收的监理工作</w:t>
            </w:r>
          </w:p>
        </w:tc>
      </w:tr>
      <w:tr>
        <w:tblPrEx>
          <w:tblCellMar>
            <w:top w:w="0" w:type="dxa"/>
            <w:left w:w="10" w:type="dxa"/>
            <w:bottom w:w="0" w:type="dxa"/>
            <w:right w:w="10" w:type="dxa"/>
          </w:tblCellMar>
        </w:tblPrEx>
        <w:trPr>
          <w:trHeight w:val="1"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B</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3</w:t>
            </w:r>
          </w:p>
        </w:tc>
        <w:tc>
          <w:tcPr>
            <w:tcW w:w="225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K5+630.25-K6+179.75，K7+215.25-K7+828.75</w:t>
            </w:r>
          </w:p>
        </w:tc>
        <w:tc>
          <w:tcPr>
            <w:tcW w:w="116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w:t>
            </w:r>
          </w:p>
        </w:tc>
        <w:tc>
          <w:tcPr>
            <w:tcW w:w="365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rPr>
            </w:pPr>
            <w:r>
              <w:rPr>
                <w:rFonts w:ascii="宋体" w:hAnsi="宋体" w:eastAsia="宋体" w:cs="宋体"/>
                <w:sz w:val="24"/>
              </w:rPr>
              <w:t>雨棚、泵站及附属工程</w:t>
            </w:r>
            <w:r>
              <w:rPr>
                <w:rFonts w:hint="eastAsia" w:ascii="宋体" w:hAnsi="宋体" w:eastAsia="宋体" w:cs="宋体"/>
                <w:color w:val="000000"/>
                <w:sz w:val="24"/>
                <w:lang w:val="en-US" w:eastAsia="zh-CN"/>
              </w:rPr>
              <w:t>施工准备阶段、</w:t>
            </w:r>
            <w:r>
              <w:rPr>
                <w:rFonts w:ascii="宋体" w:hAnsi="宋体" w:eastAsia="宋体" w:cs="宋体"/>
                <w:sz w:val="24"/>
              </w:rPr>
              <w:t>施工</w:t>
            </w:r>
            <w:r>
              <w:rPr>
                <w:rFonts w:ascii="宋体" w:hAnsi="宋体" w:eastAsia="宋体" w:cs="宋体"/>
                <w:color w:val="000000"/>
                <w:sz w:val="24"/>
              </w:rPr>
              <w:t>阶段、缺陷责任期阶段及交（竣）工验收的监理工作</w:t>
            </w:r>
          </w:p>
        </w:tc>
      </w:tr>
    </w:tbl>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color w:val="FF0000"/>
          <w:sz w:val="24"/>
        </w:rPr>
      </w:pPr>
      <w:r>
        <w:rPr>
          <w:rFonts w:ascii="宋体" w:hAnsi="宋体" w:eastAsia="宋体" w:cs="宋体"/>
          <w:sz w:val="24"/>
        </w:rPr>
        <w:t>监理服务期49个月：其中施工准备期1个月，施工期24个月，缺陷责任期24个月。</w:t>
      </w:r>
    </w:p>
    <w:p>
      <w:pPr>
        <w:keepNext w:val="0"/>
        <w:keepLines w:val="0"/>
        <w:pageBreakBefore w:val="0"/>
        <w:widowControl w:val="0"/>
        <w:kinsoku/>
        <w:wordWrap/>
        <w:overflowPunct/>
        <w:topLinePunct w:val="0"/>
        <w:autoSpaceDE/>
        <w:autoSpaceDN/>
        <w:bidi w:val="0"/>
        <w:adjustRightInd/>
        <w:snapToGrid/>
        <w:spacing w:line="500" w:lineRule="exact"/>
        <w:ind w:firstLine="482"/>
        <w:jc w:val="left"/>
        <w:textAlignment w:val="auto"/>
        <w:rPr>
          <w:rFonts w:ascii="宋体" w:hAnsi="宋体" w:eastAsia="宋体" w:cs="宋体"/>
          <w:b/>
          <w:sz w:val="24"/>
        </w:rPr>
      </w:pPr>
      <w:r>
        <w:rPr>
          <w:rFonts w:ascii="宋体" w:hAnsi="宋体" w:eastAsia="宋体" w:cs="宋体"/>
          <w:b/>
          <w:sz w:val="24"/>
        </w:rPr>
        <w:t>三、投标人资格要求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sz w:val="24"/>
        </w:rPr>
      </w:pPr>
      <w:r>
        <w:rPr>
          <w:rFonts w:ascii="宋体" w:hAnsi="宋体" w:eastAsia="宋体" w:cs="宋体"/>
          <w:sz w:val="24"/>
        </w:rPr>
        <w:t>3.1本次招标要求投标人应具有有效的企业法人营业执照，并在人员、设备、资金等方面具备相应的监理能力。</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ascii="宋体" w:hAnsi="宋体" w:eastAsia="宋体" w:cs="宋体"/>
          <w:sz w:val="24"/>
        </w:rPr>
      </w:pPr>
      <w:r>
        <w:rPr>
          <w:rFonts w:ascii="宋体" w:hAnsi="宋体" w:eastAsia="宋体" w:cs="宋体"/>
          <w:sz w:val="24"/>
        </w:rPr>
        <w:t>资质及业绩满足以下要求：</w:t>
      </w:r>
    </w:p>
    <w:tbl>
      <w:tblPr>
        <w:tblStyle w:val="4"/>
        <w:tblW w:w="0" w:type="auto"/>
        <w:jc w:val="center"/>
        <w:tblLayout w:type="autofit"/>
        <w:tblCellMar>
          <w:top w:w="0" w:type="dxa"/>
          <w:left w:w="10" w:type="dxa"/>
          <w:bottom w:w="0" w:type="dxa"/>
          <w:right w:w="10" w:type="dxa"/>
        </w:tblCellMar>
      </w:tblPr>
      <w:tblGrid>
        <w:gridCol w:w="761"/>
        <w:gridCol w:w="755"/>
        <w:gridCol w:w="3685"/>
        <w:gridCol w:w="3321"/>
      </w:tblGrid>
      <w:tr>
        <w:tblPrEx>
          <w:tblCellMar>
            <w:top w:w="0" w:type="dxa"/>
            <w:left w:w="10" w:type="dxa"/>
            <w:bottom w:w="0" w:type="dxa"/>
            <w:right w:w="10" w:type="dxa"/>
          </w:tblCellMar>
        </w:tblPrEx>
        <w:trPr>
          <w:trHeight w:val="1"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类别</w:t>
            </w:r>
          </w:p>
        </w:tc>
        <w:tc>
          <w:tcPr>
            <w:tcW w:w="7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标段</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资质要求</w:t>
            </w:r>
          </w:p>
        </w:tc>
        <w:tc>
          <w:tcPr>
            <w:tcW w:w="332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业绩要求</w:t>
            </w:r>
          </w:p>
        </w:tc>
      </w:tr>
      <w:tr>
        <w:tblPrEx>
          <w:tblCellMar>
            <w:top w:w="0" w:type="dxa"/>
            <w:left w:w="10" w:type="dxa"/>
            <w:bottom w:w="0" w:type="dxa"/>
            <w:right w:w="10" w:type="dxa"/>
          </w:tblCellMar>
        </w:tblPrEx>
        <w:trPr>
          <w:trHeight w:val="1"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A</w:t>
            </w:r>
          </w:p>
        </w:tc>
        <w:tc>
          <w:tcPr>
            <w:tcW w:w="7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1、2</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sz w:val="24"/>
              </w:rPr>
            </w:pPr>
            <w:r>
              <w:rPr>
                <w:rFonts w:ascii="宋体" w:hAnsi="宋体" w:eastAsia="宋体" w:cs="宋体"/>
                <w:sz w:val="24"/>
              </w:rPr>
              <w:t>同时具备：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（1）</w:t>
            </w:r>
            <w:r>
              <w:rPr>
                <w:rFonts w:ascii="宋体" w:hAnsi="宋体" w:eastAsia="宋体" w:cs="宋体"/>
                <w:color w:val="000000"/>
                <w:sz w:val="24"/>
              </w:rPr>
              <w:t>交通运输主管部门颁发的有效的公路工程监理甲级资质</w:t>
            </w:r>
            <w:r>
              <w:rPr>
                <w:rFonts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（2）交通运输主管部门颁发的公路工程试验检测综合乙级及以上资质（试验检测资质证书中的机构应为投标人或与投标人存在参股、控股及管理关系或法定代表人与投标人法定代表人为同一个人）。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rPr>
            </w:pPr>
            <w:r>
              <w:rPr>
                <w:rFonts w:ascii="宋体" w:hAnsi="宋体" w:eastAsia="宋体" w:cs="宋体"/>
                <w:sz w:val="24"/>
              </w:rPr>
              <w:t>（3）</w:t>
            </w:r>
            <w:r>
              <w:rPr>
                <w:rFonts w:ascii="宋体" w:hAnsi="宋体" w:eastAsia="宋体" w:cs="宋体"/>
                <w:color w:val="000000"/>
                <w:sz w:val="24"/>
              </w:rPr>
              <w:t>投标人应进入交通运输部“全国公路建设市场信用信息管理系统（http://glxy.gov.cn）”中的公路工程施工监理资质企业名录，且投标人名称和资质与该名录中的相应企业名称和资质完全一致。</w:t>
            </w:r>
          </w:p>
        </w:tc>
        <w:tc>
          <w:tcPr>
            <w:tcW w:w="332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近五年内（</w:t>
            </w:r>
            <w:r>
              <w:rPr>
                <w:rFonts w:hint="eastAsia" w:ascii="宋体" w:hAnsi="宋体" w:eastAsia="宋体" w:cs="宋体"/>
                <w:sz w:val="24"/>
                <w:lang w:eastAsia="zh-CN"/>
              </w:rPr>
              <w:t>2017年11月15日</w:t>
            </w:r>
            <w:r>
              <w:rPr>
                <w:rFonts w:ascii="宋体" w:hAnsi="宋体" w:eastAsia="宋体" w:cs="宋体"/>
                <w:sz w:val="24"/>
              </w:rPr>
              <w:t>至投标文件递交截止日)通过</w:t>
            </w:r>
            <w:r>
              <w:rPr>
                <w:rFonts w:hint="eastAsia" w:ascii="宋体" w:hAnsi="宋体" w:eastAsia="宋体" w:cs="宋体"/>
                <w:sz w:val="24"/>
                <w:lang w:eastAsia="zh-CN"/>
              </w:rPr>
              <w:t>交工或竣工</w:t>
            </w:r>
            <w:r>
              <w:rPr>
                <w:rFonts w:ascii="宋体" w:hAnsi="宋体" w:eastAsia="宋体" w:cs="宋体"/>
                <w:sz w:val="24"/>
              </w:rPr>
              <w:t>并满足下列要求：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（1）至少完成过1项一级及以上新（改）建公路工程的施工监理业绩（</w:t>
            </w:r>
            <w:r>
              <w:rPr>
                <w:rFonts w:ascii="宋体" w:hAnsi="宋体" w:eastAsia="宋体" w:cs="宋体"/>
                <w:sz w:val="24"/>
                <w:shd w:val="clear" w:color="auto" w:fill="FFFFFF"/>
              </w:rPr>
              <w:t>同时包含公路路基、路面、桥涵</w:t>
            </w:r>
            <w:r>
              <w:rPr>
                <w:rFonts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（2）至少完成1项新（改）建一级及以上公路交通安全设施工程施工监理业绩。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（3）至少完成过1项一级及以上新（改）建公路工程大桥及以上的施工监理业绩；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rPr>
            </w:pPr>
            <w:r>
              <w:rPr>
                <w:rFonts w:ascii="宋体" w:hAnsi="宋体" w:eastAsia="宋体" w:cs="宋体"/>
                <w:b/>
                <w:sz w:val="24"/>
              </w:rPr>
              <w:t>注：同一业绩含有多项工作内容可以分别计算。</w:t>
            </w:r>
          </w:p>
        </w:tc>
      </w:tr>
      <w:tr>
        <w:tblPrEx>
          <w:tblCellMar>
            <w:top w:w="0" w:type="dxa"/>
            <w:left w:w="10" w:type="dxa"/>
            <w:bottom w:w="0" w:type="dxa"/>
            <w:right w:w="10" w:type="dxa"/>
          </w:tblCellMar>
        </w:tblPrEx>
        <w:trPr>
          <w:trHeight w:val="1"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B</w:t>
            </w:r>
          </w:p>
        </w:tc>
        <w:tc>
          <w:tcPr>
            <w:tcW w:w="75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3</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rPr>
            </w:pPr>
            <w:r>
              <w:rPr>
                <w:rFonts w:ascii="宋体" w:hAnsi="宋体" w:eastAsia="宋体" w:cs="宋体"/>
                <w:sz w:val="24"/>
              </w:rPr>
              <w:t>住房和城乡建设主管部门颁发的有效的房屋建筑工程监理乙级资质及以上资质；</w:t>
            </w:r>
          </w:p>
        </w:tc>
        <w:tc>
          <w:tcPr>
            <w:tcW w:w="332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近五年内（</w:t>
            </w:r>
            <w:r>
              <w:rPr>
                <w:rFonts w:hint="eastAsia" w:ascii="宋体" w:hAnsi="宋体" w:eastAsia="宋体" w:cs="宋体"/>
                <w:sz w:val="24"/>
                <w:lang w:eastAsia="zh-CN"/>
              </w:rPr>
              <w:t>2017年11月15日</w:t>
            </w:r>
            <w:r>
              <w:rPr>
                <w:rFonts w:ascii="宋体" w:hAnsi="宋体" w:eastAsia="宋体" w:cs="宋体"/>
                <w:sz w:val="24"/>
              </w:rPr>
              <w:t>至投标文件递交截止日）通过竣工验收并满足下列要求：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（1）至少完成过1项房屋建筑工程施工监理业绩；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ascii="宋体" w:hAnsi="宋体" w:eastAsia="宋体" w:cs="宋体"/>
                <w:sz w:val="24"/>
              </w:rPr>
              <w:t>（2）至少完成1项钢结构工程施工监理业绩（单跨跨度45m及以上）。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rPr>
            </w:pPr>
            <w:r>
              <w:rPr>
                <w:rFonts w:ascii="宋体" w:hAnsi="宋体" w:eastAsia="宋体" w:cs="宋体"/>
                <w:b/>
                <w:sz w:val="24"/>
              </w:rPr>
              <w:t>注：同一业绩含有多项工作内容可以分别计算。</w:t>
            </w:r>
          </w:p>
        </w:tc>
      </w:tr>
    </w:tbl>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ascii="宋体" w:hAnsi="宋体" w:eastAsia="宋体" w:cs="宋体"/>
          <w:sz w:val="24"/>
        </w:rPr>
      </w:pPr>
      <w:r>
        <w:rPr>
          <w:rFonts w:ascii="宋体" w:hAnsi="宋体" w:eastAsia="宋体" w:cs="宋体"/>
          <w:sz w:val="24"/>
        </w:rPr>
        <w:t>3.2主要人员要求：</w:t>
      </w:r>
    </w:p>
    <w:tbl>
      <w:tblPr>
        <w:tblStyle w:val="4"/>
        <w:tblW w:w="0" w:type="auto"/>
        <w:jc w:val="center"/>
        <w:tblLayout w:type="autofit"/>
        <w:tblCellMar>
          <w:top w:w="0" w:type="dxa"/>
          <w:left w:w="10" w:type="dxa"/>
          <w:bottom w:w="0" w:type="dxa"/>
          <w:right w:w="10" w:type="dxa"/>
        </w:tblCellMar>
      </w:tblPr>
      <w:tblGrid>
        <w:gridCol w:w="773"/>
        <w:gridCol w:w="762"/>
        <w:gridCol w:w="6987"/>
      </w:tblGrid>
      <w:tr>
        <w:tblPrEx>
          <w:tblCellMar>
            <w:top w:w="0" w:type="dxa"/>
            <w:left w:w="10" w:type="dxa"/>
            <w:bottom w:w="0" w:type="dxa"/>
            <w:right w:w="10" w:type="dxa"/>
          </w:tblCellMar>
        </w:tblPrEx>
        <w:trPr>
          <w:trHeight w:val="1"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类别</w:t>
            </w:r>
          </w:p>
        </w:tc>
        <w:tc>
          <w:tcPr>
            <w:tcW w:w="76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标段</w:t>
            </w:r>
          </w:p>
        </w:tc>
        <w:tc>
          <w:tcPr>
            <w:tcW w:w="698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项目总监理工程师</w:t>
            </w:r>
          </w:p>
        </w:tc>
      </w:tr>
      <w:tr>
        <w:tblPrEx>
          <w:tblCellMar>
            <w:top w:w="0" w:type="dxa"/>
            <w:left w:w="10" w:type="dxa"/>
            <w:bottom w:w="0" w:type="dxa"/>
            <w:right w:w="10" w:type="dxa"/>
          </w:tblCellMar>
        </w:tblPrEx>
        <w:trPr>
          <w:trHeight w:val="90"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A</w:t>
            </w:r>
          </w:p>
        </w:tc>
        <w:tc>
          <w:tcPr>
            <w:tcW w:w="76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1、2</w:t>
            </w:r>
          </w:p>
        </w:tc>
        <w:tc>
          <w:tcPr>
            <w:tcW w:w="698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rPr>
            </w:pPr>
            <w:r>
              <w:rPr>
                <w:rFonts w:ascii="宋体" w:hAnsi="宋体" w:eastAsia="宋体" w:cs="宋体"/>
                <w:color w:val="000000"/>
                <w:sz w:val="24"/>
              </w:rPr>
              <w:t>具有公路工程及相关专业高级及以上工程师职称，持有交通运输主管部门颁发的监理工程师资格证书，作为项目总监理工程师至少完成过1项一级及以上新（改）建公路工程的施工监理工作。</w:t>
            </w:r>
          </w:p>
        </w:tc>
      </w:tr>
      <w:tr>
        <w:tblPrEx>
          <w:tblCellMar>
            <w:top w:w="0" w:type="dxa"/>
            <w:left w:w="10" w:type="dxa"/>
            <w:bottom w:w="0" w:type="dxa"/>
            <w:right w:w="10" w:type="dxa"/>
          </w:tblCellMar>
        </w:tblPrEx>
        <w:trPr>
          <w:trHeight w:val="1"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B</w:t>
            </w:r>
          </w:p>
        </w:tc>
        <w:tc>
          <w:tcPr>
            <w:tcW w:w="76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rPr>
            </w:pPr>
            <w:r>
              <w:rPr>
                <w:rFonts w:ascii="宋体" w:hAnsi="宋体" w:eastAsia="宋体" w:cs="宋体"/>
                <w:sz w:val="24"/>
              </w:rPr>
              <w:t>3</w:t>
            </w:r>
          </w:p>
        </w:tc>
        <w:tc>
          <w:tcPr>
            <w:tcW w:w="698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rPr>
            </w:pPr>
            <w:r>
              <w:rPr>
                <w:rFonts w:ascii="宋体" w:hAnsi="宋体" w:eastAsia="宋体" w:cs="宋体"/>
                <w:sz w:val="24"/>
              </w:rPr>
              <w:t>具有建筑工程及相关专业高级及以上工程师职称，持有住房和城乡建设主管部门颁发的国家级房屋建筑工程专业注册的监理工程师执业资格，作为项目总监理工程师至少完成过1项钢结构工程的施工监理工作。</w:t>
            </w:r>
          </w:p>
        </w:tc>
      </w:tr>
    </w:tbl>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color w:val="000000"/>
          <w:sz w:val="24"/>
        </w:rPr>
      </w:pPr>
      <w:r>
        <w:rPr>
          <w:rFonts w:ascii="宋体" w:hAnsi="宋体" w:eastAsia="宋体" w:cs="宋体"/>
          <w:color w:val="000000"/>
          <w:sz w:val="24"/>
        </w:rPr>
        <w:t>3.3与招标人存在利害关系且可能影响招标公正性的单位，不得参加投标。投标人具有下列情况之一的，不得参与同一标段的投标，否则相关投标均无效；参加本项目单一类别有以下关联关系的投标人不得超过该类别对应标段的数量。</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color w:val="000000"/>
          <w:sz w:val="24"/>
        </w:rPr>
      </w:pPr>
      <w:r>
        <w:rPr>
          <w:rFonts w:ascii="宋体" w:hAnsi="宋体" w:eastAsia="宋体" w:cs="宋体"/>
          <w:color w:val="000000"/>
          <w:sz w:val="24"/>
        </w:rPr>
        <w:t>3.3.1单位负责人为同一人或者存在控股、管理关系的不同单位；</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color w:val="000000"/>
          <w:sz w:val="24"/>
        </w:rPr>
      </w:pPr>
      <w:r>
        <w:rPr>
          <w:rFonts w:ascii="宋体" w:hAnsi="宋体" w:eastAsia="宋体" w:cs="宋体"/>
          <w:color w:val="000000"/>
          <w:sz w:val="24"/>
        </w:rPr>
        <w:t>3.3.2具有投资参股关系的关联企业；</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color w:val="000000"/>
          <w:sz w:val="24"/>
        </w:rPr>
      </w:pPr>
      <w:r>
        <w:rPr>
          <w:rFonts w:ascii="宋体" w:hAnsi="宋体" w:eastAsia="宋体" w:cs="宋体"/>
          <w:color w:val="000000"/>
          <w:sz w:val="24"/>
        </w:rPr>
        <w:t>3.3.3董事、监事、总经理、副总经理和财务负责人相互兼职的关联企业。</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宋体" w:hAnsi="宋体" w:eastAsia="宋体" w:cs="宋体"/>
          <w:color w:val="000000"/>
          <w:sz w:val="24"/>
        </w:rPr>
      </w:pPr>
      <w:r>
        <w:rPr>
          <w:rFonts w:ascii="宋体" w:hAnsi="宋体" w:eastAsia="宋体" w:cs="宋体"/>
          <w:color w:val="000000"/>
          <w:sz w:val="24"/>
        </w:rPr>
        <w:t>3.4凡被交通运输部或山西省交通运输厅取消投标资格或禁止进入建设市场的监理企业，在处罚期内无资格参与本项目的的投标。</w:t>
      </w:r>
      <w:r>
        <w:rPr>
          <w:rFonts w:ascii="宋体" w:hAnsi="宋体" w:eastAsia="宋体" w:cs="宋体"/>
          <w:sz w:val="24"/>
        </w:rPr>
        <w:t>凡在交通运输部或山西省公路建设市场的信用评价的考核定级中，被评价为D级的单位，在处罚期内无资格参与本项目的投标。</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ascii="宋体" w:hAnsi="宋体" w:eastAsia="宋体" w:cs="宋体"/>
          <w:sz w:val="24"/>
          <w:u w:val="none"/>
        </w:rPr>
      </w:pPr>
      <w:r>
        <w:rPr>
          <w:rFonts w:ascii="宋体" w:hAnsi="宋体" w:eastAsia="宋体" w:cs="宋体"/>
          <w:sz w:val="24"/>
          <w:u w:val="none"/>
        </w:rPr>
        <w:t>3.5投标人未在山西省公路建设市场中发生严重不履约行为。</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ascii="宋体" w:hAnsi="宋体" w:eastAsia="宋体" w:cs="宋体"/>
          <w:sz w:val="24"/>
          <w:u w:val="none"/>
        </w:rPr>
      </w:pPr>
      <w:r>
        <w:rPr>
          <w:rFonts w:ascii="宋体" w:hAnsi="宋体" w:eastAsia="宋体" w:cs="宋体"/>
          <w:sz w:val="24"/>
          <w:u w:val="none"/>
        </w:rPr>
        <w:t>3.6投标人在“信用中国”（http：//www.creditchina.gov.cn/）网站中未被列入失信被执行人名单。</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ascii="宋体" w:hAnsi="宋体" w:eastAsia="宋体" w:cs="宋体"/>
          <w:sz w:val="24"/>
          <w:u w:val="none"/>
        </w:rPr>
      </w:pPr>
      <w:r>
        <w:rPr>
          <w:rFonts w:ascii="宋体" w:hAnsi="宋体" w:eastAsia="宋体" w:cs="宋体"/>
          <w:sz w:val="24"/>
          <w:u w:val="none"/>
        </w:rPr>
        <w:t>3.7投标人在国家企业信用信息公示系统（</w:t>
      </w:r>
      <w:r>
        <w:rPr>
          <w:u w:val="none"/>
        </w:rPr>
        <w:fldChar w:fldCharType="begin"/>
      </w:r>
      <w:r>
        <w:rPr>
          <w:u w:val="none"/>
        </w:rPr>
        <w:instrText xml:space="preserve"> HYPERLINK "http://www.gsxt.gov.cn/" \h </w:instrText>
      </w:r>
      <w:r>
        <w:rPr>
          <w:u w:val="none"/>
        </w:rPr>
        <w:fldChar w:fldCharType="separate"/>
      </w:r>
      <w:r>
        <w:rPr>
          <w:rFonts w:ascii="宋体" w:hAnsi="宋体" w:eastAsia="宋体" w:cs="宋体"/>
          <w:color w:val="0000FF"/>
          <w:sz w:val="24"/>
          <w:u w:val="none"/>
        </w:rPr>
        <w:t>http://www.gsxt.gov.cn/</w:t>
      </w:r>
      <w:r>
        <w:rPr>
          <w:rFonts w:ascii="宋体" w:hAnsi="宋体" w:eastAsia="宋体" w:cs="宋体"/>
          <w:color w:val="0000FF"/>
          <w:sz w:val="24"/>
          <w:u w:val="none"/>
        </w:rPr>
        <w:fldChar w:fldCharType="end"/>
      </w:r>
      <w:r>
        <w:rPr>
          <w:rFonts w:ascii="宋体" w:hAnsi="宋体" w:eastAsia="宋体" w:cs="宋体"/>
          <w:sz w:val="24"/>
          <w:u w:val="none"/>
        </w:rPr>
        <w:t>）中未被列入严重违法失信企业名单。</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ascii="宋体" w:hAnsi="宋体" w:eastAsia="宋体" w:cs="宋体"/>
          <w:sz w:val="24"/>
          <w:u w:val="none"/>
        </w:rPr>
      </w:pPr>
      <w:r>
        <w:rPr>
          <w:rFonts w:ascii="宋体" w:hAnsi="宋体" w:eastAsia="宋体" w:cs="宋体"/>
          <w:sz w:val="24"/>
          <w:u w:val="none"/>
        </w:rPr>
        <w:t>3.8投标人及其法定代表人、拟担任本项目的总监理工程师近3年（</w:t>
      </w:r>
      <w:r>
        <w:rPr>
          <w:rFonts w:hint="eastAsia" w:ascii="宋体" w:hAnsi="宋体" w:eastAsia="宋体" w:cs="宋体"/>
          <w:sz w:val="24"/>
          <w:u w:val="none"/>
          <w:lang w:eastAsia="zh-CN"/>
        </w:rPr>
        <w:t>2019年11月15日</w:t>
      </w:r>
      <w:r>
        <w:rPr>
          <w:rFonts w:ascii="宋体" w:hAnsi="宋体" w:eastAsia="宋体" w:cs="宋体"/>
          <w:sz w:val="24"/>
          <w:u w:val="none"/>
        </w:rPr>
        <w:t>至投标文件递交截止之日）无行贿犯罪行为。</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ascii="宋体" w:hAnsi="宋体" w:eastAsia="宋体" w:cs="宋体"/>
          <w:sz w:val="24"/>
          <w:u w:val="none"/>
        </w:rPr>
      </w:pPr>
      <w:r>
        <w:rPr>
          <w:rFonts w:ascii="宋体" w:hAnsi="宋体" w:eastAsia="宋体" w:cs="宋体"/>
          <w:sz w:val="24"/>
          <w:u w:val="none"/>
        </w:rPr>
        <w:t>3.9本项目按类别进行报名，每个投标人只能对本项目1个类别进行投标，但每个投标人最多只能中1个标段。</w:t>
      </w:r>
    </w:p>
    <w:p>
      <w:pPr>
        <w:keepNext w:val="0"/>
        <w:keepLines w:val="0"/>
        <w:pageBreakBefore w:val="0"/>
        <w:widowControl w:val="0"/>
        <w:kinsoku/>
        <w:wordWrap/>
        <w:overflowPunct/>
        <w:topLinePunct w:val="0"/>
        <w:autoSpaceDE/>
        <w:autoSpaceDN/>
        <w:bidi w:val="0"/>
        <w:adjustRightInd/>
        <w:snapToGrid/>
        <w:spacing w:line="500" w:lineRule="exact"/>
        <w:ind w:firstLine="480"/>
        <w:jc w:val="left"/>
        <w:textAlignment w:val="auto"/>
        <w:rPr>
          <w:rFonts w:ascii="宋体" w:hAnsi="宋体" w:eastAsia="宋体" w:cs="宋体"/>
          <w:sz w:val="24"/>
          <w:u w:val="none"/>
        </w:rPr>
      </w:pPr>
      <w:r>
        <w:rPr>
          <w:rFonts w:ascii="宋体" w:hAnsi="宋体" w:eastAsia="宋体" w:cs="宋体"/>
          <w:sz w:val="24"/>
          <w:u w:val="none"/>
        </w:rPr>
        <w:t>3.10投标人必须对所报类别中所有标段分别编制并提交投标文件，否则招标人不予受理。对于A类别，在开标现场，招标人将按照平均分配的原则确定每个标段第二信封准予开标的投标人数量，并采用随机抽取的方式确定每个标段的具体投标人，一个投标人只开其中1个标段的第二信封。</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ascii="宋体" w:hAnsi="宋体" w:eastAsia="宋体" w:cs="宋体"/>
          <w:sz w:val="24"/>
          <w:u w:val="none"/>
        </w:rPr>
      </w:pPr>
      <w:r>
        <w:rPr>
          <w:rFonts w:ascii="宋体" w:hAnsi="宋体" w:eastAsia="宋体" w:cs="宋体"/>
          <w:sz w:val="24"/>
          <w:u w:val="none"/>
        </w:rPr>
        <w:t>3.11本项目施工标段和施工监理标段同时招标，若存在关联管理关系的施工单位及监理单位两个标段同时综合得分排名第一时，则优先推荐施工标段为中标候选人，同时取消施工监理标段的中标候选人资格。</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ascii="宋体" w:hAnsi="宋体" w:eastAsia="宋体" w:cs="宋体"/>
          <w:sz w:val="24"/>
          <w:u w:val="none"/>
        </w:rPr>
      </w:pPr>
      <w:r>
        <w:rPr>
          <w:rFonts w:ascii="宋体" w:hAnsi="宋体" w:eastAsia="宋体" w:cs="宋体"/>
          <w:sz w:val="24"/>
          <w:u w:val="none"/>
        </w:rPr>
        <w:t>3.12本次招标不接受联合体投标。</w:t>
      </w:r>
    </w:p>
    <w:p>
      <w:pPr>
        <w:pStyle w:val="2"/>
        <w:rPr>
          <w:rFonts w:hint="eastAsia" w:cs="宋体"/>
          <w:sz w:val="24"/>
          <w:u w:val="none"/>
          <w:lang w:val="en-US" w:eastAsia="zh-CN"/>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textAlignment w:val="auto"/>
        <w:rPr>
          <w:rFonts w:hint="eastAsia" w:cs="宋体"/>
          <w:sz w:val="24"/>
          <w:u w:val="none"/>
          <w:lang w:val="en-US" w:eastAsia="zh-CN"/>
        </w:rPr>
      </w:pPr>
      <w:r>
        <w:rPr>
          <w:rFonts w:hint="eastAsia" w:cs="宋体"/>
          <w:sz w:val="24"/>
          <w:u w:val="none"/>
          <w:lang w:val="en-US" w:eastAsia="zh-CN"/>
        </w:rPr>
        <w:t>三、评标办法（综合评分法）</w:t>
      </w:r>
    </w:p>
    <w:p>
      <w:pPr>
        <w:keepNext w:val="0"/>
        <w:keepLines w:val="0"/>
        <w:pageBreakBefore w:val="0"/>
        <w:widowControl w:val="0"/>
        <w:tabs>
          <w:tab w:val="left" w:pos="4409"/>
        </w:tabs>
        <w:kinsoku/>
        <w:wordWrap/>
        <w:overflowPunct/>
        <w:topLinePunct w:val="0"/>
        <w:autoSpaceDE/>
        <w:autoSpaceDN/>
        <w:bidi w:val="0"/>
        <w:adjustRightInd/>
        <w:snapToGrid/>
        <w:spacing w:line="240" w:lineRule="auto"/>
        <w:ind w:right="232"/>
        <w:jc w:val="center"/>
        <w:textAlignment w:val="auto"/>
        <w:rPr>
          <w:rFonts w:ascii="宋体" w:hAnsi="宋体" w:eastAsia="宋体" w:cs="宋体"/>
          <w:b/>
          <w:color w:val="000000"/>
          <w:spacing w:val="-12"/>
          <w:sz w:val="28"/>
          <w:szCs w:val="16"/>
        </w:rPr>
      </w:pPr>
      <w:r>
        <w:rPr>
          <w:rFonts w:ascii="宋体" w:hAnsi="宋体" w:eastAsia="宋体" w:cs="宋体"/>
          <w:b/>
          <w:color w:val="000000"/>
          <w:spacing w:val="-18"/>
          <w:sz w:val="28"/>
          <w:szCs w:val="16"/>
        </w:rPr>
        <w:t>评标办法 〈综合评分法〉</w:t>
      </w:r>
    </w:p>
    <w:tbl>
      <w:tblPr>
        <w:tblStyle w:val="4"/>
        <w:tblpPr w:leftFromText="180" w:rightFromText="180" w:vertAnchor="text" w:horzAnchor="page" w:tblpX="1877" w:tblpY="302"/>
        <w:tblOverlap w:val="never"/>
        <w:tblW w:w="0" w:type="auto"/>
        <w:tblInd w:w="0" w:type="dxa"/>
        <w:tblLayout w:type="autofit"/>
        <w:tblCellMar>
          <w:top w:w="0" w:type="dxa"/>
          <w:left w:w="10" w:type="dxa"/>
          <w:bottom w:w="0" w:type="dxa"/>
          <w:right w:w="10" w:type="dxa"/>
        </w:tblCellMar>
      </w:tblPr>
      <w:tblGrid>
        <w:gridCol w:w="1316"/>
        <w:gridCol w:w="672"/>
        <w:gridCol w:w="1157"/>
        <w:gridCol w:w="5329"/>
      </w:tblGrid>
      <w:tr>
        <w:tblPrEx>
          <w:tblCellMar>
            <w:top w:w="0" w:type="dxa"/>
            <w:left w:w="10" w:type="dxa"/>
            <w:bottom w:w="0" w:type="dxa"/>
            <w:right w:w="10" w:type="dxa"/>
          </w:tblCellMar>
        </w:tblPrEx>
        <w:trPr>
          <w:trHeight w:val="334" w:hRule="atLeast"/>
        </w:trPr>
        <w:tc>
          <w:tcPr>
            <w:tcW w:w="1938"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b/>
                <w:sz w:val="22"/>
                <w:szCs w:val="22"/>
              </w:rPr>
              <w:t>条 款 号</w:t>
            </w:r>
          </w:p>
        </w:tc>
        <w:tc>
          <w:tcPr>
            <w:tcW w:w="11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b/>
                <w:sz w:val="22"/>
                <w:szCs w:val="22"/>
              </w:rPr>
              <w:t>评审因素</w:t>
            </w:r>
          </w:p>
        </w:tc>
        <w:tc>
          <w:tcPr>
            <w:tcW w:w="5329" w:type="dxa"/>
            <w:tcBorders>
              <w:top w:val="single" w:color="000000" w:sz="4" w:space="0"/>
              <w:left w:val="single" w:color="000000" w:sz="0"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b/>
                <w:sz w:val="22"/>
                <w:szCs w:val="22"/>
              </w:rPr>
              <w:t xml:space="preserve">评审标准 </w:t>
            </w:r>
          </w:p>
        </w:tc>
      </w:tr>
      <w:tr>
        <w:trPr>
          <w:trHeight w:val="774" w:hRule="atLeast"/>
        </w:trPr>
        <w:tc>
          <w:tcPr>
            <w:tcW w:w="1938"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sz w:val="22"/>
                <w:szCs w:val="22"/>
              </w:rPr>
              <w:t>1</w:t>
            </w:r>
          </w:p>
        </w:tc>
        <w:tc>
          <w:tcPr>
            <w:tcW w:w="1157" w:type="dxa"/>
            <w:tcBorders>
              <w:top w:val="single" w:color="000000" w:sz="4" w:space="0"/>
              <w:left w:val="single" w:color="000000" w:sz="0"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eastAsia="宋体" w:cs="宋体"/>
                <w:sz w:val="22"/>
                <w:szCs w:val="22"/>
              </w:rPr>
            </w:pPr>
            <w:r>
              <w:rPr>
                <w:rFonts w:ascii="宋体" w:hAnsi="宋体" w:eastAsia="宋体" w:cs="宋体"/>
                <w:sz w:val="22"/>
                <w:szCs w:val="22"/>
              </w:rPr>
              <w:t>评标办法</w:t>
            </w:r>
          </w:p>
        </w:tc>
        <w:tc>
          <w:tcPr>
            <w:tcW w:w="5329" w:type="dxa"/>
            <w:tcBorders>
              <w:top w:val="single" w:color="000000" w:sz="4" w:space="0"/>
              <w:left w:val="single" w:color="000000" w:sz="0"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综合评分相等时，评标委员会依次按照以下优先顺序推荐中标候选人或确定中标人：</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（1）评标价低的投标人优先；</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hint="eastAsia" w:ascii="宋体" w:hAnsi="宋体" w:eastAsia="宋体" w:cs="宋体"/>
                <w:sz w:val="22"/>
                <w:szCs w:val="22"/>
                <w:lang w:eastAsia="zh-CN"/>
              </w:rPr>
            </w:pPr>
            <w:r>
              <w:rPr>
                <w:rFonts w:ascii="宋体" w:hAnsi="宋体" w:eastAsia="宋体" w:cs="宋体"/>
                <w:sz w:val="22"/>
                <w:szCs w:val="22"/>
              </w:rPr>
              <w:t>（2）信用评价等级较高者优先（信用评价以山西省交通运输厅最新发布的公路施工企业信用评价结果为准。在山西省交通运输厅未取得信用评价，以交通运输部最新发布的公路施工企业信用评价结果为准</w:t>
            </w:r>
            <w:r>
              <w:rPr>
                <w:rFonts w:hint="eastAsia" w:ascii="宋体" w:hAnsi="宋体" w:eastAsia="宋体" w:cs="宋体"/>
                <w:sz w:val="22"/>
                <w:szCs w:val="22"/>
                <w:lang w:val="en-US" w:eastAsia="zh-CN"/>
              </w:rPr>
              <w:t>,</w:t>
            </w:r>
            <w:r>
              <w:rPr>
                <w:rFonts w:ascii="宋体" w:hAnsi="宋体" w:eastAsia="宋体" w:cs="宋体"/>
                <w:sz w:val="22"/>
                <w:szCs w:val="22"/>
              </w:rPr>
              <w:t>若交通运输部也没有信用评价的按B级对待</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（3）商务和技术得分较高的投标人优先；</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（4）最终投标文件上传至交易平台较早的投标人优先。</w:t>
            </w:r>
          </w:p>
        </w:tc>
      </w:tr>
      <w:tr>
        <w:tblPrEx>
          <w:tblCellMar>
            <w:top w:w="0" w:type="dxa"/>
            <w:left w:w="10" w:type="dxa"/>
            <w:bottom w:w="0" w:type="dxa"/>
            <w:right w:w="10" w:type="dxa"/>
          </w:tblCellMar>
        </w:tblPrEx>
        <w:trPr>
          <w:trHeight w:val="774" w:hRule="atLeast"/>
        </w:trPr>
        <w:tc>
          <w:tcPr>
            <w:tcW w:w="8424" w:type="dxa"/>
            <w:gridSpan w:val="4"/>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ascii="宋体" w:hAnsi="宋体" w:eastAsia="宋体" w:cs="宋体"/>
                <w:sz w:val="22"/>
                <w:szCs w:val="22"/>
              </w:rPr>
            </w:pPr>
            <w:r>
              <w:rPr>
                <w:rFonts w:ascii="宋体" w:hAnsi="宋体" w:eastAsia="宋体" w:cs="宋体"/>
                <w:b/>
                <w:sz w:val="22"/>
                <w:szCs w:val="22"/>
              </w:rPr>
              <w:t>一信封评审</w:t>
            </w:r>
          </w:p>
        </w:tc>
      </w:tr>
      <w:tr>
        <w:tblPrEx>
          <w:tblCellMar>
            <w:top w:w="0" w:type="dxa"/>
            <w:left w:w="10" w:type="dxa"/>
            <w:bottom w:w="0" w:type="dxa"/>
            <w:right w:w="10" w:type="dxa"/>
          </w:tblCellMar>
        </w:tblPrEx>
        <w:trPr>
          <w:trHeight w:val="2255" w:hRule="atLeast"/>
        </w:trPr>
        <w:tc>
          <w:tcPr>
            <w:tcW w:w="126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00" w:lineRule="auto"/>
              <w:jc w:val="center"/>
              <w:rPr>
                <w:rFonts w:ascii="宋体" w:hAnsi="宋体" w:eastAsia="宋体" w:cs="宋体"/>
                <w:sz w:val="22"/>
                <w:szCs w:val="22"/>
              </w:rPr>
            </w:pPr>
            <w:r>
              <w:rPr>
                <w:rFonts w:ascii="宋体" w:hAnsi="宋体" w:eastAsia="宋体" w:cs="宋体"/>
                <w:sz w:val="22"/>
                <w:szCs w:val="22"/>
              </w:rPr>
              <w:t>2.1.1</w:t>
            </w:r>
          </w:p>
          <w:p>
            <w:pPr>
              <w:spacing w:line="500" w:lineRule="auto"/>
              <w:jc w:val="center"/>
              <w:rPr>
                <w:rFonts w:ascii="Arial" w:hAnsi="Arial" w:eastAsia="Arial" w:cs="Arial"/>
                <w:sz w:val="22"/>
                <w:szCs w:val="22"/>
              </w:rPr>
            </w:pPr>
            <w:r>
              <w:rPr>
                <w:rFonts w:ascii="宋体" w:hAnsi="宋体" w:eastAsia="宋体" w:cs="宋体"/>
                <w:sz w:val="22"/>
                <w:szCs w:val="22"/>
              </w:rPr>
              <w:t>2.1.3</w:t>
            </w:r>
          </w:p>
          <w:p>
            <w:pPr>
              <w:spacing w:line="500" w:lineRule="auto"/>
              <w:jc w:val="center"/>
              <w:rPr>
                <w:sz w:val="22"/>
                <w:szCs w:val="22"/>
              </w:rPr>
            </w:pPr>
          </w:p>
        </w:tc>
        <w:tc>
          <w:tcPr>
            <w:tcW w:w="67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00" w:lineRule="auto"/>
              <w:jc w:val="center"/>
              <w:rPr>
                <w:rFonts w:ascii="宋体" w:hAnsi="宋体" w:eastAsia="宋体" w:cs="宋体"/>
                <w:sz w:val="22"/>
                <w:szCs w:val="22"/>
              </w:rPr>
            </w:pPr>
            <w:r>
              <w:rPr>
                <w:rFonts w:ascii="宋体" w:hAnsi="宋体" w:eastAsia="宋体" w:cs="宋体"/>
                <w:sz w:val="22"/>
                <w:szCs w:val="22"/>
              </w:rPr>
              <w:t>一信封形式评审与响应性评审标准</w:t>
            </w:r>
          </w:p>
        </w:tc>
        <w:tc>
          <w:tcPr>
            <w:tcW w:w="6486"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（1）第一个信封（商务及技术文件）电子投标文件满足招标文件第二章“投标人须知”第3条规定。</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lang w:val="en-US" w:eastAsia="zh-CN"/>
              </w:rPr>
              <w:t>2</w:t>
            </w:r>
            <w:r>
              <w:rPr>
                <w:rFonts w:ascii="宋体" w:hAnsi="宋体" w:eastAsia="宋体" w:cs="宋体"/>
                <w:sz w:val="22"/>
                <w:szCs w:val="22"/>
              </w:rPr>
              <w:t>）投标人名称与资质证书、营业执照和基本账户许可证（或基本存款账户信息）上载明的相一致，提供的复印件清晰可辨；</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lang w:val="en-US" w:eastAsia="zh-CN"/>
              </w:rPr>
              <w:t>3</w:t>
            </w:r>
            <w:r>
              <w:rPr>
                <w:rFonts w:ascii="宋体" w:hAnsi="宋体" w:eastAsia="宋体" w:cs="宋体"/>
                <w:sz w:val="22"/>
                <w:szCs w:val="22"/>
              </w:rPr>
              <w:t>）第一个信封（商务及技术文件）按招标文件规定的格式、内容填写，字迹清晰可辨：</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a.投标函按招标文件规定填报了项目名称、项目总监理工程师、</w:t>
            </w:r>
            <w:r>
              <w:rPr>
                <w:rFonts w:ascii="宋体" w:hAnsi="宋体" w:eastAsia="宋体" w:cs="宋体"/>
                <w:color w:val="auto"/>
                <w:sz w:val="22"/>
                <w:szCs w:val="22"/>
              </w:rPr>
              <w:t>类</w:t>
            </w:r>
            <w:r>
              <w:rPr>
                <w:rFonts w:ascii="宋体" w:hAnsi="宋体" w:eastAsia="宋体" w:cs="宋体"/>
                <w:sz w:val="22"/>
                <w:szCs w:val="22"/>
              </w:rPr>
              <w:t>别号、补遗书（如有）、监理服务期限、工程质量要求及安全目标；</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b.第一个信封（商务及技术文件）内容齐全完整，内容均按规定填写；</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c.按规定提供了拟投入主要人员的证件复印件，证件清晰可辨、有效。</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lang w:val="en-US" w:eastAsia="zh-CN"/>
              </w:rPr>
              <w:t>4</w:t>
            </w:r>
            <w:r>
              <w:rPr>
                <w:rFonts w:ascii="宋体" w:hAnsi="宋体" w:eastAsia="宋体" w:cs="宋体"/>
                <w:sz w:val="22"/>
                <w:szCs w:val="22"/>
              </w:rPr>
              <w:t>）投标文件上法定代表人的电子签名、投标人单位的电子签章齐全，符合招标文件规定；</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lang w:val="en-US" w:eastAsia="zh-CN"/>
              </w:rPr>
              <w:t>5</w:t>
            </w:r>
            <w:r>
              <w:rPr>
                <w:rFonts w:ascii="宋体" w:hAnsi="宋体" w:eastAsia="宋体" w:cs="宋体"/>
                <w:sz w:val="22"/>
                <w:szCs w:val="22"/>
              </w:rPr>
              <w:t>）投标人按照招标文件的规定提供了投标保证金：</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a.投标保证金金额符合招标文件规定的金额，且投标保证金有效期不少于投标有效期；</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b.若投标保证金采用现金或支票形式提交，投标人应在递交投标文件截止时间之前，将投标保证金由投标人的基本账户转入招标人指定账户；</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c.若投标保证金采用投标保函形式提交，投标保函应满足招标文件要求，且在递交投标文件截止时间之前向招标人提交了投标保函原件。</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lang w:val="en-US" w:eastAsia="zh-CN"/>
              </w:rPr>
              <w:t>6</w:t>
            </w:r>
            <w:r>
              <w:rPr>
                <w:rFonts w:ascii="宋体" w:hAnsi="宋体" w:eastAsia="宋体" w:cs="宋体"/>
                <w:sz w:val="22"/>
                <w:szCs w:val="22"/>
              </w:rPr>
              <w:t>）提供了法定代表人身份证明</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lang w:val="en-US" w:eastAsia="zh-CN"/>
              </w:rPr>
              <w:t>7</w:t>
            </w:r>
            <w:r>
              <w:rPr>
                <w:rFonts w:ascii="宋体" w:hAnsi="宋体" w:eastAsia="宋体" w:cs="宋体"/>
                <w:sz w:val="22"/>
                <w:szCs w:val="22"/>
              </w:rPr>
              <w:t>）同一投标人未提交两个以上不同的投标文件。</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lang w:val="en-US" w:eastAsia="zh-CN"/>
              </w:rPr>
              <w:t>8</w:t>
            </w:r>
            <w:r>
              <w:rPr>
                <w:rFonts w:ascii="宋体" w:hAnsi="宋体" w:eastAsia="宋体" w:cs="宋体"/>
                <w:sz w:val="22"/>
                <w:szCs w:val="22"/>
              </w:rPr>
              <w:t>）第一个信封（商务及技术文件）中未出现有关投标报价的内容。</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lang w:val="en-US" w:eastAsia="zh-CN"/>
              </w:rPr>
              <w:t>9</w:t>
            </w:r>
            <w:r>
              <w:rPr>
                <w:rFonts w:ascii="宋体" w:hAnsi="宋体" w:eastAsia="宋体" w:cs="宋体"/>
                <w:sz w:val="22"/>
                <w:szCs w:val="22"/>
              </w:rPr>
              <w:t>）第一个信封（商务及技术文件）载明的招标项目完成期限未超过招标文件规定的时限。</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（1</w:t>
            </w:r>
            <w:r>
              <w:rPr>
                <w:rFonts w:hint="eastAsia" w:ascii="宋体" w:hAnsi="宋体" w:eastAsia="宋体" w:cs="宋体"/>
                <w:sz w:val="22"/>
                <w:szCs w:val="22"/>
                <w:lang w:val="en-US" w:eastAsia="zh-CN"/>
              </w:rPr>
              <w:t>0</w:t>
            </w:r>
            <w:r>
              <w:rPr>
                <w:rFonts w:ascii="宋体" w:hAnsi="宋体" w:eastAsia="宋体" w:cs="宋体"/>
                <w:sz w:val="22"/>
                <w:szCs w:val="22"/>
              </w:rPr>
              <w:t>）第一个信封（商务及技术文件）对招标文件的实质性要求和条件作出响应。</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（1</w:t>
            </w:r>
            <w:r>
              <w:rPr>
                <w:rFonts w:hint="eastAsia" w:ascii="宋体" w:hAnsi="宋体" w:eastAsia="宋体" w:cs="宋体"/>
                <w:sz w:val="22"/>
                <w:szCs w:val="22"/>
                <w:lang w:val="en-US" w:eastAsia="zh-CN"/>
              </w:rPr>
              <w:t>1</w:t>
            </w:r>
            <w:r>
              <w:rPr>
                <w:rFonts w:ascii="宋体" w:hAnsi="宋体" w:eastAsia="宋体" w:cs="宋体"/>
                <w:sz w:val="22"/>
                <w:szCs w:val="22"/>
              </w:rPr>
              <w:t>）权利义务符合招标文件规定：</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a.投标人应接受招标文件规定的风险划分原则，未提出新的风险划分办法；</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b.投标人未增加发包人的责任范围，或减少投标人义务；</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c. 投标人未提出不同的工程验收、计量、支付办法；</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d.投标人对合同纠纷、事故处理办法未提出异议；</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e.投标人在投标活动中无欺诈行为；</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f.投标人未对合同条款有重要保留。</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（1</w:t>
            </w:r>
            <w:r>
              <w:rPr>
                <w:rFonts w:hint="eastAsia" w:ascii="宋体" w:hAnsi="宋体" w:eastAsia="宋体" w:cs="宋体"/>
                <w:sz w:val="22"/>
                <w:szCs w:val="22"/>
                <w:lang w:val="en-US" w:eastAsia="zh-CN"/>
              </w:rPr>
              <w:t>2</w:t>
            </w:r>
            <w:r>
              <w:rPr>
                <w:rFonts w:ascii="宋体" w:hAnsi="宋体" w:eastAsia="宋体" w:cs="宋体"/>
                <w:sz w:val="22"/>
                <w:szCs w:val="22"/>
              </w:rPr>
              <w:t>）不同投标人间投标人未存在下列情形：</w:t>
            </w:r>
          </w:p>
          <w:p>
            <w:pPr>
              <w:keepNext w:val="0"/>
              <w:keepLines w:val="0"/>
              <w:pageBreakBefore w:val="0"/>
              <w:widowControl w:val="0"/>
              <w:kinsoku/>
              <w:wordWrap/>
              <w:overflowPunct/>
              <w:topLinePunct w:val="0"/>
              <w:autoSpaceDE/>
              <w:autoSpaceDN/>
              <w:bidi w:val="0"/>
              <w:adjustRightInd/>
              <w:snapToGrid/>
              <w:spacing w:line="480" w:lineRule="atLeast"/>
              <w:jc w:val="left"/>
              <w:textAlignment w:val="auto"/>
              <w:rPr>
                <w:rFonts w:ascii="宋体" w:hAnsi="宋体" w:eastAsia="宋体" w:cs="宋体"/>
                <w:sz w:val="22"/>
                <w:szCs w:val="22"/>
              </w:rPr>
            </w:pPr>
            <w:r>
              <w:rPr>
                <w:rFonts w:ascii="宋体" w:hAnsi="宋体" w:eastAsia="宋体" w:cs="宋体"/>
                <w:sz w:val="22"/>
                <w:szCs w:val="22"/>
              </w:rPr>
              <w:t>a.不同投标人的投标文件由同一电子设备编制、打印加密或者上传；</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b.不同投标人的投标文件的实质性内容存在两处以上细节错误一致；</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c.电子投标文件记录的MAC地址、硬盘序列号等硬件信息出现任一相同情况，包含不同投标人在不同批次投标活动中信息相同情况；</w:t>
            </w:r>
          </w:p>
          <w:p>
            <w:pPr>
              <w:keepNext w:val="0"/>
              <w:keepLines w:val="0"/>
              <w:pageBreakBefore w:val="0"/>
              <w:widowControl w:val="0"/>
              <w:kinsoku/>
              <w:wordWrap/>
              <w:overflowPunct/>
              <w:topLinePunct w:val="0"/>
              <w:autoSpaceDE/>
              <w:autoSpaceDN/>
              <w:bidi w:val="0"/>
              <w:adjustRightInd/>
              <w:snapToGrid/>
              <w:spacing w:line="460" w:lineRule="atLeast"/>
              <w:jc w:val="left"/>
              <w:textAlignment w:val="auto"/>
              <w:rPr>
                <w:rFonts w:ascii="宋体" w:hAnsi="宋体" w:eastAsia="宋体" w:cs="宋体"/>
                <w:sz w:val="22"/>
                <w:szCs w:val="22"/>
              </w:rPr>
            </w:pPr>
            <w:r>
              <w:rPr>
                <w:rFonts w:ascii="宋体" w:hAnsi="宋体" w:eastAsia="宋体" w:cs="宋体"/>
                <w:sz w:val="22"/>
                <w:szCs w:val="22"/>
              </w:rPr>
              <w:t>d.投标文件的制作、记录上传IP地址，投标人购买招标文件IP地址等信息出现任一相同情况。</w:t>
            </w:r>
          </w:p>
        </w:tc>
      </w:tr>
      <w:tr>
        <w:tblPrEx>
          <w:tblCellMar>
            <w:top w:w="0" w:type="dxa"/>
            <w:left w:w="10" w:type="dxa"/>
            <w:bottom w:w="0" w:type="dxa"/>
            <w:right w:w="10" w:type="dxa"/>
          </w:tblCellMar>
        </w:tblPrEx>
        <w:trPr>
          <w:trHeight w:val="7360" w:hRule="atLeast"/>
        </w:trPr>
        <w:tc>
          <w:tcPr>
            <w:tcW w:w="126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00" w:lineRule="auto"/>
              <w:jc w:val="center"/>
              <w:rPr>
                <w:rFonts w:ascii="宋体" w:hAnsi="宋体" w:eastAsia="宋体" w:cs="宋体"/>
                <w:sz w:val="22"/>
                <w:szCs w:val="22"/>
              </w:rPr>
            </w:pPr>
            <w:r>
              <w:rPr>
                <w:rFonts w:ascii="宋体" w:hAnsi="宋体" w:eastAsia="宋体" w:cs="宋体"/>
                <w:sz w:val="22"/>
                <w:szCs w:val="22"/>
              </w:rPr>
              <w:t>2.1.2</w:t>
            </w:r>
          </w:p>
        </w:tc>
        <w:tc>
          <w:tcPr>
            <w:tcW w:w="67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00" w:lineRule="auto"/>
              <w:jc w:val="center"/>
              <w:rPr>
                <w:rFonts w:ascii="宋体" w:hAnsi="宋体" w:eastAsia="宋体" w:cs="宋体"/>
                <w:sz w:val="22"/>
                <w:szCs w:val="22"/>
              </w:rPr>
            </w:pPr>
            <w:r>
              <w:rPr>
                <w:rFonts w:ascii="宋体" w:hAnsi="宋体" w:eastAsia="宋体" w:cs="宋体"/>
                <w:sz w:val="22"/>
                <w:szCs w:val="22"/>
              </w:rPr>
              <w:t>资格评审</w:t>
            </w:r>
          </w:p>
        </w:tc>
        <w:tc>
          <w:tcPr>
            <w:tcW w:w="6486"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left"/>
              <w:rPr>
                <w:rFonts w:ascii="宋体" w:hAnsi="宋体" w:eastAsia="宋体" w:cs="宋体"/>
                <w:sz w:val="22"/>
                <w:szCs w:val="22"/>
              </w:rPr>
            </w:pPr>
          </w:p>
          <w:p>
            <w:pPr>
              <w:spacing w:line="400" w:lineRule="auto"/>
              <w:jc w:val="left"/>
              <w:rPr>
                <w:rFonts w:ascii="宋体" w:hAnsi="宋体" w:eastAsia="宋体" w:cs="宋体"/>
                <w:sz w:val="22"/>
                <w:szCs w:val="22"/>
              </w:rPr>
            </w:pPr>
            <w:r>
              <w:rPr>
                <w:rFonts w:ascii="宋体" w:hAnsi="宋体" w:eastAsia="宋体" w:cs="宋体"/>
                <w:sz w:val="22"/>
                <w:szCs w:val="22"/>
              </w:rPr>
              <w:t>（1）投标人具备有效的营业执照、监理资质证书和基本户银行开户许可证（或基本存款账户信息）。</w:t>
            </w:r>
          </w:p>
          <w:p>
            <w:pPr>
              <w:spacing w:line="400" w:lineRule="auto"/>
              <w:jc w:val="left"/>
              <w:rPr>
                <w:rFonts w:ascii="宋体" w:hAnsi="宋体" w:eastAsia="宋体" w:cs="宋体"/>
                <w:sz w:val="22"/>
                <w:szCs w:val="22"/>
              </w:rPr>
            </w:pPr>
            <w:r>
              <w:rPr>
                <w:rFonts w:ascii="宋体" w:hAnsi="宋体" w:eastAsia="宋体" w:cs="宋体"/>
                <w:sz w:val="22"/>
                <w:szCs w:val="22"/>
              </w:rPr>
              <w:t>（2）投标人的资质等级符合附录一规定。</w:t>
            </w:r>
          </w:p>
          <w:p>
            <w:pPr>
              <w:spacing w:line="400" w:lineRule="auto"/>
              <w:jc w:val="left"/>
              <w:rPr>
                <w:rFonts w:ascii="宋体" w:hAnsi="宋体" w:eastAsia="宋体" w:cs="宋体"/>
                <w:sz w:val="22"/>
                <w:szCs w:val="22"/>
              </w:rPr>
            </w:pPr>
            <w:r>
              <w:rPr>
                <w:rFonts w:ascii="宋体" w:hAnsi="宋体" w:eastAsia="宋体" w:cs="宋体"/>
                <w:sz w:val="22"/>
                <w:szCs w:val="22"/>
              </w:rPr>
              <w:t>（3）投标人的类似项目业绩符合附录二规定。</w:t>
            </w:r>
          </w:p>
          <w:p>
            <w:pPr>
              <w:spacing w:line="400" w:lineRule="auto"/>
              <w:jc w:val="left"/>
              <w:rPr>
                <w:rFonts w:ascii="宋体" w:hAnsi="宋体" w:eastAsia="宋体" w:cs="宋体"/>
                <w:sz w:val="22"/>
                <w:szCs w:val="22"/>
              </w:rPr>
            </w:pPr>
            <w:r>
              <w:rPr>
                <w:rFonts w:ascii="宋体" w:hAnsi="宋体" w:eastAsia="宋体" w:cs="宋体"/>
                <w:sz w:val="22"/>
                <w:szCs w:val="22"/>
              </w:rPr>
              <w:t>（4）投标人的信誉符合附录三规定。</w:t>
            </w:r>
          </w:p>
          <w:p>
            <w:pPr>
              <w:spacing w:line="400" w:lineRule="auto"/>
              <w:jc w:val="left"/>
              <w:rPr>
                <w:rFonts w:ascii="宋体" w:hAnsi="宋体" w:eastAsia="宋体" w:cs="宋体"/>
                <w:sz w:val="22"/>
                <w:szCs w:val="22"/>
              </w:rPr>
            </w:pPr>
            <w:r>
              <w:rPr>
                <w:rFonts w:ascii="宋体" w:hAnsi="宋体" w:eastAsia="宋体" w:cs="宋体"/>
                <w:sz w:val="22"/>
                <w:szCs w:val="22"/>
              </w:rPr>
              <w:t>（5）投标人的项目总监理工程师资格、在岗情况附后附录四规定。</w:t>
            </w:r>
          </w:p>
          <w:p>
            <w:pPr>
              <w:spacing w:line="400" w:lineRule="auto"/>
              <w:jc w:val="left"/>
              <w:rPr>
                <w:rFonts w:ascii="宋体" w:hAnsi="宋体" w:eastAsia="宋体" w:cs="宋体"/>
                <w:sz w:val="22"/>
                <w:szCs w:val="22"/>
              </w:rPr>
            </w:pPr>
            <w:r>
              <w:rPr>
                <w:rFonts w:ascii="宋体" w:hAnsi="宋体" w:eastAsia="宋体" w:cs="宋体"/>
                <w:sz w:val="22"/>
                <w:szCs w:val="22"/>
              </w:rPr>
              <w:t>（6）投标人的其他要求符合招标文件规定。</w:t>
            </w:r>
          </w:p>
          <w:p>
            <w:pPr>
              <w:spacing w:line="400" w:lineRule="auto"/>
              <w:jc w:val="left"/>
              <w:rPr>
                <w:rFonts w:ascii="宋体" w:hAnsi="宋体" w:eastAsia="宋体" w:cs="宋体"/>
                <w:sz w:val="22"/>
                <w:szCs w:val="22"/>
              </w:rPr>
            </w:pPr>
            <w:r>
              <w:rPr>
                <w:rFonts w:ascii="宋体" w:hAnsi="宋体" w:eastAsia="宋体" w:cs="宋体"/>
                <w:sz w:val="22"/>
                <w:szCs w:val="22"/>
              </w:rPr>
              <w:t>（7）投标人不存在第二章“投标人须知”第1.4.3项或1.4.4项规定的任何一种情形。</w:t>
            </w:r>
          </w:p>
          <w:p>
            <w:pPr>
              <w:spacing w:line="400" w:lineRule="auto"/>
              <w:jc w:val="left"/>
              <w:rPr>
                <w:rFonts w:ascii="宋体" w:hAnsi="宋体" w:eastAsia="宋体" w:cs="宋体"/>
                <w:sz w:val="22"/>
                <w:szCs w:val="22"/>
              </w:rPr>
            </w:pPr>
            <w:r>
              <w:rPr>
                <w:rFonts w:ascii="宋体" w:hAnsi="宋体" w:eastAsia="宋体" w:cs="宋体"/>
                <w:sz w:val="22"/>
                <w:szCs w:val="22"/>
              </w:rPr>
              <w:t>（8）关联关系审查。</w:t>
            </w:r>
          </w:p>
          <w:p>
            <w:pPr>
              <w:spacing w:line="400" w:lineRule="auto"/>
              <w:jc w:val="left"/>
              <w:rPr>
                <w:rFonts w:ascii="宋体" w:hAnsi="宋体" w:eastAsia="宋体" w:cs="宋体"/>
                <w:sz w:val="22"/>
                <w:szCs w:val="22"/>
              </w:rPr>
            </w:pPr>
            <w:r>
              <w:rPr>
                <w:rFonts w:ascii="宋体" w:hAnsi="宋体" w:eastAsia="宋体" w:cs="宋体"/>
                <w:sz w:val="22"/>
                <w:szCs w:val="22"/>
              </w:rPr>
              <w:t>如在同一类别中，各投标人之间存在招标公告中3.4款所述关联关系时，评标委员会依次按照以下优先顺序确定等同于该类别中标段数量的投标人通过资格审查，其余投标人将被认定为资格审查不通过：</w:t>
            </w:r>
          </w:p>
          <w:p>
            <w:pPr>
              <w:spacing w:line="400" w:lineRule="auto"/>
              <w:jc w:val="left"/>
              <w:rPr>
                <w:rFonts w:ascii="宋体" w:hAnsi="宋体" w:eastAsia="宋体" w:cs="宋体"/>
                <w:sz w:val="22"/>
                <w:szCs w:val="22"/>
              </w:rPr>
            </w:pPr>
            <w:r>
              <w:rPr>
                <w:rFonts w:ascii="宋体" w:hAnsi="宋体" w:eastAsia="宋体" w:cs="宋体"/>
                <w:sz w:val="22"/>
                <w:szCs w:val="22"/>
              </w:rPr>
              <w:t xml:space="preserve">a.最近一年被山西省交通运输厅评为较高信用等级的投标人优先，未在山西省交通运输厅取得信用评价的，按B级对待； </w:t>
            </w:r>
          </w:p>
          <w:p>
            <w:pPr>
              <w:spacing w:line="400" w:lineRule="auto"/>
              <w:jc w:val="left"/>
              <w:rPr>
                <w:rFonts w:ascii="宋体" w:hAnsi="宋体" w:eastAsia="宋体" w:cs="宋体"/>
                <w:sz w:val="22"/>
                <w:szCs w:val="22"/>
              </w:rPr>
            </w:pPr>
            <w:r>
              <w:rPr>
                <w:rFonts w:ascii="宋体" w:hAnsi="宋体" w:eastAsia="宋体" w:cs="宋体"/>
                <w:sz w:val="22"/>
                <w:szCs w:val="22"/>
              </w:rPr>
              <w:t>b.上一年度净资产高的投标人优先；</w:t>
            </w:r>
          </w:p>
          <w:p>
            <w:pPr>
              <w:spacing w:line="400" w:lineRule="auto"/>
              <w:jc w:val="left"/>
              <w:rPr>
                <w:rFonts w:ascii="宋体" w:hAnsi="宋体" w:eastAsia="宋体" w:cs="宋体"/>
                <w:sz w:val="22"/>
                <w:szCs w:val="22"/>
              </w:rPr>
            </w:pPr>
            <w:r>
              <w:rPr>
                <w:rFonts w:ascii="宋体" w:hAnsi="宋体" w:eastAsia="宋体" w:cs="宋体"/>
                <w:sz w:val="22"/>
                <w:szCs w:val="22"/>
              </w:rPr>
              <w:t>d.最终投标文件上传至交易平台较早的投标人优先。</w:t>
            </w:r>
          </w:p>
          <w:p>
            <w:pPr>
              <w:spacing w:line="400" w:lineRule="auto"/>
              <w:jc w:val="left"/>
              <w:rPr>
                <w:rFonts w:ascii="宋体" w:hAnsi="宋体" w:eastAsia="宋体" w:cs="宋体"/>
                <w:sz w:val="22"/>
                <w:szCs w:val="22"/>
              </w:rPr>
            </w:pPr>
            <w:r>
              <w:rPr>
                <w:rFonts w:ascii="宋体" w:hAnsi="宋体" w:eastAsia="宋体" w:cs="宋体"/>
                <w:sz w:val="22"/>
                <w:szCs w:val="22"/>
              </w:rPr>
              <w:t>（9）A类别投标人满足投标人须知前附表1.4.5要求。</w:t>
            </w:r>
          </w:p>
          <w:p>
            <w:pPr>
              <w:spacing w:line="400" w:lineRule="auto"/>
              <w:jc w:val="left"/>
              <w:rPr>
                <w:rFonts w:ascii="宋体" w:hAnsi="宋体" w:eastAsia="宋体" w:cs="宋体"/>
                <w:sz w:val="22"/>
                <w:szCs w:val="22"/>
              </w:rPr>
            </w:pPr>
            <w:r>
              <w:rPr>
                <w:rFonts w:ascii="宋体" w:hAnsi="宋体" w:eastAsia="宋体" w:cs="宋体"/>
                <w:sz w:val="22"/>
                <w:szCs w:val="22"/>
              </w:rPr>
              <w:t>（10）未以联合体形式参与投标的；</w:t>
            </w:r>
          </w:p>
        </w:tc>
      </w:tr>
      <w:tr>
        <w:tblPrEx>
          <w:tblCellMar>
            <w:top w:w="0" w:type="dxa"/>
            <w:left w:w="10" w:type="dxa"/>
            <w:bottom w:w="0" w:type="dxa"/>
            <w:right w:w="10" w:type="dxa"/>
          </w:tblCellMar>
        </w:tblPrEx>
        <w:trPr>
          <w:trHeight w:val="779" w:hRule="atLeast"/>
        </w:trPr>
        <w:tc>
          <w:tcPr>
            <w:tcW w:w="8424" w:type="dxa"/>
            <w:gridSpan w:val="4"/>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center"/>
              <w:rPr>
                <w:rFonts w:ascii="宋体" w:hAnsi="宋体" w:eastAsia="宋体" w:cs="宋体"/>
                <w:sz w:val="22"/>
                <w:szCs w:val="22"/>
              </w:rPr>
            </w:pPr>
            <w:r>
              <w:rPr>
                <w:rFonts w:ascii="宋体" w:hAnsi="宋体" w:eastAsia="宋体" w:cs="宋体"/>
                <w:b/>
                <w:sz w:val="22"/>
                <w:szCs w:val="22"/>
              </w:rPr>
              <w:t>二信封评审</w:t>
            </w:r>
          </w:p>
        </w:tc>
      </w:tr>
      <w:tr>
        <w:tblPrEx>
          <w:tblCellMar>
            <w:top w:w="0" w:type="dxa"/>
            <w:left w:w="10" w:type="dxa"/>
            <w:bottom w:w="0" w:type="dxa"/>
            <w:right w:w="10" w:type="dxa"/>
          </w:tblCellMar>
        </w:tblPrEx>
        <w:trPr>
          <w:trHeight w:val="2048" w:hRule="atLeast"/>
        </w:trPr>
        <w:tc>
          <w:tcPr>
            <w:tcW w:w="1266" w:type="dxa"/>
            <w:tcBorders>
              <w:top w:val="single" w:color="000000" w:sz="4" w:space="0"/>
              <w:left w:val="single" w:color="000000" w:sz="4" w:space="0"/>
              <w:bottom w:val="single" w:color="000000" w:sz="0" w:space="0"/>
              <w:right w:val="single" w:color="000000" w:sz="4" w:space="0"/>
            </w:tcBorders>
            <w:shd w:val="clear" w:color="000000" w:fill="FFFFFF"/>
            <w:noWrap w:val="0"/>
            <w:tcMar>
              <w:left w:w="108" w:type="dxa"/>
              <w:right w:w="108" w:type="dxa"/>
            </w:tcMar>
            <w:vAlign w:val="center"/>
          </w:tcPr>
          <w:p>
            <w:pPr>
              <w:spacing w:line="500" w:lineRule="auto"/>
              <w:jc w:val="center"/>
              <w:rPr>
                <w:rFonts w:ascii="宋体" w:hAnsi="宋体" w:eastAsia="宋体" w:cs="宋体"/>
                <w:sz w:val="22"/>
                <w:szCs w:val="22"/>
              </w:rPr>
            </w:pPr>
            <w:r>
              <w:rPr>
                <w:rFonts w:ascii="宋体" w:hAnsi="宋体" w:eastAsia="宋体" w:cs="宋体"/>
                <w:sz w:val="22"/>
                <w:szCs w:val="22"/>
              </w:rPr>
              <w:t>2.1.12.1.3</w:t>
            </w:r>
          </w:p>
        </w:tc>
        <w:tc>
          <w:tcPr>
            <w:tcW w:w="672" w:type="dxa"/>
            <w:tcBorders>
              <w:top w:val="single" w:color="000000" w:sz="4" w:space="0"/>
              <w:left w:val="single" w:color="000000" w:sz="4" w:space="0"/>
              <w:bottom w:val="single" w:color="000000" w:sz="0" w:space="0"/>
              <w:right w:val="single" w:color="000000" w:sz="4" w:space="0"/>
            </w:tcBorders>
            <w:shd w:val="clear" w:color="000000" w:fill="FFFFFF"/>
            <w:noWrap w:val="0"/>
            <w:tcMar>
              <w:left w:w="108" w:type="dxa"/>
              <w:right w:w="108" w:type="dxa"/>
            </w:tcMar>
            <w:vAlign w:val="center"/>
          </w:tcPr>
          <w:p>
            <w:pPr>
              <w:spacing w:line="500" w:lineRule="auto"/>
              <w:jc w:val="center"/>
              <w:rPr>
                <w:rFonts w:ascii="宋体" w:hAnsi="宋体" w:eastAsia="宋体" w:cs="宋体"/>
                <w:sz w:val="22"/>
                <w:szCs w:val="22"/>
              </w:rPr>
            </w:pPr>
            <w:r>
              <w:rPr>
                <w:rFonts w:ascii="宋体" w:hAnsi="宋体" w:eastAsia="宋体" w:cs="宋体"/>
                <w:sz w:val="22"/>
                <w:szCs w:val="22"/>
              </w:rPr>
              <w:t>二信封形式评审与响应性评审</w:t>
            </w:r>
          </w:p>
        </w:tc>
        <w:tc>
          <w:tcPr>
            <w:tcW w:w="6486"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left"/>
              <w:rPr>
                <w:rFonts w:ascii="宋体" w:hAnsi="宋体" w:eastAsia="宋体" w:cs="宋体"/>
                <w:sz w:val="22"/>
                <w:szCs w:val="22"/>
              </w:rPr>
            </w:pPr>
            <w:r>
              <w:rPr>
                <w:rFonts w:ascii="宋体" w:hAnsi="宋体" w:eastAsia="宋体" w:cs="宋体"/>
                <w:sz w:val="22"/>
                <w:szCs w:val="22"/>
              </w:rPr>
              <w:t>（1）第二个信封（报价文件）电子投标文件满足招标文件第二章“投标人须知”第3条规定。</w:t>
            </w:r>
          </w:p>
          <w:p>
            <w:pPr>
              <w:spacing w:line="400" w:lineRule="auto"/>
              <w:jc w:val="left"/>
              <w:rPr>
                <w:rFonts w:ascii="宋体" w:hAnsi="宋体" w:eastAsia="宋体" w:cs="宋体"/>
                <w:sz w:val="22"/>
                <w:szCs w:val="22"/>
              </w:rPr>
            </w:pPr>
            <w:r>
              <w:rPr>
                <w:rFonts w:ascii="宋体" w:hAnsi="宋体" w:eastAsia="宋体" w:cs="宋体"/>
                <w:sz w:val="22"/>
                <w:szCs w:val="22"/>
              </w:rPr>
              <w:t>（2）第二个信封（报价文件）按照招标文件规定的格式、内容填写，字迹清晰可辨：</w:t>
            </w:r>
          </w:p>
          <w:p>
            <w:pPr>
              <w:spacing w:line="400" w:lineRule="auto"/>
              <w:jc w:val="left"/>
              <w:rPr>
                <w:rFonts w:ascii="宋体" w:hAnsi="宋体" w:eastAsia="宋体" w:cs="宋体"/>
                <w:sz w:val="22"/>
                <w:szCs w:val="22"/>
              </w:rPr>
            </w:pPr>
            <w:r>
              <w:rPr>
                <w:rFonts w:ascii="宋体" w:hAnsi="宋体" w:eastAsia="宋体" w:cs="宋体"/>
                <w:sz w:val="22"/>
                <w:szCs w:val="22"/>
              </w:rPr>
              <w:t>a.投标函按招标文件规定填报了项目名称、标段号、补遗书编号（如有）、投标价（包括大写金额和小写金额）；</w:t>
            </w:r>
          </w:p>
          <w:p>
            <w:pPr>
              <w:spacing w:line="400" w:lineRule="auto"/>
              <w:jc w:val="left"/>
              <w:rPr>
                <w:rFonts w:ascii="宋体" w:hAnsi="宋体" w:eastAsia="宋体" w:cs="宋体"/>
                <w:sz w:val="22"/>
                <w:szCs w:val="22"/>
              </w:rPr>
            </w:pPr>
            <w:r>
              <w:rPr>
                <w:rFonts w:ascii="宋体" w:hAnsi="宋体" w:eastAsia="宋体" w:cs="宋体"/>
                <w:sz w:val="22"/>
                <w:szCs w:val="22"/>
              </w:rPr>
              <w:t>b.第二个信封（报价文件）组成齐全完整，内容均按规定填写；</w:t>
            </w:r>
          </w:p>
          <w:p>
            <w:pPr>
              <w:spacing w:line="400" w:lineRule="auto"/>
              <w:jc w:val="left"/>
              <w:rPr>
                <w:rFonts w:ascii="宋体" w:hAnsi="宋体" w:eastAsia="宋体" w:cs="宋体"/>
                <w:sz w:val="22"/>
                <w:szCs w:val="22"/>
              </w:rPr>
            </w:pPr>
            <w:r>
              <w:rPr>
                <w:rFonts w:ascii="宋体" w:hAnsi="宋体" w:eastAsia="宋体" w:cs="宋体"/>
                <w:sz w:val="22"/>
                <w:szCs w:val="22"/>
              </w:rPr>
              <w:t>（3）第二个信封（报价文件）上法定代表人的电子签名、投标人单位的电子签章齐全，符合招标文件规定；</w:t>
            </w:r>
          </w:p>
          <w:p>
            <w:pPr>
              <w:spacing w:line="400" w:lineRule="auto"/>
              <w:jc w:val="left"/>
              <w:rPr>
                <w:rFonts w:ascii="宋体" w:hAnsi="宋体" w:eastAsia="宋体" w:cs="宋体"/>
                <w:sz w:val="22"/>
                <w:szCs w:val="22"/>
              </w:rPr>
            </w:pPr>
            <w:r>
              <w:rPr>
                <w:rFonts w:ascii="宋体" w:hAnsi="宋体" w:eastAsia="宋体" w:cs="宋体"/>
                <w:sz w:val="22"/>
                <w:szCs w:val="22"/>
              </w:rPr>
              <w:t>（4）投标报价的大写金额能够确定具体数值。</w:t>
            </w:r>
          </w:p>
          <w:p>
            <w:pPr>
              <w:spacing w:line="400" w:lineRule="auto"/>
              <w:jc w:val="left"/>
              <w:rPr>
                <w:rFonts w:ascii="宋体" w:hAnsi="宋体" w:eastAsia="宋体" w:cs="宋体"/>
                <w:sz w:val="22"/>
                <w:szCs w:val="22"/>
              </w:rPr>
            </w:pPr>
            <w:r>
              <w:rPr>
                <w:rFonts w:ascii="宋体" w:hAnsi="宋体" w:eastAsia="宋体" w:cs="宋体"/>
                <w:sz w:val="22"/>
                <w:szCs w:val="22"/>
              </w:rPr>
              <w:t>（5）同一投标人未提交两个以上不同的投标报价。</w:t>
            </w:r>
          </w:p>
          <w:p>
            <w:pPr>
              <w:spacing w:line="400" w:lineRule="auto"/>
              <w:jc w:val="left"/>
              <w:rPr>
                <w:rFonts w:ascii="宋体" w:hAnsi="宋体" w:eastAsia="宋体" w:cs="宋体"/>
                <w:sz w:val="22"/>
                <w:szCs w:val="22"/>
              </w:rPr>
            </w:pPr>
            <w:r>
              <w:rPr>
                <w:rFonts w:ascii="宋体" w:hAnsi="宋体" w:eastAsia="宋体" w:cs="宋体"/>
                <w:sz w:val="22"/>
                <w:szCs w:val="22"/>
              </w:rPr>
              <w:t>（6）最高投标限价投标报价未超过招标文件规定的最高投标限价，且缺陷责任期监理服务费未低于投标报价的10%。</w:t>
            </w:r>
          </w:p>
          <w:p>
            <w:pPr>
              <w:spacing w:line="400" w:lineRule="auto"/>
              <w:jc w:val="left"/>
              <w:rPr>
                <w:rFonts w:ascii="宋体" w:hAnsi="宋体" w:eastAsia="宋体" w:cs="宋体"/>
                <w:sz w:val="22"/>
                <w:szCs w:val="22"/>
              </w:rPr>
            </w:pPr>
            <w:r>
              <w:rPr>
                <w:rFonts w:ascii="宋体" w:hAnsi="宋体" w:eastAsia="宋体" w:cs="宋体"/>
                <w:sz w:val="22"/>
                <w:szCs w:val="22"/>
              </w:rPr>
              <w:t>（7）不同投标人间投标人未存在下列情形：</w:t>
            </w:r>
          </w:p>
          <w:p>
            <w:pPr>
              <w:spacing w:line="400" w:lineRule="auto"/>
              <w:jc w:val="left"/>
              <w:rPr>
                <w:rFonts w:ascii="宋体" w:hAnsi="宋体" w:eastAsia="宋体" w:cs="宋体"/>
                <w:sz w:val="22"/>
                <w:szCs w:val="22"/>
              </w:rPr>
            </w:pPr>
            <w:r>
              <w:rPr>
                <w:rFonts w:ascii="宋体" w:hAnsi="宋体" w:eastAsia="宋体" w:cs="宋体"/>
                <w:sz w:val="22"/>
                <w:szCs w:val="22"/>
              </w:rPr>
              <w:t>a.不同投标人的投标文件由同一电子设备编制、打印加密或者上传；</w:t>
            </w:r>
          </w:p>
          <w:p>
            <w:pPr>
              <w:spacing w:line="400" w:lineRule="auto"/>
              <w:jc w:val="left"/>
              <w:rPr>
                <w:rFonts w:ascii="宋体" w:hAnsi="宋体" w:eastAsia="宋体" w:cs="宋体"/>
                <w:sz w:val="22"/>
                <w:szCs w:val="22"/>
              </w:rPr>
            </w:pPr>
            <w:r>
              <w:rPr>
                <w:rFonts w:ascii="宋体" w:hAnsi="宋体" w:eastAsia="宋体" w:cs="宋体"/>
                <w:sz w:val="22"/>
                <w:szCs w:val="22"/>
              </w:rPr>
              <w:t>b.不同投标人的投标文件的实质性内容存在两处以上细节错误一致；</w:t>
            </w:r>
          </w:p>
          <w:p>
            <w:pPr>
              <w:spacing w:line="400" w:lineRule="auto"/>
              <w:jc w:val="left"/>
              <w:rPr>
                <w:rFonts w:ascii="宋体" w:hAnsi="宋体" w:eastAsia="宋体" w:cs="宋体"/>
                <w:sz w:val="22"/>
                <w:szCs w:val="22"/>
              </w:rPr>
            </w:pPr>
            <w:r>
              <w:rPr>
                <w:rFonts w:ascii="宋体" w:hAnsi="宋体" w:eastAsia="宋体" w:cs="宋体"/>
                <w:sz w:val="22"/>
                <w:szCs w:val="22"/>
              </w:rPr>
              <w:t>c.电子投标文件记录的MAC地址、硬盘序列号等硬件信息出现任一相同情况，包含不同投标人在不同批次投标活动中信息相同情况；</w:t>
            </w:r>
          </w:p>
          <w:p>
            <w:pPr>
              <w:spacing w:line="400" w:lineRule="auto"/>
              <w:jc w:val="left"/>
              <w:rPr>
                <w:rFonts w:ascii="宋体" w:hAnsi="宋体" w:eastAsia="宋体" w:cs="宋体"/>
                <w:sz w:val="22"/>
                <w:szCs w:val="22"/>
              </w:rPr>
            </w:pPr>
            <w:r>
              <w:rPr>
                <w:rFonts w:ascii="宋体" w:hAnsi="宋体" w:eastAsia="宋体" w:cs="宋体"/>
                <w:sz w:val="22"/>
                <w:szCs w:val="22"/>
              </w:rPr>
              <w:t>d.投标文件的制作、记录上传IP地址，投标人购买招标文件IP地址等信息出现任一相同情况。</w:t>
            </w:r>
          </w:p>
        </w:tc>
      </w:tr>
      <w:tr>
        <w:tblPrEx>
          <w:tblCellMar>
            <w:top w:w="0" w:type="dxa"/>
            <w:left w:w="10" w:type="dxa"/>
            <w:bottom w:w="0" w:type="dxa"/>
            <w:right w:w="10" w:type="dxa"/>
          </w:tblCellMar>
        </w:tblPrEx>
        <w:trPr>
          <w:trHeight w:val="199" w:hRule="atLeast"/>
        </w:trPr>
        <w:tc>
          <w:tcPr>
            <w:tcW w:w="1938"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00" w:lineRule="auto"/>
              <w:jc w:val="center"/>
              <w:rPr>
                <w:rFonts w:ascii="宋体" w:hAnsi="宋体" w:eastAsia="宋体" w:cs="宋体"/>
                <w:sz w:val="22"/>
                <w:szCs w:val="22"/>
              </w:rPr>
            </w:pPr>
            <w:r>
              <w:rPr>
                <w:rFonts w:ascii="宋体" w:hAnsi="宋体" w:eastAsia="宋体" w:cs="宋体"/>
                <w:b/>
                <w:sz w:val="22"/>
                <w:szCs w:val="22"/>
              </w:rPr>
              <w:t>条款号</w:t>
            </w:r>
          </w:p>
        </w:tc>
        <w:tc>
          <w:tcPr>
            <w:tcW w:w="11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500" w:lineRule="auto"/>
              <w:jc w:val="center"/>
              <w:rPr>
                <w:rFonts w:ascii="宋体" w:hAnsi="宋体" w:eastAsia="宋体" w:cs="宋体"/>
                <w:sz w:val="22"/>
                <w:szCs w:val="22"/>
              </w:rPr>
            </w:pPr>
            <w:r>
              <w:rPr>
                <w:rFonts w:ascii="宋体" w:hAnsi="宋体" w:eastAsia="宋体" w:cs="宋体"/>
                <w:b/>
                <w:sz w:val="22"/>
                <w:szCs w:val="22"/>
              </w:rPr>
              <w:t>条款内容</w:t>
            </w:r>
          </w:p>
        </w:tc>
        <w:tc>
          <w:tcPr>
            <w:tcW w:w="53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center"/>
              <w:rPr>
                <w:rFonts w:ascii="宋体" w:hAnsi="宋体" w:eastAsia="宋体" w:cs="宋体"/>
                <w:sz w:val="22"/>
                <w:szCs w:val="22"/>
              </w:rPr>
            </w:pPr>
            <w:r>
              <w:rPr>
                <w:rFonts w:ascii="宋体" w:hAnsi="宋体" w:eastAsia="宋体" w:cs="宋体"/>
                <w:b/>
                <w:sz w:val="22"/>
                <w:szCs w:val="22"/>
              </w:rPr>
              <w:t>编列内容</w:t>
            </w:r>
          </w:p>
        </w:tc>
      </w:tr>
      <w:tr>
        <w:tblPrEx>
          <w:tblCellMar>
            <w:top w:w="0" w:type="dxa"/>
            <w:left w:w="10" w:type="dxa"/>
            <w:bottom w:w="0" w:type="dxa"/>
            <w:right w:w="10" w:type="dxa"/>
          </w:tblCellMar>
        </w:tblPrEx>
        <w:trPr>
          <w:trHeight w:val="199" w:hRule="atLeast"/>
        </w:trPr>
        <w:tc>
          <w:tcPr>
            <w:tcW w:w="1938"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right="113"/>
              <w:jc w:val="center"/>
              <w:rPr>
                <w:rFonts w:ascii="宋体" w:hAnsi="宋体" w:eastAsia="宋体" w:cs="宋体"/>
                <w:sz w:val="22"/>
                <w:szCs w:val="22"/>
              </w:rPr>
            </w:pPr>
            <w:r>
              <w:rPr>
                <w:rFonts w:ascii="宋体" w:hAnsi="宋体" w:eastAsia="宋体" w:cs="宋体"/>
                <w:sz w:val="22"/>
                <w:szCs w:val="22"/>
              </w:rPr>
              <w:t>2.2.1</w:t>
            </w:r>
          </w:p>
        </w:tc>
        <w:tc>
          <w:tcPr>
            <w:tcW w:w="11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分值构成</w:t>
            </w:r>
          </w:p>
          <w:p>
            <w:pPr>
              <w:jc w:val="center"/>
              <w:rPr>
                <w:rFonts w:ascii="宋体" w:hAnsi="宋体" w:eastAsia="宋体" w:cs="宋体"/>
                <w:sz w:val="22"/>
                <w:szCs w:val="22"/>
              </w:rPr>
            </w:pPr>
            <w:r>
              <w:rPr>
                <w:rFonts w:ascii="宋体" w:hAnsi="宋体" w:eastAsia="宋体" w:cs="宋体"/>
                <w:sz w:val="22"/>
                <w:szCs w:val="22"/>
              </w:rPr>
              <w:t>（总分100分）</w:t>
            </w:r>
          </w:p>
        </w:tc>
        <w:tc>
          <w:tcPr>
            <w:tcW w:w="53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400" w:lineRule="auto"/>
              <w:jc w:val="left"/>
              <w:rPr>
                <w:rFonts w:ascii="宋体" w:hAnsi="宋体" w:eastAsia="宋体" w:cs="宋体"/>
                <w:sz w:val="22"/>
                <w:szCs w:val="22"/>
              </w:rPr>
            </w:pPr>
            <w:r>
              <w:rPr>
                <w:rFonts w:ascii="宋体" w:hAnsi="宋体" w:eastAsia="宋体" w:cs="宋体"/>
                <w:b/>
                <w:sz w:val="22"/>
                <w:szCs w:val="22"/>
              </w:rPr>
              <w:t>第一个信封（商务及技术文件）评分分值构成：</w:t>
            </w:r>
            <w:r>
              <w:rPr>
                <w:rFonts w:ascii="宋体" w:hAnsi="宋体" w:eastAsia="宋体" w:cs="宋体"/>
                <w:sz w:val="22"/>
                <w:szCs w:val="22"/>
              </w:rPr>
              <w:t xml:space="preserve"> </w:t>
            </w:r>
          </w:p>
          <w:p>
            <w:pPr>
              <w:spacing w:line="400" w:lineRule="auto"/>
              <w:jc w:val="left"/>
              <w:rPr>
                <w:rFonts w:ascii="宋体" w:hAnsi="宋体" w:eastAsia="宋体" w:cs="宋体"/>
                <w:sz w:val="22"/>
                <w:szCs w:val="22"/>
              </w:rPr>
            </w:pPr>
            <w:r>
              <w:rPr>
                <w:rFonts w:ascii="宋体" w:hAnsi="宋体" w:eastAsia="宋体" w:cs="宋体"/>
                <w:sz w:val="22"/>
                <w:szCs w:val="22"/>
              </w:rPr>
              <w:t>技术建议书：10分</w:t>
            </w:r>
          </w:p>
          <w:p>
            <w:pPr>
              <w:spacing w:line="400" w:lineRule="auto"/>
              <w:jc w:val="left"/>
              <w:rPr>
                <w:rFonts w:ascii="宋体" w:hAnsi="宋体" w:eastAsia="宋体" w:cs="宋体"/>
                <w:sz w:val="22"/>
                <w:szCs w:val="22"/>
              </w:rPr>
            </w:pPr>
            <w:r>
              <w:rPr>
                <w:rFonts w:ascii="宋体" w:hAnsi="宋体" w:eastAsia="宋体" w:cs="宋体"/>
                <w:sz w:val="22"/>
                <w:szCs w:val="22"/>
              </w:rPr>
              <w:t>主要人员：35分</w:t>
            </w:r>
          </w:p>
          <w:p>
            <w:pPr>
              <w:spacing w:line="400" w:lineRule="auto"/>
              <w:jc w:val="left"/>
              <w:rPr>
                <w:rFonts w:ascii="宋体" w:hAnsi="宋体" w:eastAsia="宋体" w:cs="宋体"/>
                <w:sz w:val="22"/>
                <w:szCs w:val="22"/>
              </w:rPr>
            </w:pPr>
            <w:r>
              <w:rPr>
                <w:rFonts w:ascii="宋体" w:hAnsi="宋体" w:eastAsia="宋体" w:cs="宋体"/>
                <w:sz w:val="22"/>
                <w:szCs w:val="22"/>
              </w:rPr>
              <w:t>业绩：40分</w:t>
            </w:r>
          </w:p>
          <w:p>
            <w:pPr>
              <w:spacing w:line="400" w:lineRule="auto"/>
              <w:jc w:val="left"/>
              <w:rPr>
                <w:rFonts w:ascii="宋体" w:hAnsi="宋体" w:eastAsia="宋体" w:cs="宋体"/>
                <w:sz w:val="22"/>
                <w:szCs w:val="22"/>
              </w:rPr>
            </w:pPr>
            <w:r>
              <w:rPr>
                <w:rFonts w:ascii="宋体" w:hAnsi="宋体" w:eastAsia="宋体" w:cs="宋体"/>
                <w:sz w:val="22"/>
                <w:szCs w:val="22"/>
              </w:rPr>
              <w:t>履约信誉：5分</w:t>
            </w:r>
          </w:p>
          <w:p>
            <w:pPr>
              <w:spacing w:line="400" w:lineRule="auto"/>
              <w:jc w:val="left"/>
              <w:rPr>
                <w:rFonts w:ascii="宋体" w:hAnsi="宋体" w:eastAsia="宋体" w:cs="宋体"/>
                <w:b/>
                <w:sz w:val="22"/>
                <w:szCs w:val="22"/>
              </w:rPr>
            </w:pPr>
            <w:r>
              <w:rPr>
                <w:rFonts w:ascii="宋体" w:hAnsi="宋体" w:eastAsia="宋体" w:cs="宋体"/>
                <w:b/>
                <w:sz w:val="22"/>
                <w:szCs w:val="22"/>
              </w:rPr>
              <w:t>第二个信封（报价文件）评分分值构成：</w:t>
            </w:r>
          </w:p>
          <w:p>
            <w:pPr>
              <w:spacing w:line="400" w:lineRule="auto"/>
              <w:jc w:val="left"/>
              <w:rPr>
                <w:rFonts w:ascii="宋体" w:hAnsi="宋体" w:eastAsia="宋体" w:cs="宋体"/>
                <w:sz w:val="22"/>
                <w:szCs w:val="22"/>
              </w:rPr>
            </w:pPr>
            <w:r>
              <w:rPr>
                <w:rFonts w:ascii="宋体" w:hAnsi="宋体" w:eastAsia="宋体" w:cs="宋体"/>
                <w:sz w:val="22"/>
                <w:szCs w:val="22"/>
              </w:rPr>
              <w:t>评标价： 10分</w:t>
            </w:r>
          </w:p>
        </w:tc>
      </w:tr>
      <w:tr>
        <w:tblPrEx>
          <w:tblCellMar>
            <w:top w:w="0" w:type="dxa"/>
            <w:left w:w="10" w:type="dxa"/>
            <w:bottom w:w="0" w:type="dxa"/>
            <w:right w:w="10" w:type="dxa"/>
          </w:tblCellMar>
        </w:tblPrEx>
        <w:trPr>
          <w:trHeight w:val="199" w:hRule="atLeast"/>
        </w:trPr>
        <w:tc>
          <w:tcPr>
            <w:tcW w:w="1938"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right="113"/>
              <w:jc w:val="center"/>
              <w:rPr>
                <w:rFonts w:ascii="宋体" w:hAnsi="宋体" w:eastAsia="宋体" w:cs="宋体"/>
                <w:sz w:val="22"/>
                <w:szCs w:val="22"/>
              </w:rPr>
            </w:pPr>
            <w:r>
              <w:rPr>
                <w:rFonts w:ascii="宋体" w:hAnsi="宋体" w:eastAsia="宋体" w:cs="宋体"/>
                <w:sz w:val="22"/>
                <w:szCs w:val="22"/>
              </w:rPr>
              <w:t>2.2.2</w:t>
            </w:r>
          </w:p>
        </w:tc>
        <w:tc>
          <w:tcPr>
            <w:tcW w:w="11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42" w:right="113"/>
              <w:jc w:val="center"/>
              <w:rPr>
                <w:rFonts w:ascii="宋体" w:hAnsi="宋体" w:eastAsia="宋体" w:cs="宋体"/>
                <w:sz w:val="22"/>
                <w:szCs w:val="22"/>
              </w:rPr>
            </w:pPr>
            <w:r>
              <w:rPr>
                <w:rFonts w:ascii="宋体" w:hAnsi="宋体" w:eastAsia="宋体" w:cs="宋体"/>
                <w:sz w:val="22"/>
                <w:szCs w:val="22"/>
              </w:rPr>
              <w:t>评标基准价计算方法</w:t>
            </w:r>
          </w:p>
        </w:tc>
        <w:tc>
          <w:tcPr>
            <w:tcW w:w="53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400" w:lineRule="auto"/>
              <w:jc w:val="left"/>
              <w:rPr>
                <w:rFonts w:ascii="宋体" w:hAnsi="宋体" w:eastAsia="宋体" w:cs="宋体"/>
                <w:sz w:val="22"/>
                <w:szCs w:val="22"/>
              </w:rPr>
            </w:pPr>
            <w:r>
              <w:rPr>
                <w:rFonts w:ascii="宋体" w:hAnsi="宋体" w:eastAsia="宋体" w:cs="宋体"/>
                <w:sz w:val="22"/>
                <w:szCs w:val="22"/>
              </w:rPr>
              <w:t>评标基准价的计算：</w:t>
            </w:r>
          </w:p>
          <w:p>
            <w:pPr>
              <w:spacing w:line="400" w:lineRule="auto"/>
              <w:jc w:val="left"/>
              <w:rPr>
                <w:rFonts w:ascii="宋体" w:hAnsi="宋体" w:eastAsia="宋体" w:cs="宋体"/>
                <w:sz w:val="22"/>
                <w:szCs w:val="22"/>
              </w:rPr>
            </w:pPr>
            <w:r>
              <w:rPr>
                <w:rFonts w:ascii="宋体" w:hAnsi="宋体" w:eastAsia="宋体" w:cs="宋体"/>
                <w:sz w:val="22"/>
                <w:szCs w:val="22"/>
              </w:rPr>
              <w:t>根据第二章“投标人须知”第5.2.4项规定，开标现场宣布为无效投标的投标报价不参与理论成本价及评标基准价的计算。</w:t>
            </w:r>
          </w:p>
          <w:p>
            <w:pPr>
              <w:spacing w:line="400" w:lineRule="auto"/>
              <w:jc w:val="left"/>
              <w:rPr>
                <w:rFonts w:ascii="宋体" w:hAnsi="宋体" w:eastAsia="宋体" w:cs="宋体"/>
                <w:sz w:val="22"/>
                <w:szCs w:val="22"/>
              </w:rPr>
            </w:pPr>
            <w:r>
              <w:rPr>
                <w:rFonts w:ascii="宋体" w:hAnsi="宋体" w:eastAsia="宋体" w:cs="宋体"/>
                <w:sz w:val="22"/>
                <w:szCs w:val="22"/>
              </w:rPr>
              <w:t>1、最高投标限价</w:t>
            </w:r>
          </w:p>
          <w:p>
            <w:pPr>
              <w:spacing w:line="400" w:lineRule="auto"/>
              <w:jc w:val="left"/>
              <w:rPr>
                <w:rFonts w:ascii="宋体" w:hAnsi="宋体" w:eastAsia="宋体" w:cs="宋体"/>
                <w:sz w:val="22"/>
                <w:szCs w:val="22"/>
              </w:rPr>
            </w:pPr>
            <w:r>
              <w:rPr>
                <w:rFonts w:ascii="宋体" w:hAnsi="宋体" w:eastAsia="宋体" w:cs="宋体"/>
                <w:sz w:val="22"/>
                <w:szCs w:val="22"/>
              </w:rPr>
              <w:t>投标截止期前公布最高投标限价，如投标人报价高于本标段的最高投标限价，其投标无效，将不再参与后续任何计算。</w:t>
            </w:r>
          </w:p>
          <w:p>
            <w:pPr>
              <w:spacing w:line="400" w:lineRule="auto"/>
              <w:jc w:val="left"/>
              <w:rPr>
                <w:rFonts w:ascii="宋体" w:hAnsi="宋体" w:eastAsia="宋体" w:cs="宋体"/>
                <w:sz w:val="22"/>
                <w:szCs w:val="22"/>
              </w:rPr>
            </w:pPr>
            <w:r>
              <w:rPr>
                <w:rFonts w:ascii="宋体" w:hAnsi="宋体" w:eastAsia="宋体" w:cs="宋体"/>
                <w:sz w:val="22"/>
                <w:szCs w:val="22"/>
              </w:rPr>
              <w:t>2、最终最高投标限价</w:t>
            </w:r>
          </w:p>
          <w:p>
            <w:pPr>
              <w:spacing w:line="400" w:lineRule="auto"/>
              <w:jc w:val="left"/>
              <w:rPr>
                <w:rFonts w:ascii="宋体" w:hAnsi="宋体" w:eastAsia="宋体" w:cs="宋体"/>
                <w:sz w:val="22"/>
                <w:szCs w:val="22"/>
              </w:rPr>
            </w:pPr>
            <w:r>
              <w:rPr>
                <w:rFonts w:ascii="宋体" w:hAnsi="宋体" w:eastAsia="宋体" w:cs="宋体"/>
                <w:sz w:val="22"/>
                <w:szCs w:val="22"/>
              </w:rPr>
              <w:t>最终投标控制价上限=投标控制价上限×（1-下浮系数）</w:t>
            </w:r>
          </w:p>
          <w:p>
            <w:pPr>
              <w:spacing w:line="400" w:lineRule="auto"/>
              <w:jc w:val="left"/>
              <w:rPr>
                <w:rFonts w:ascii="宋体" w:hAnsi="宋体" w:eastAsia="宋体" w:cs="宋体"/>
                <w:sz w:val="22"/>
                <w:szCs w:val="22"/>
              </w:rPr>
            </w:pPr>
            <w:r>
              <w:rPr>
                <w:rFonts w:ascii="宋体" w:hAnsi="宋体" w:eastAsia="宋体" w:cs="宋体"/>
                <w:sz w:val="22"/>
                <w:szCs w:val="22"/>
              </w:rPr>
              <w:t>下浮系数：从0.5%、1%、1.5%、2%、2.5%、3%六个数中由投标人代表或现场监督在开标现场随机抽取确定。</w:t>
            </w:r>
          </w:p>
          <w:p>
            <w:pPr>
              <w:spacing w:line="400" w:lineRule="auto"/>
              <w:jc w:val="left"/>
              <w:rPr>
                <w:rFonts w:ascii="宋体" w:hAnsi="宋体" w:eastAsia="宋体" w:cs="宋体"/>
                <w:sz w:val="22"/>
                <w:szCs w:val="22"/>
              </w:rPr>
            </w:pPr>
            <w:r>
              <w:rPr>
                <w:rFonts w:ascii="宋体" w:hAnsi="宋体" w:eastAsia="宋体" w:cs="宋体"/>
                <w:sz w:val="22"/>
                <w:szCs w:val="22"/>
              </w:rPr>
              <w:t>投标报价高于最终投标控制价上限的投标文件应否决其投标，不参与后续计算。</w:t>
            </w:r>
          </w:p>
          <w:p>
            <w:pPr>
              <w:spacing w:line="400" w:lineRule="auto"/>
              <w:jc w:val="left"/>
              <w:rPr>
                <w:rFonts w:ascii="宋体" w:hAnsi="宋体" w:eastAsia="宋体" w:cs="宋体"/>
                <w:sz w:val="22"/>
                <w:szCs w:val="22"/>
              </w:rPr>
            </w:pPr>
            <w:r>
              <w:rPr>
                <w:rFonts w:ascii="宋体" w:hAnsi="宋体" w:eastAsia="宋体" w:cs="宋体"/>
                <w:sz w:val="22"/>
                <w:szCs w:val="22"/>
              </w:rPr>
              <w:t>3、评标价的确定：</w:t>
            </w:r>
          </w:p>
          <w:p>
            <w:pPr>
              <w:spacing w:line="400" w:lineRule="auto"/>
              <w:jc w:val="left"/>
              <w:rPr>
                <w:rFonts w:ascii="宋体" w:hAnsi="宋体" w:eastAsia="宋体" w:cs="宋体"/>
                <w:sz w:val="22"/>
                <w:szCs w:val="22"/>
              </w:rPr>
            </w:pPr>
            <w:r>
              <w:rPr>
                <w:rFonts w:ascii="宋体" w:hAnsi="宋体" w:eastAsia="宋体" w:cs="宋体"/>
                <w:sz w:val="22"/>
                <w:szCs w:val="22"/>
              </w:rPr>
              <w:t>评标价=投标函文字报价</w:t>
            </w:r>
          </w:p>
          <w:p>
            <w:pPr>
              <w:spacing w:line="400" w:lineRule="auto"/>
              <w:jc w:val="left"/>
              <w:rPr>
                <w:rFonts w:ascii="宋体" w:hAnsi="宋体" w:eastAsia="宋体" w:cs="宋体"/>
                <w:sz w:val="22"/>
                <w:szCs w:val="22"/>
              </w:rPr>
            </w:pPr>
            <w:r>
              <w:rPr>
                <w:rFonts w:ascii="宋体" w:hAnsi="宋体" w:eastAsia="宋体" w:cs="宋体"/>
                <w:sz w:val="22"/>
                <w:szCs w:val="22"/>
              </w:rPr>
              <w:t>4、理论成本价</w:t>
            </w:r>
          </w:p>
          <w:p>
            <w:pPr>
              <w:spacing w:line="400" w:lineRule="auto"/>
              <w:jc w:val="left"/>
              <w:rPr>
                <w:rFonts w:ascii="宋体" w:hAnsi="宋体" w:eastAsia="宋体" w:cs="宋体"/>
                <w:sz w:val="22"/>
                <w:szCs w:val="22"/>
              </w:rPr>
            </w:pPr>
            <w:r>
              <w:rPr>
                <w:rFonts w:ascii="宋体" w:hAnsi="宋体" w:eastAsia="宋体" w:cs="宋体"/>
                <w:sz w:val="22"/>
                <w:szCs w:val="22"/>
              </w:rPr>
              <w:t>理论成本价＝［最终最高投标限价×50％＋评标价算术平均值×50％］×0.85</w:t>
            </w:r>
          </w:p>
          <w:p>
            <w:pPr>
              <w:spacing w:line="400" w:lineRule="auto"/>
              <w:jc w:val="left"/>
              <w:rPr>
                <w:rFonts w:ascii="宋体" w:hAnsi="宋体" w:eastAsia="宋体" w:cs="宋体"/>
                <w:sz w:val="22"/>
                <w:szCs w:val="22"/>
              </w:rPr>
            </w:pPr>
            <w:r>
              <w:rPr>
                <w:rFonts w:ascii="宋体" w:hAnsi="宋体" w:eastAsia="宋体" w:cs="宋体"/>
                <w:sz w:val="22"/>
                <w:szCs w:val="22"/>
              </w:rPr>
              <w:t>当评标价有5个及以上时，应去掉其中的最高值和最低值，再进行算术平均值计算。评标价低于理论成本价的，不再参与后续计算。</w:t>
            </w:r>
          </w:p>
          <w:p>
            <w:pPr>
              <w:spacing w:line="400" w:lineRule="auto"/>
              <w:jc w:val="left"/>
              <w:rPr>
                <w:rFonts w:ascii="宋体" w:hAnsi="宋体" w:eastAsia="宋体" w:cs="宋体"/>
                <w:sz w:val="22"/>
                <w:szCs w:val="22"/>
              </w:rPr>
            </w:pPr>
            <w:r>
              <w:rPr>
                <w:rFonts w:ascii="宋体" w:hAnsi="宋体" w:eastAsia="宋体" w:cs="宋体"/>
                <w:sz w:val="22"/>
                <w:szCs w:val="22"/>
              </w:rPr>
              <w:t>5、评标基准价计算</w:t>
            </w:r>
          </w:p>
          <w:p>
            <w:pPr>
              <w:spacing w:line="400" w:lineRule="auto"/>
              <w:jc w:val="left"/>
              <w:rPr>
                <w:rFonts w:ascii="宋体" w:hAnsi="宋体" w:eastAsia="宋体" w:cs="宋体"/>
                <w:sz w:val="22"/>
                <w:szCs w:val="22"/>
              </w:rPr>
            </w:pPr>
            <w:r>
              <w:rPr>
                <w:rFonts w:ascii="宋体" w:hAnsi="宋体" w:eastAsia="宋体" w:cs="宋体"/>
                <w:sz w:val="22"/>
                <w:szCs w:val="22"/>
              </w:rPr>
              <w:t>评标基准价＝［最终最高投标限价×加权系数＋有效评标价算术平均值×（1-加权系数）］×评标基准价系数</w:t>
            </w:r>
          </w:p>
          <w:p>
            <w:pPr>
              <w:spacing w:line="400" w:lineRule="auto"/>
              <w:jc w:val="left"/>
              <w:rPr>
                <w:rFonts w:ascii="宋体" w:hAnsi="宋体" w:eastAsia="宋体" w:cs="宋体"/>
                <w:sz w:val="22"/>
                <w:szCs w:val="22"/>
              </w:rPr>
            </w:pPr>
            <w:r>
              <w:rPr>
                <w:rFonts w:ascii="宋体" w:hAnsi="宋体" w:eastAsia="宋体" w:cs="宋体"/>
                <w:sz w:val="22"/>
                <w:szCs w:val="22"/>
              </w:rPr>
              <w:t>式中：加权系数是从0.3、0.35、0.4中随机抽取，评标基准价系数是从0.96、0.97、0.98、0.99中随机抽取，均由投标人代表或现场监督在开标现场进行。</w:t>
            </w:r>
          </w:p>
          <w:p>
            <w:pPr>
              <w:spacing w:line="400" w:lineRule="auto"/>
              <w:jc w:val="left"/>
              <w:rPr>
                <w:rFonts w:ascii="宋体" w:hAnsi="宋体" w:eastAsia="宋体" w:cs="宋体"/>
                <w:sz w:val="22"/>
                <w:szCs w:val="22"/>
              </w:rPr>
            </w:pPr>
            <w:r>
              <w:rPr>
                <w:rFonts w:ascii="宋体" w:hAnsi="宋体" w:eastAsia="宋体" w:cs="宋体"/>
                <w:sz w:val="22"/>
                <w:szCs w:val="22"/>
              </w:rPr>
              <w:t>有效评标价指介于理论成本价（含）与最终最高投标限价（含）范围内的评标价。当有效评标价数量大于5时，可去掉其中的最高和最低值，再进行算术平均值计算。</w:t>
            </w:r>
          </w:p>
          <w:p>
            <w:pPr>
              <w:spacing w:line="400" w:lineRule="auto"/>
              <w:jc w:val="left"/>
              <w:rPr>
                <w:rFonts w:ascii="宋体" w:hAnsi="宋体" w:eastAsia="宋体" w:cs="宋体"/>
                <w:sz w:val="22"/>
                <w:szCs w:val="22"/>
              </w:rPr>
            </w:pPr>
            <w:r>
              <w:rPr>
                <w:rFonts w:ascii="宋体" w:hAnsi="宋体" w:eastAsia="宋体" w:cs="宋体"/>
                <w:sz w:val="22"/>
                <w:szCs w:val="22"/>
              </w:rPr>
              <w:t>6、评标基准价在整个评标期间保持不变，不随通过初步评审和详细评审的投标人的数量发生变化。</w:t>
            </w:r>
          </w:p>
        </w:tc>
      </w:tr>
      <w:tr>
        <w:tblPrEx>
          <w:tblCellMar>
            <w:top w:w="0" w:type="dxa"/>
            <w:left w:w="10" w:type="dxa"/>
            <w:bottom w:w="0" w:type="dxa"/>
            <w:right w:w="10" w:type="dxa"/>
          </w:tblCellMar>
        </w:tblPrEx>
        <w:trPr>
          <w:trHeight w:val="199" w:hRule="atLeast"/>
        </w:trPr>
        <w:tc>
          <w:tcPr>
            <w:tcW w:w="1938"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right="113"/>
              <w:jc w:val="center"/>
              <w:rPr>
                <w:rFonts w:ascii="宋体" w:hAnsi="宋体" w:eastAsia="宋体" w:cs="宋体"/>
                <w:sz w:val="22"/>
                <w:szCs w:val="22"/>
              </w:rPr>
            </w:pPr>
            <w:r>
              <w:rPr>
                <w:rFonts w:ascii="宋体" w:hAnsi="宋体" w:eastAsia="宋体" w:cs="宋体"/>
                <w:sz w:val="22"/>
                <w:szCs w:val="22"/>
              </w:rPr>
              <w:t>2.2.3</w:t>
            </w:r>
          </w:p>
        </w:tc>
        <w:tc>
          <w:tcPr>
            <w:tcW w:w="11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ind w:left="113" w:right="113"/>
              <w:jc w:val="left"/>
              <w:rPr>
                <w:rFonts w:ascii="宋体" w:hAnsi="宋体" w:eastAsia="宋体" w:cs="宋体"/>
                <w:sz w:val="22"/>
                <w:szCs w:val="22"/>
              </w:rPr>
            </w:pPr>
            <w:r>
              <w:rPr>
                <w:rFonts w:ascii="宋体" w:hAnsi="宋体" w:eastAsia="宋体" w:cs="宋体"/>
                <w:sz w:val="22"/>
                <w:szCs w:val="22"/>
              </w:rPr>
              <w:t>评标价的偏差率计算公式</w:t>
            </w:r>
          </w:p>
        </w:tc>
        <w:tc>
          <w:tcPr>
            <w:tcW w:w="53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left"/>
              <w:rPr>
                <w:rFonts w:ascii="宋体" w:hAnsi="宋体" w:eastAsia="宋体" w:cs="宋体"/>
                <w:sz w:val="22"/>
                <w:szCs w:val="22"/>
              </w:rPr>
            </w:pPr>
            <w:r>
              <w:rPr>
                <w:rFonts w:ascii="宋体" w:hAnsi="宋体" w:eastAsia="宋体" w:cs="宋体"/>
                <w:sz w:val="22"/>
                <w:szCs w:val="22"/>
              </w:rPr>
              <w:t>偏差率=100%×|投标人评标价-评标基准价|/评标基准价</w:t>
            </w:r>
          </w:p>
          <w:p>
            <w:pPr>
              <w:spacing w:line="400" w:lineRule="auto"/>
              <w:jc w:val="left"/>
              <w:rPr>
                <w:rFonts w:ascii="宋体" w:hAnsi="宋体" w:eastAsia="宋体" w:cs="宋体"/>
                <w:sz w:val="22"/>
                <w:szCs w:val="22"/>
              </w:rPr>
            </w:pPr>
            <w:r>
              <w:rPr>
                <w:rFonts w:ascii="宋体" w:hAnsi="宋体" w:eastAsia="宋体" w:cs="宋体"/>
                <w:sz w:val="22"/>
                <w:szCs w:val="22"/>
              </w:rPr>
              <w:t>偏差率保留三位小数</w:t>
            </w:r>
          </w:p>
        </w:tc>
      </w:tr>
      <w:tr>
        <w:tblPrEx>
          <w:tblCellMar>
            <w:top w:w="0" w:type="dxa"/>
            <w:left w:w="10" w:type="dxa"/>
            <w:bottom w:w="0" w:type="dxa"/>
            <w:right w:w="10" w:type="dxa"/>
          </w:tblCellMar>
        </w:tblPrEx>
        <w:trPr>
          <w:trHeight w:val="199" w:hRule="atLeast"/>
        </w:trPr>
        <w:tc>
          <w:tcPr>
            <w:tcW w:w="1938"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center"/>
              <w:rPr>
                <w:sz w:val="22"/>
                <w:szCs w:val="22"/>
              </w:rPr>
            </w:pPr>
            <w:r>
              <w:rPr>
                <w:rFonts w:ascii="Calibri" w:hAnsi="Calibri" w:eastAsia="Calibri" w:cs="Calibri"/>
                <w:sz w:val="22"/>
                <w:szCs w:val="22"/>
              </w:rPr>
              <w:t>2.2.4</w:t>
            </w:r>
            <w:r>
              <w:rPr>
                <w:rFonts w:ascii="宋体" w:hAnsi="宋体" w:eastAsia="宋体" w:cs="宋体"/>
                <w:sz w:val="22"/>
                <w:szCs w:val="22"/>
              </w:rPr>
              <w:t>（</w:t>
            </w:r>
            <w:r>
              <w:rPr>
                <w:rFonts w:ascii="Calibri" w:hAnsi="Calibri" w:eastAsia="Calibri" w:cs="Calibri"/>
                <w:sz w:val="22"/>
                <w:szCs w:val="22"/>
              </w:rPr>
              <w:t>1</w:t>
            </w:r>
            <w:r>
              <w:rPr>
                <w:rFonts w:ascii="宋体" w:hAnsi="宋体" w:eastAsia="宋体" w:cs="宋体"/>
                <w:sz w:val="22"/>
                <w:szCs w:val="22"/>
              </w:rPr>
              <w:t>）</w:t>
            </w:r>
          </w:p>
        </w:tc>
        <w:tc>
          <w:tcPr>
            <w:tcW w:w="11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40" w:lineRule="auto"/>
              <w:jc w:val="center"/>
              <w:rPr>
                <w:rFonts w:ascii="Calibri" w:hAnsi="Calibri" w:eastAsia="Calibri" w:cs="Calibri"/>
                <w:sz w:val="22"/>
                <w:szCs w:val="22"/>
              </w:rPr>
            </w:pPr>
            <w:r>
              <w:rPr>
                <w:rFonts w:ascii="宋体" w:hAnsi="宋体" w:eastAsia="宋体" w:cs="宋体"/>
                <w:sz w:val="22"/>
                <w:szCs w:val="22"/>
              </w:rPr>
              <w:t>评标价</w:t>
            </w:r>
          </w:p>
          <w:p>
            <w:pPr>
              <w:spacing w:line="440" w:lineRule="auto"/>
              <w:jc w:val="center"/>
              <w:rPr>
                <w:rFonts w:ascii="Calibri" w:hAnsi="Calibri" w:eastAsia="Calibri" w:cs="Calibri"/>
                <w:sz w:val="22"/>
                <w:szCs w:val="22"/>
              </w:rPr>
            </w:pPr>
            <w:r>
              <w:rPr>
                <w:rFonts w:ascii="宋体" w:hAnsi="宋体" w:eastAsia="宋体" w:cs="宋体"/>
                <w:sz w:val="22"/>
                <w:szCs w:val="22"/>
              </w:rPr>
              <w:t>得分</w:t>
            </w:r>
          </w:p>
          <w:p>
            <w:pPr>
              <w:spacing w:line="440" w:lineRule="auto"/>
              <w:jc w:val="center"/>
              <w:rPr>
                <w:sz w:val="22"/>
                <w:szCs w:val="22"/>
              </w:rPr>
            </w:pPr>
            <w:r>
              <w:rPr>
                <w:rFonts w:ascii="宋体" w:hAnsi="宋体" w:eastAsia="宋体" w:cs="宋体"/>
                <w:sz w:val="22"/>
                <w:szCs w:val="22"/>
              </w:rPr>
              <w:t>（</w:t>
            </w:r>
            <w:r>
              <w:rPr>
                <w:rFonts w:ascii="Calibri" w:hAnsi="Calibri" w:eastAsia="Calibri" w:cs="Calibri"/>
                <w:sz w:val="22"/>
                <w:szCs w:val="22"/>
              </w:rPr>
              <w:t>C</w:t>
            </w:r>
            <w:r>
              <w:rPr>
                <w:rFonts w:ascii="宋体" w:hAnsi="宋体" w:eastAsia="宋体" w:cs="宋体"/>
                <w:sz w:val="22"/>
                <w:szCs w:val="22"/>
              </w:rPr>
              <w:t>）</w:t>
            </w:r>
          </w:p>
        </w:tc>
        <w:tc>
          <w:tcPr>
            <w:tcW w:w="53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left"/>
              <w:rPr>
                <w:rFonts w:ascii="宋体" w:hAnsi="宋体" w:eastAsia="宋体" w:cs="宋体"/>
                <w:sz w:val="22"/>
                <w:szCs w:val="22"/>
              </w:rPr>
            </w:pPr>
            <w:r>
              <w:rPr>
                <w:rFonts w:ascii="宋体" w:hAnsi="宋体" w:eastAsia="宋体" w:cs="宋体"/>
                <w:sz w:val="22"/>
                <w:szCs w:val="22"/>
              </w:rPr>
              <w:t>评标价得分计算公式示例：</w:t>
            </w:r>
          </w:p>
          <w:p>
            <w:pPr>
              <w:spacing w:line="400" w:lineRule="auto"/>
              <w:jc w:val="left"/>
              <w:rPr>
                <w:rFonts w:ascii="宋体" w:hAnsi="宋体" w:eastAsia="宋体" w:cs="宋体"/>
                <w:sz w:val="22"/>
                <w:szCs w:val="22"/>
              </w:rPr>
            </w:pPr>
            <w:r>
              <w:rPr>
                <w:rFonts w:ascii="宋体" w:hAnsi="宋体" w:eastAsia="宋体" w:cs="宋体"/>
                <w:sz w:val="22"/>
                <w:szCs w:val="22"/>
              </w:rPr>
              <w:t>（1）如果投标人的评标价＞评标基准价，则评标价得分=10-偏差率×100×E1；</w:t>
            </w:r>
          </w:p>
          <w:p>
            <w:pPr>
              <w:spacing w:line="400" w:lineRule="auto"/>
              <w:jc w:val="left"/>
              <w:rPr>
                <w:rFonts w:ascii="宋体" w:hAnsi="宋体" w:eastAsia="宋体" w:cs="宋体"/>
                <w:sz w:val="22"/>
                <w:szCs w:val="22"/>
              </w:rPr>
            </w:pPr>
            <w:r>
              <w:rPr>
                <w:rFonts w:ascii="宋体" w:hAnsi="宋体" w:eastAsia="宋体" w:cs="宋体"/>
                <w:sz w:val="22"/>
                <w:szCs w:val="22"/>
              </w:rPr>
              <w:t>（2）如果投标人的评标价≤评标基准价，则评标价得分=10-偏差率×100×E2；</w:t>
            </w:r>
          </w:p>
          <w:p>
            <w:pPr>
              <w:spacing w:line="400" w:lineRule="auto"/>
              <w:jc w:val="left"/>
              <w:rPr>
                <w:rFonts w:ascii="宋体" w:hAnsi="宋体" w:eastAsia="宋体" w:cs="宋体"/>
                <w:sz w:val="22"/>
                <w:szCs w:val="22"/>
              </w:rPr>
            </w:pPr>
            <w:r>
              <w:rPr>
                <w:rFonts w:ascii="宋体" w:hAnsi="宋体" w:eastAsia="宋体" w:cs="宋体"/>
                <w:sz w:val="22"/>
                <w:szCs w:val="22"/>
              </w:rPr>
              <w:t>其中：E1=1；E2=0.5</w:t>
            </w:r>
          </w:p>
        </w:tc>
      </w:tr>
      <w:tr>
        <w:tblPrEx>
          <w:tblCellMar>
            <w:top w:w="0" w:type="dxa"/>
            <w:left w:w="10" w:type="dxa"/>
            <w:bottom w:w="0" w:type="dxa"/>
            <w:right w:w="10" w:type="dxa"/>
          </w:tblCellMar>
        </w:tblPrEx>
        <w:trPr>
          <w:trHeight w:val="199" w:hRule="atLeast"/>
        </w:trPr>
        <w:tc>
          <w:tcPr>
            <w:tcW w:w="1938"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280" w:lineRule="auto"/>
              <w:ind w:right="113"/>
              <w:jc w:val="center"/>
              <w:rPr>
                <w:rFonts w:ascii="宋体" w:hAnsi="宋体" w:eastAsia="宋体" w:cs="宋体"/>
                <w:sz w:val="22"/>
                <w:szCs w:val="22"/>
              </w:rPr>
            </w:pPr>
            <w:r>
              <w:rPr>
                <w:rFonts w:ascii="宋体" w:hAnsi="宋体" w:eastAsia="宋体" w:cs="宋体"/>
                <w:sz w:val="22"/>
                <w:szCs w:val="22"/>
              </w:rPr>
              <w:t>3.4.2</w:t>
            </w:r>
          </w:p>
        </w:tc>
        <w:tc>
          <w:tcPr>
            <w:tcW w:w="11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280" w:lineRule="auto"/>
              <w:ind w:right="113"/>
              <w:jc w:val="center"/>
              <w:rPr>
                <w:rFonts w:ascii="宋体" w:hAnsi="宋体" w:eastAsia="宋体" w:cs="宋体"/>
                <w:sz w:val="22"/>
                <w:szCs w:val="22"/>
              </w:rPr>
            </w:pPr>
            <w:r>
              <w:rPr>
                <w:rFonts w:ascii="宋体" w:hAnsi="宋体" w:eastAsia="宋体" w:cs="宋体"/>
                <w:sz w:val="22"/>
                <w:szCs w:val="22"/>
              </w:rPr>
              <w:t>算术性修正</w:t>
            </w:r>
          </w:p>
        </w:tc>
        <w:tc>
          <w:tcPr>
            <w:tcW w:w="53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left"/>
              <w:rPr>
                <w:rFonts w:ascii="宋体" w:hAnsi="宋体" w:eastAsia="宋体" w:cs="宋体"/>
                <w:sz w:val="22"/>
                <w:szCs w:val="22"/>
              </w:rPr>
            </w:pPr>
            <w:r>
              <w:rPr>
                <w:rFonts w:ascii="宋体" w:hAnsi="宋体" w:eastAsia="宋体" w:cs="宋体"/>
                <w:sz w:val="22"/>
                <w:szCs w:val="22"/>
              </w:rPr>
              <w:t xml:space="preserve">（1）-（4）修改为：（1）投标文件中的大写金额与小写金额不一致的，以大写金额为准；（2）合价金额累计与总价金额不一致的，以总价金额为准，修正合价金额； </w:t>
            </w:r>
          </w:p>
        </w:tc>
      </w:tr>
    </w:tbl>
    <w:p>
      <w:pPr>
        <w:ind w:left="142"/>
        <w:jc w:val="left"/>
        <w:rPr>
          <w:rFonts w:ascii="黑体" w:hAnsi="黑体" w:eastAsia="黑体" w:cs="黑体"/>
          <w:b/>
          <w:color w:val="000000"/>
          <w:sz w:val="24"/>
        </w:rPr>
      </w:pPr>
    </w:p>
    <w:p>
      <w:pPr>
        <w:ind w:left="142"/>
        <w:jc w:val="left"/>
        <w:rPr>
          <w:rFonts w:ascii="黑体" w:hAnsi="黑体" w:eastAsia="黑体" w:cs="黑体"/>
          <w:b/>
          <w:color w:val="000000"/>
          <w:sz w:val="24"/>
        </w:rPr>
      </w:pPr>
    </w:p>
    <w:p>
      <w:pPr>
        <w:jc w:val="center"/>
        <w:rPr>
          <w:rFonts w:ascii="黑体" w:hAnsi="黑体" w:eastAsia="黑体" w:cs="黑体"/>
          <w:b/>
          <w:color w:val="000000"/>
        </w:rPr>
      </w:pPr>
      <w:r>
        <w:rPr>
          <w:rFonts w:ascii="黑体" w:hAnsi="黑体" w:eastAsia="黑体" w:cs="黑体"/>
          <w:b/>
          <w:color w:val="000000"/>
        </w:rPr>
        <w:t xml:space="preserve">                                                                  </w:t>
      </w:r>
    </w:p>
    <w:tbl>
      <w:tblPr>
        <w:tblStyle w:val="4"/>
        <w:tblW w:w="0" w:type="auto"/>
        <w:tblInd w:w="-7" w:type="dxa"/>
        <w:tblLayout w:type="autofit"/>
        <w:tblCellMar>
          <w:top w:w="0" w:type="dxa"/>
          <w:left w:w="10" w:type="dxa"/>
          <w:bottom w:w="0" w:type="dxa"/>
          <w:right w:w="10" w:type="dxa"/>
        </w:tblCellMar>
      </w:tblPr>
      <w:tblGrid>
        <w:gridCol w:w="898"/>
        <w:gridCol w:w="1008"/>
        <w:gridCol w:w="991"/>
        <w:gridCol w:w="1092"/>
        <w:gridCol w:w="685"/>
        <w:gridCol w:w="3642"/>
      </w:tblGrid>
      <w:tr>
        <w:tblPrEx>
          <w:tblCellMar>
            <w:top w:w="0" w:type="dxa"/>
            <w:left w:w="10" w:type="dxa"/>
            <w:bottom w:w="0" w:type="dxa"/>
            <w:right w:w="10" w:type="dxa"/>
          </w:tblCellMar>
        </w:tblPrEx>
        <w:trPr>
          <w:trHeight w:val="729" w:hRule="atLeast"/>
        </w:trPr>
        <w:tc>
          <w:tcPr>
            <w:tcW w:w="898"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条款号</w:t>
            </w:r>
          </w:p>
        </w:tc>
        <w:tc>
          <w:tcPr>
            <w:tcW w:w="1008"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评分因素</w:t>
            </w:r>
          </w:p>
        </w:tc>
        <w:tc>
          <w:tcPr>
            <w:tcW w:w="991"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评分因素权重分值</w:t>
            </w:r>
          </w:p>
        </w:tc>
        <w:tc>
          <w:tcPr>
            <w:tcW w:w="109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各评分因数细分项</w:t>
            </w:r>
          </w:p>
        </w:tc>
        <w:tc>
          <w:tcPr>
            <w:tcW w:w="685"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分值</w:t>
            </w:r>
          </w:p>
        </w:tc>
        <w:tc>
          <w:tcPr>
            <w:tcW w:w="364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评分标准</w:t>
            </w:r>
          </w:p>
        </w:tc>
      </w:tr>
      <w:tr>
        <w:tblPrEx>
          <w:tblCellMar>
            <w:top w:w="0" w:type="dxa"/>
            <w:left w:w="10" w:type="dxa"/>
            <w:bottom w:w="0" w:type="dxa"/>
            <w:right w:w="10" w:type="dxa"/>
          </w:tblCellMar>
        </w:tblPrEx>
        <w:trPr>
          <w:trHeight w:val="2390" w:hRule="atLeast"/>
        </w:trPr>
        <w:tc>
          <w:tcPr>
            <w:tcW w:w="898"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80" w:lineRule="auto"/>
              <w:ind w:right="113"/>
              <w:jc w:val="center"/>
              <w:rPr>
                <w:rFonts w:ascii="宋体" w:hAnsi="宋体" w:eastAsia="宋体" w:cs="宋体"/>
                <w:sz w:val="22"/>
                <w:szCs w:val="22"/>
              </w:rPr>
            </w:pPr>
            <w:r>
              <w:rPr>
                <w:rFonts w:ascii="宋体" w:hAnsi="宋体" w:eastAsia="宋体" w:cs="宋体"/>
                <w:sz w:val="22"/>
                <w:szCs w:val="22"/>
              </w:rPr>
              <w:t>2.2.4（1）</w:t>
            </w:r>
          </w:p>
        </w:tc>
        <w:tc>
          <w:tcPr>
            <w:tcW w:w="1008"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3" w:right="113"/>
              <w:jc w:val="center"/>
              <w:rPr>
                <w:rFonts w:ascii="宋体" w:hAnsi="宋体" w:eastAsia="宋体" w:cs="宋体"/>
                <w:sz w:val="22"/>
                <w:szCs w:val="22"/>
              </w:rPr>
            </w:pPr>
            <w:r>
              <w:rPr>
                <w:rFonts w:ascii="宋体" w:hAnsi="宋体" w:eastAsia="宋体" w:cs="宋体"/>
                <w:sz w:val="22"/>
                <w:szCs w:val="22"/>
              </w:rPr>
              <w:t>技</w:t>
            </w:r>
          </w:p>
          <w:p>
            <w:pPr>
              <w:spacing w:line="300" w:lineRule="auto"/>
              <w:ind w:left="113" w:right="113"/>
              <w:jc w:val="center"/>
              <w:rPr>
                <w:rFonts w:ascii="宋体" w:hAnsi="宋体" w:eastAsia="宋体" w:cs="宋体"/>
                <w:sz w:val="22"/>
                <w:szCs w:val="22"/>
              </w:rPr>
            </w:pPr>
            <w:r>
              <w:rPr>
                <w:rFonts w:ascii="宋体" w:hAnsi="宋体" w:eastAsia="宋体" w:cs="宋体"/>
                <w:sz w:val="22"/>
                <w:szCs w:val="22"/>
              </w:rPr>
              <w:t>术</w:t>
            </w:r>
          </w:p>
          <w:p>
            <w:pPr>
              <w:spacing w:line="300" w:lineRule="auto"/>
              <w:ind w:left="113" w:right="113"/>
              <w:jc w:val="center"/>
              <w:rPr>
                <w:rFonts w:ascii="宋体" w:hAnsi="宋体" w:eastAsia="宋体" w:cs="宋体"/>
                <w:sz w:val="22"/>
                <w:szCs w:val="22"/>
              </w:rPr>
            </w:pPr>
            <w:r>
              <w:rPr>
                <w:rFonts w:ascii="宋体" w:hAnsi="宋体" w:eastAsia="宋体" w:cs="宋体"/>
                <w:sz w:val="22"/>
                <w:szCs w:val="22"/>
              </w:rPr>
              <w:t>建</w:t>
            </w:r>
          </w:p>
          <w:p>
            <w:pPr>
              <w:spacing w:line="300" w:lineRule="auto"/>
              <w:ind w:left="113" w:right="113"/>
              <w:jc w:val="center"/>
              <w:rPr>
                <w:rFonts w:ascii="宋体" w:hAnsi="宋体" w:eastAsia="宋体" w:cs="宋体"/>
                <w:sz w:val="22"/>
                <w:szCs w:val="22"/>
              </w:rPr>
            </w:pPr>
            <w:r>
              <w:rPr>
                <w:rFonts w:ascii="宋体" w:hAnsi="宋体" w:eastAsia="宋体" w:cs="宋体"/>
                <w:sz w:val="22"/>
                <w:szCs w:val="22"/>
              </w:rPr>
              <w:t>议</w:t>
            </w:r>
          </w:p>
          <w:p>
            <w:pPr>
              <w:spacing w:line="300" w:lineRule="auto"/>
              <w:ind w:left="113" w:right="113"/>
              <w:jc w:val="center"/>
              <w:rPr>
                <w:rFonts w:ascii="宋体" w:hAnsi="宋体" w:eastAsia="宋体" w:cs="宋体"/>
                <w:sz w:val="22"/>
                <w:szCs w:val="22"/>
              </w:rPr>
            </w:pPr>
            <w:r>
              <w:rPr>
                <w:rFonts w:ascii="宋体" w:hAnsi="宋体" w:eastAsia="宋体" w:cs="宋体"/>
                <w:sz w:val="22"/>
                <w:szCs w:val="22"/>
              </w:rPr>
              <w:t>书</w:t>
            </w:r>
          </w:p>
          <w:p>
            <w:pPr>
              <w:jc w:val="left"/>
              <w:rPr>
                <w:rFonts w:ascii="宋体" w:hAnsi="宋体" w:eastAsia="宋体" w:cs="宋体"/>
                <w:sz w:val="22"/>
                <w:szCs w:val="22"/>
              </w:rPr>
            </w:pPr>
          </w:p>
        </w:tc>
        <w:tc>
          <w:tcPr>
            <w:tcW w:w="991"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0"/>
              <w:jc w:val="center"/>
              <w:rPr>
                <w:sz w:val="22"/>
                <w:szCs w:val="22"/>
              </w:rPr>
            </w:pPr>
            <w:r>
              <w:rPr>
                <w:rFonts w:ascii="Calibri" w:hAnsi="Calibri" w:eastAsia="Calibri" w:cs="Calibri"/>
                <w:sz w:val="22"/>
                <w:szCs w:val="22"/>
                <w:u w:val="single"/>
              </w:rPr>
              <w:t>10</w:t>
            </w:r>
            <w:r>
              <w:rPr>
                <w:rFonts w:ascii="宋体" w:hAnsi="宋体" w:eastAsia="宋体" w:cs="宋体"/>
                <w:sz w:val="22"/>
                <w:szCs w:val="22"/>
              </w:rPr>
              <w:t>分</w:t>
            </w:r>
          </w:p>
        </w:tc>
        <w:tc>
          <w:tcPr>
            <w:tcW w:w="109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jc w:val="center"/>
              <w:rPr>
                <w:rFonts w:ascii="宋体" w:hAnsi="宋体" w:eastAsia="宋体" w:cs="宋体"/>
                <w:sz w:val="22"/>
                <w:szCs w:val="22"/>
              </w:rPr>
            </w:pPr>
            <w:r>
              <w:rPr>
                <w:rFonts w:ascii="宋体" w:hAnsi="宋体" w:eastAsia="宋体" w:cs="宋体"/>
                <w:sz w:val="22"/>
                <w:szCs w:val="22"/>
              </w:rPr>
              <w:t>对本招标项目监理工作范围和任务理解</w:t>
            </w:r>
          </w:p>
        </w:tc>
        <w:tc>
          <w:tcPr>
            <w:tcW w:w="685"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0"/>
              <w:jc w:val="center"/>
              <w:rPr>
                <w:sz w:val="22"/>
                <w:szCs w:val="22"/>
              </w:rPr>
            </w:pPr>
            <w:r>
              <w:rPr>
                <w:rFonts w:ascii="Calibri" w:hAnsi="Calibri" w:eastAsia="Calibri" w:cs="Calibri"/>
                <w:sz w:val="22"/>
                <w:szCs w:val="22"/>
                <w:u w:val="single"/>
              </w:rPr>
              <w:t>3</w:t>
            </w:r>
            <w:r>
              <w:rPr>
                <w:rFonts w:ascii="宋体" w:hAnsi="宋体" w:eastAsia="宋体" w:cs="宋体"/>
                <w:sz w:val="22"/>
                <w:szCs w:val="22"/>
              </w:rPr>
              <w:t>分</w:t>
            </w:r>
          </w:p>
        </w:tc>
        <w:tc>
          <w:tcPr>
            <w:tcW w:w="364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60" w:lineRule="auto"/>
              <w:ind w:left="110" w:right="110"/>
              <w:jc w:val="left"/>
              <w:rPr>
                <w:rFonts w:ascii="Calibri" w:hAnsi="Calibri" w:eastAsia="Calibri" w:cs="Calibri"/>
                <w:sz w:val="22"/>
                <w:szCs w:val="22"/>
              </w:rPr>
            </w:pPr>
            <w:r>
              <w:rPr>
                <w:rFonts w:ascii="宋体" w:hAnsi="宋体" w:eastAsia="宋体" w:cs="宋体"/>
                <w:sz w:val="22"/>
                <w:szCs w:val="22"/>
              </w:rPr>
              <w:t>本项基本分为</w:t>
            </w:r>
            <w:r>
              <w:rPr>
                <w:rFonts w:ascii="Calibri" w:hAnsi="Calibri" w:eastAsia="Calibri" w:cs="Calibri"/>
                <w:sz w:val="22"/>
                <w:szCs w:val="22"/>
              </w:rPr>
              <w:t>1.8</w:t>
            </w:r>
            <w:r>
              <w:rPr>
                <w:rFonts w:ascii="宋体" w:hAnsi="宋体" w:eastAsia="宋体" w:cs="宋体"/>
                <w:sz w:val="22"/>
                <w:szCs w:val="22"/>
              </w:rPr>
              <w:t>分，满分</w:t>
            </w:r>
            <w:r>
              <w:rPr>
                <w:rFonts w:ascii="Calibri" w:hAnsi="Calibri" w:eastAsia="Calibri" w:cs="Calibri"/>
                <w:sz w:val="22"/>
                <w:szCs w:val="22"/>
              </w:rPr>
              <w:t>3</w:t>
            </w:r>
            <w:r>
              <w:rPr>
                <w:rFonts w:ascii="宋体" w:hAnsi="宋体" w:eastAsia="宋体" w:cs="宋体"/>
                <w:sz w:val="22"/>
                <w:szCs w:val="22"/>
              </w:rPr>
              <w:t>分。</w:t>
            </w:r>
          </w:p>
          <w:p>
            <w:pPr>
              <w:spacing w:line="360" w:lineRule="auto"/>
              <w:ind w:left="110" w:right="110"/>
              <w:jc w:val="left"/>
              <w:rPr>
                <w:sz w:val="22"/>
                <w:szCs w:val="22"/>
              </w:rPr>
            </w:pPr>
            <w:r>
              <w:rPr>
                <w:rFonts w:ascii="宋体" w:hAnsi="宋体" w:eastAsia="宋体" w:cs="宋体"/>
                <w:sz w:val="22"/>
                <w:szCs w:val="22"/>
              </w:rPr>
              <w:t>依据监理合同中规定的监理服务的要求和范围，对拟投监理标段的监理工作安排、主要监理人员的岗位职责进行必要的阐述，理解准确，思路清晰，全面、合理，符合项目要求，最高加</w:t>
            </w:r>
            <w:r>
              <w:rPr>
                <w:rFonts w:ascii="Calibri" w:hAnsi="Calibri" w:eastAsia="Calibri" w:cs="Calibri"/>
                <w:sz w:val="22"/>
                <w:szCs w:val="22"/>
              </w:rPr>
              <w:t>1.2</w:t>
            </w:r>
            <w:r>
              <w:rPr>
                <w:rFonts w:ascii="宋体" w:hAnsi="宋体" w:eastAsia="宋体" w:cs="宋体"/>
                <w:sz w:val="22"/>
                <w:szCs w:val="22"/>
              </w:rPr>
              <w:t>分。</w:t>
            </w:r>
          </w:p>
        </w:tc>
      </w:tr>
      <w:tr>
        <w:tblPrEx>
          <w:tblCellMar>
            <w:top w:w="0" w:type="dxa"/>
            <w:left w:w="10" w:type="dxa"/>
            <w:bottom w:w="0" w:type="dxa"/>
            <w:right w:w="10" w:type="dxa"/>
          </w:tblCellMar>
        </w:tblPrEx>
        <w:trPr>
          <w:trHeight w:val="3222" w:hRule="atLeast"/>
        </w:trPr>
        <w:tc>
          <w:tcPr>
            <w:tcW w:w="89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100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991"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109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jc w:val="center"/>
              <w:rPr>
                <w:rFonts w:ascii="宋体" w:hAnsi="宋体" w:eastAsia="宋体" w:cs="宋体"/>
                <w:sz w:val="22"/>
                <w:szCs w:val="22"/>
              </w:rPr>
            </w:pPr>
            <w:r>
              <w:rPr>
                <w:rFonts w:ascii="宋体" w:hAnsi="宋体" w:eastAsia="宋体" w:cs="宋体"/>
                <w:sz w:val="22"/>
                <w:szCs w:val="22"/>
              </w:rPr>
              <w:t>监理工作</w:t>
            </w:r>
          </w:p>
          <w:p>
            <w:pPr>
              <w:spacing w:line="300" w:lineRule="auto"/>
              <w:jc w:val="center"/>
              <w:rPr>
                <w:rFonts w:ascii="宋体" w:hAnsi="宋体" w:eastAsia="宋体" w:cs="宋体"/>
                <w:sz w:val="22"/>
                <w:szCs w:val="22"/>
              </w:rPr>
            </w:pPr>
            <w:r>
              <w:rPr>
                <w:rFonts w:ascii="宋体" w:hAnsi="宋体" w:eastAsia="宋体" w:cs="宋体"/>
                <w:sz w:val="22"/>
                <w:szCs w:val="22"/>
              </w:rPr>
              <w:t>程序及措施</w:t>
            </w:r>
          </w:p>
        </w:tc>
        <w:tc>
          <w:tcPr>
            <w:tcW w:w="685"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0"/>
              <w:jc w:val="center"/>
              <w:rPr>
                <w:sz w:val="22"/>
                <w:szCs w:val="22"/>
              </w:rPr>
            </w:pPr>
            <w:r>
              <w:rPr>
                <w:rFonts w:ascii="Calibri" w:hAnsi="Calibri" w:eastAsia="Calibri" w:cs="Calibri"/>
                <w:sz w:val="22"/>
                <w:szCs w:val="22"/>
                <w:u w:val="single"/>
              </w:rPr>
              <w:t>2</w:t>
            </w:r>
            <w:r>
              <w:rPr>
                <w:rFonts w:ascii="宋体" w:hAnsi="宋体" w:eastAsia="宋体" w:cs="宋体"/>
                <w:sz w:val="22"/>
                <w:szCs w:val="22"/>
              </w:rPr>
              <w:t>分</w:t>
            </w:r>
          </w:p>
        </w:tc>
        <w:tc>
          <w:tcPr>
            <w:tcW w:w="364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60" w:lineRule="auto"/>
              <w:ind w:left="110" w:right="110"/>
              <w:jc w:val="left"/>
              <w:rPr>
                <w:rFonts w:ascii="Calibri" w:hAnsi="Calibri" w:eastAsia="Calibri" w:cs="Calibri"/>
                <w:sz w:val="22"/>
                <w:szCs w:val="22"/>
              </w:rPr>
            </w:pPr>
            <w:r>
              <w:rPr>
                <w:rFonts w:ascii="宋体" w:hAnsi="宋体" w:eastAsia="宋体" w:cs="宋体"/>
                <w:sz w:val="22"/>
                <w:szCs w:val="22"/>
              </w:rPr>
              <w:t>本项基本分为</w:t>
            </w:r>
            <w:r>
              <w:rPr>
                <w:rFonts w:ascii="Calibri" w:hAnsi="Calibri" w:eastAsia="Calibri" w:cs="Calibri"/>
                <w:sz w:val="22"/>
                <w:szCs w:val="22"/>
              </w:rPr>
              <w:t>1.2</w:t>
            </w:r>
            <w:r>
              <w:rPr>
                <w:rFonts w:ascii="宋体" w:hAnsi="宋体" w:eastAsia="宋体" w:cs="宋体"/>
                <w:sz w:val="22"/>
                <w:szCs w:val="22"/>
              </w:rPr>
              <w:t>分，满分</w:t>
            </w:r>
            <w:r>
              <w:rPr>
                <w:rFonts w:ascii="Calibri" w:hAnsi="Calibri" w:eastAsia="Calibri" w:cs="Calibri"/>
                <w:sz w:val="22"/>
                <w:szCs w:val="22"/>
              </w:rPr>
              <w:t>2</w:t>
            </w:r>
            <w:r>
              <w:rPr>
                <w:rFonts w:ascii="宋体" w:hAnsi="宋体" w:eastAsia="宋体" w:cs="宋体"/>
                <w:sz w:val="22"/>
                <w:szCs w:val="22"/>
              </w:rPr>
              <w:t>分。</w:t>
            </w:r>
          </w:p>
          <w:p>
            <w:pPr>
              <w:spacing w:line="360" w:lineRule="auto"/>
              <w:ind w:left="110" w:right="110"/>
              <w:jc w:val="left"/>
              <w:rPr>
                <w:sz w:val="22"/>
                <w:szCs w:val="22"/>
              </w:rPr>
            </w:pPr>
            <w:r>
              <w:rPr>
                <w:rFonts w:ascii="宋体" w:hAnsi="宋体" w:eastAsia="宋体" w:cs="宋体"/>
                <w:sz w:val="22"/>
                <w:szCs w:val="22"/>
              </w:rPr>
              <w:t>结合监理工作的阶段划分，对工程质量控制、进度控制、施工安全控制、施工环境保护、费用控制、合同及其他事项管理、文件资料管理等方面，进行监理工作的方法与流程的简要阐述内容。内容齐全，阶段划分合理、正确，可实施性强，最高加</w:t>
            </w:r>
            <w:r>
              <w:rPr>
                <w:rFonts w:ascii="Calibri" w:hAnsi="Calibri" w:eastAsia="Calibri" w:cs="Calibri"/>
                <w:sz w:val="22"/>
                <w:szCs w:val="22"/>
              </w:rPr>
              <w:t>0.8</w:t>
            </w:r>
            <w:r>
              <w:rPr>
                <w:rFonts w:ascii="宋体" w:hAnsi="宋体" w:eastAsia="宋体" w:cs="宋体"/>
                <w:sz w:val="22"/>
                <w:szCs w:val="22"/>
              </w:rPr>
              <w:t>分。</w:t>
            </w:r>
          </w:p>
        </w:tc>
      </w:tr>
      <w:tr>
        <w:tblPrEx>
          <w:tblCellMar>
            <w:top w:w="0" w:type="dxa"/>
            <w:left w:w="10" w:type="dxa"/>
            <w:bottom w:w="0" w:type="dxa"/>
            <w:right w:w="10" w:type="dxa"/>
          </w:tblCellMar>
        </w:tblPrEx>
        <w:trPr>
          <w:trHeight w:val="2074" w:hRule="atLeast"/>
        </w:trPr>
        <w:tc>
          <w:tcPr>
            <w:tcW w:w="89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100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991"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109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jc w:val="center"/>
              <w:rPr>
                <w:rFonts w:ascii="宋体" w:hAnsi="宋体" w:eastAsia="宋体" w:cs="宋体"/>
                <w:sz w:val="22"/>
                <w:szCs w:val="22"/>
              </w:rPr>
            </w:pPr>
            <w:r>
              <w:rPr>
                <w:rFonts w:ascii="宋体" w:hAnsi="宋体" w:eastAsia="宋体" w:cs="宋体"/>
                <w:sz w:val="22"/>
                <w:szCs w:val="22"/>
              </w:rPr>
              <w:t>对本工程</w:t>
            </w:r>
          </w:p>
          <w:p>
            <w:pPr>
              <w:spacing w:line="300" w:lineRule="auto"/>
              <w:jc w:val="center"/>
              <w:rPr>
                <w:rFonts w:ascii="宋体" w:hAnsi="宋体" w:eastAsia="宋体" w:cs="宋体"/>
                <w:sz w:val="22"/>
                <w:szCs w:val="22"/>
              </w:rPr>
            </w:pPr>
            <w:r>
              <w:rPr>
                <w:rFonts w:ascii="宋体" w:hAnsi="宋体" w:eastAsia="宋体" w:cs="宋体"/>
                <w:sz w:val="22"/>
                <w:szCs w:val="22"/>
              </w:rPr>
              <w:t>重点、难点</w:t>
            </w:r>
          </w:p>
          <w:p>
            <w:pPr>
              <w:spacing w:line="300" w:lineRule="auto"/>
              <w:jc w:val="center"/>
              <w:rPr>
                <w:rFonts w:ascii="宋体" w:hAnsi="宋体" w:eastAsia="宋体" w:cs="宋体"/>
                <w:sz w:val="22"/>
                <w:szCs w:val="22"/>
              </w:rPr>
            </w:pPr>
            <w:r>
              <w:rPr>
                <w:rFonts w:ascii="宋体" w:hAnsi="宋体" w:eastAsia="宋体" w:cs="宋体"/>
                <w:sz w:val="22"/>
                <w:szCs w:val="22"/>
              </w:rPr>
              <w:t>分析</w:t>
            </w:r>
          </w:p>
        </w:tc>
        <w:tc>
          <w:tcPr>
            <w:tcW w:w="685"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0"/>
              <w:jc w:val="center"/>
              <w:rPr>
                <w:sz w:val="22"/>
                <w:szCs w:val="22"/>
              </w:rPr>
            </w:pPr>
            <w:r>
              <w:rPr>
                <w:rFonts w:ascii="Calibri" w:hAnsi="Calibri" w:eastAsia="Calibri" w:cs="Calibri"/>
                <w:sz w:val="22"/>
                <w:szCs w:val="22"/>
                <w:u w:val="single"/>
              </w:rPr>
              <w:t>4</w:t>
            </w:r>
            <w:r>
              <w:rPr>
                <w:rFonts w:ascii="宋体" w:hAnsi="宋体" w:eastAsia="宋体" w:cs="宋体"/>
                <w:sz w:val="22"/>
                <w:szCs w:val="22"/>
              </w:rPr>
              <w:t>分</w:t>
            </w:r>
          </w:p>
        </w:tc>
        <w:tc>
          <w:tcPr>
            <w:tcW w:w="364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60" w:lineRule="auto"/>
              <w:ind w:left="110" w:right="110"/>
              <w:jc w:val="left"/>
              <w:rPr>
                <w:rFonts w:ascii="宋体" w:hAnsi="宋体" w:eastAsia="宋体" w:cs="宋体"/>
                <w:sz w:val="22"/>
                <w:szCs w:val="22"/>
              </w:rPr>
            </w:pPr>
            <w:r>
              <w:rPr>
                <w:rFonts w:ascii="宋体" w:hAnsi="宋体" w:eastAsia="宋体" w:cs="宋体"/>
                <w:sz w:val="22"/>
                <w:szCs w:val="22"/>
              </w:rPr>
              <w:t>本项基本分为2.4分，满分4分。</w:t>
            </w:r>
          </w:p>
          <w:p>
            <w:pPr>
              <w:spacing w:line="360" w:lineRule="auto"/>
              <w:ind w:left="110" w:right="110"/>
              <w:jc w:val="left"/>
              <w:rPr>
                <w:rFonts w:ascii="宋体" w:hAnsi="宋体" w:eastAsia="宋体" w:cs="宋体"/>
                <w:sz w:val="22"/>
                <w:szCs w:val="22"/>
              </w:rPr>
            </w:pPr>
            <w:r>
              <w:rPr>
                <w:rFonts w:ascii="宋体" w:hAnsi="宋体" w:eastAsia="宋体" w:cs="宋体"/>
                <w:sz w:val="22"/>
                <w:szCs w:val="22"/>
              </w:rPr>
              <w:t>对本工程监理工作需要特别给予重视的问题逐一论述并给出解决方法。分析透彻，对难点、重点把握准确；处理措施科学合理，最高加1.6分。</w:t>
            </w:r>
          </w:p>
        </w:tc>
      </w:tr>
      <w:tr>
        <w:tblPrEx>
          <w:tblCellMar>
            <w:top w:w="0" w:type="dxa"/>
            <w:left w:w="10" w:type="dxa"/>
            <w:bottom w:w="0" w:type="dxa"/>
            <w:right w:w="10" w:type="dxa"/>
          </w:tblCellMar>
        </w:tblPrEx>
        <w:trPr>
          <w:trHeight w:val="320" w:hRule="atLeast"/>
        </w:trPr>
        <w:tc>
          <w:tcPr>
            <w:tcW w:w="89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100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991"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109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jc w:val="center"/>
              <w:rPr>
                <w:rFonts w:ascii="宋体" w:hAnsi="宋体" w:eastAsia="宋体" w:cs="宋体"/>
                <w:sz w:val="22"/>
                <w:szCs w:val="22"/>
              </w:rPr>
            </w:pPr>
            <w:r>
              <w:rPr>
                <w:rFonts w:ascii="宋体" w:hAnsi="宋体" w:eastAsia="宋体" w:cs="宋体"/>
                <w:sz w:val="22"/>
                <w:szCs w:val="22"/>
              </w:rPr>
              <w:t>对本工程   的建议</w:t>
            </w:r>
          </w:p>
        </w:tc>
        <w:tc>
          <w:tcPr>
            <w:tcW w:w="685"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0"/>
              <w:jc w:val="center"/>
              <w:rPr>
                <w:sz w:val="22"/>
                <w:szCs w:val="22"/>
              </w:rPr>
            </w:pPr>
            <w:r>
              <w:rPr>
                <w:rFonts w:ascii="Calibri" w:hAnsi="Calibri" w:eastAsia="Calibri" w:cs="Calibri"/>
                <w:sz w:val="22"/>
                <w:szCs w:val="22"/>
                <w:u w:val="single"/>
              </w:rPr>
              <w:t>1</w:t>
            </w:r>
            <w:r>
              <w:rPr>
                <w:rFonts w:ascii="宋体" w:hAnsi="宋体" w:eastAsia="宋体" w:cs="宋体"/>
                <w:sz w:val="22"/>
                <w:szCs w:val="22"/>
              </w:rPr>
              <w:t>分</w:t>
            </w:r>
          </w:p>
        </w:tc>
        <w:tc>
          <w:tcPr>
            <w:tcW w:w="364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60" w:lineRule="auto"/>
              <w:ind w:left="110" w:right="110"/>
              <w:jc w:val="left"/>
              <w:rPr>
                <w:rFonts w:ascii="宋体" w:hAnsi="宋体" w:eastAsia="宋体" w:cs="宋体"/>
                <w:sz w:val="22"/>
                <w:szCs w:val="22"/>
              </w:rPr>
            </w:pPr>
            <w:r>
              <w:rPr>
                <w:rFonts w:ascii="宋体" w:hAnsi="宋体" w:eastAsia="宋体" w:cs="宋体"/>
                <w:sz w:val="22"/>
                <w:szCs w:val="22"/>
              </w:rPr>
              <w:t>本项基本分为0.6分，满分1分。</w:t>
            </w:r>
          </w:p>
          <w:p>
            <w:pPr>
              <w:spacing w:line="360" w:lineRule="auto"/>
              <w:ind w:left="110" w:right="110"/>
              <w:jc w:val="left"/>
              <w:rPr>
                <w:rFonts w:ascii="宋体" w:hAnsi="宋体" w:eastAsia="宋体" w:cs="宋体"/>
                <w:sz w:val="22"/>
                <w:szCs w:val="22"/>
              </w:rPr>
            </w:pPr>
            <w:r>
              <w:rPr>
                <w:rFonts w:ascii="宋体" w:hAnsi="宋体" w:eastAsia="宋体" w:cs="宋体"/>
                <w:sz w:val="22"/>
                <w:szCs w:val="22"/>
              </w:rPr>
              <w:t>为更好地完成本项目的监理工作，监理单位可根据以往的经验，对本工程监理工作提出建议。建议措施具体全面、可靠、合理，可实施性强，最高加0.4分。无建议不得分。</w:t>
            </w:r>
          </w:p>
        </w:tc>
      </w:tr>
      <w:tr>
        <w:tblPrEx>
          <w:tblCellMar>
            <w:top w:w="0" w:type="dxa"/>
            <w:left w:w="10" w:type="dxa"/>
            <w:bottom w:w="0" w:type="dxa"/>
            <w:right w:w="10" w:type="dxa"/>
          </w:tblCellMar>
        </w:tblPrEx>
        <w:trPr>
          <w:trHeight w:val="1081" w:hRule="atLeast"/>
        </w:trPr>
        <w:tc>
          <w:tcPr>
            <w:tcW w:w="898"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80" w:lineRule="auto"/>
              <w:ind w:right="113"/>
              <w:jc w:val="center"/>
              <w:rPr>
                <w:rFonts w:ascii="宋体" w:hAnsi="宋体" w:eastAsia="宋体" w:cs="宋体"/>
                <w:sz w:val="22"/>
                <w:szCs w:val="22"/>
              </w:rPr>
            </w:pPr>
            <w:r>
              <w:rPr>
                <w:rFonts w:ascii="宋体" w:hAnsi="宋体" w:eastAsia="宋体" w:cs="宋体"/>
                <w:sz w:val="22"/>
                <w:szCs w:val="22"/>
              </w:rPr>
              <w:t>2.2.4（2）</w:t>
            </w:r>
          </w:p>
        </w:tc>
        <w:tc>
          <w:tcPr>
            <w:tcW w:w="1008"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3" w:right="113"/>
              <w:jc w:val="center"/>
              <w:rPr>
                <w:rFonts w:ascii="宋体" w:hAnsi="宋体" w:eastAsia="宋体" w:cs="宋体"/>
                <w:sz w:val="22"/>
                <w:szCs w:val="22"/>
              </w:rPr>
            </w:pPr>
            <w:r>
              <w:rPr>
                <w:rFonts w:ascii="宋体" w:hAnsi="宋体" w:eastAsia="宋体" w:cs="宋体"/>
                <w:sz w:val="22"/>
                <w:szCs w:val="22"/>
              </w:rPr>
              <w:t>主要</w:t>
            </w:r>
          </w:p>
          <w:p>
            <w:pPr>
              <w:spacing w:line="300" w:lineRule="auto"/>
              <w:ind w:left="113" w:right="113"/>
              <w:jc w:val="center"/>
              <w:rPr>
                <w:rFonts w:ascii="宋体" w:hAnsi="宋体" w:eastAsia="宋体" w:cs="宋体"/>
                <w:sz w:val="22"/>
                <w:szCs w:val="22"/>
              </w:rPr>
            </w:pPr>
            <w:r>
              <w:rPr>
                <w:rFonts w:ascii="宋体" w:hAnsi="宋体" w:eastAsia="宋体" w:cs="宋体"/>
                <w:sz w:val="22"/>
                <w:szCs w:val="22"/>
              </w:rPr>
              <w:t>人员</w:t>
            </w:r>
          </w:p>
        </w:tc>
        <w:tc>
          <w:tcPr>
            <w:tcW w:w="991"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0"/>
              <w:jc w:val="center"/>
              <w:rPr>
                <w:sz w:val="22"/>
                <w:szCs w:val="22"/>
              </w:rPr>
            </w:pPr>
            <w:r>
              <w:rPr>
                <w:rFonts w:ascii="Calibri" w:hAnsi="Calibri" w:eastAsia="Calibri" w:cs="Calibri"/>
                <w:sz w:val="22"/>
                <w:szCs w:val="22"/>
                <w:u w:val="single"/>
              </w:rPr>
              <w:t>35</w:t>
            </w:r>
            <w:r>
              <w:rPr>
                <w:rFonts w:ascii="宋体" w:hAnsi="宋体" w:eastAsia="宋体" w:cs="宋体"/>
                <w:sz w:val="22"/>
                <w:szCs w:val="22"/>
              </w:rPr>
              <w:t>分</w:t>
            </w:r>
          </w:p>
        </w:tc>
        <w:tc>
          <w:tcPr>
            <w:tcW w:w="1092" w:type="dxa"/>
            <w:tcBorders>
              <w:top w:val="single" w:color="000000" w:sz="2" w:space="0"/>
              <w:left w:val="single" w:color="000000" w:sz="2" w:space="0"/>
              <w:bottom w:val="single" w:color="000000" w:sz="2" w:space="0"/>
              <w:right w:val="single" w:color="000000" w:sz="4" w:space="0"/>
            </w:tcBorders>
            <w:shd w:val="clear" w:color="000000" w:fill="FFFFFF"/>
            <w:noWrap w:val="0"/>
            <w:tcMar>
              <w:left w:w="0" w:type="dxa"/>
              <w:right w:w="0" w:type="dxa"/>
            </w:tcMar>
            <w:vAlign w:val="center"/>
          </w:tcPr>
          <w:p>
            <w:pPr>
              <w:spacing w:line="300" w:lineRule="auto"/>
              <w:jc w:val="center"/>
              <w:rPr>
                <w:rFonts w:ascii="宋体" w:hAnsi="宋体" w:eastAsia="宋体" w:cs="宋体"/>
                <w:sz w:val="22"/>
                <w:szCs w:val="22"/>
              </w:rPr>
            </w:pPr>
            <w:r>
              <w:rPr>
                <w:rFonts w:ascii="宋体" w:hAnsi="宋体" w:eastAsia="宋体" w:cs="宋体"/>
                <w:sz w:val="22"/>
                <w:szCs w:val="22"/>
              </w:rPr>
              <w:t>总监理</w:t>
            </w:r>
          </w:p>
          <w:p>
            <w:pPr>
              <w:spacing w:line="300" w:lineRule="auto"/>
              <w:jc w:val="center"/>
              <w:rPr>
                <w:rFonts w:ascii="宋体" w:hAnsi="宋体" w:eastAsia="宋体" w:cs="宋体"/>
                <w:sz w:val="22"/>
                <w:szCs w:val="22"/>
              </w:rPr>
            </w:pPr>
            <w:r>
              <w:rPr>
                <w:rFonts w:ascii="宋体" w:hAnsi="宋体" w:eastAsia="宋体" w:cs="宋体"/>
                <w:sz w:val="22"/>
                <w:szCs w:val="22"/>
              </w:rPr>
              <w:t>工程师</w:t>
            </w:r>
          </w:p>
        </w:tc>
        <w:tc>
          <w:tcPr>
            <w:tcW w:w="4327" w:type="dxa"/>
            <w:gridSpan w:val="2"/>
            <w:tcBorders>
              <w:top w:val="single" w:color="000000" w:sz="2" w:space="0"/>
              <w:left w:val="single" w:color="000000" w:sz="4" w:space="0"/>
              <w:bottom w:val="single" w:color="000000" w:sz="2" w:space="0"/>
              <w:right w:val="single" w:color="000000" w:sz="2" w:space="0"/>
            </w:tcBorders>
            <w:shd w:val="clear" w:color="000000" w:fill="FFFFFF"/>
            <w:noWrap w:val="0"/>
            <w:tcMar>
              <w:left w:w="0" w:type="dxa"/>
              <w:right w:w="0" w:type="dxa"/>
            </w:tcMar>
            <w:vAlign w:val="center"/>
          </w:tcPr>
          <w:p>
            <w:pPr>
              <w:spacing w:line="360" w:lineRule="auto"/>
              <w:ind w:right="110"/>
              <w:jc w:val="left"/>
              <w:rPr>
                <w:rFonts w:ascii="宋体" w:hAnsi="宋体" w:eastAsia="宋体" w:cs="宋体"/>
                <w:sz w:val="22"/>
                <w:szCs w:val="22"/>
              </w:rPr>
            </w:pPr>
            <w:r>
              <w:rPr>
                <w:rFonts w:ascii="宋体" w:hAnsi="宋体" w:eastAsia="宋体" w:cs="宋体"/>
                <w:sz w:val="22"/>
                <w:szCs w:val="22"/>
              </w:rPr>
              <w:t>满足资格审查要求得25分；</w:t>
            </w:r>
          </w:p>
          <w:p>
            <w:pPr>
              <w:spacing w:line="360" w:lineRule="auto"/>
              <w:ind w:left="110" w:right="110"/>
              <w:jc w:val="left"/>
              <w:rPr>
                <w:rFonts w:ascii="宋体" w:hAnsi="宋体" w:eastAsia="宋体" w:cs="宋体"/>
                <w:sz w:val="22"/>
                <w:szCs w:val="22"/>
              </w:rPr>
            </w:pPr>
            <w:r>
              <w:rPr>
                <w:rFonts w:ascii="宋体" w:hAnsi="宋体" w:eastAsia="宋体" w:cs="宋体"/>
                <w:b/>
                <w:sz w:val="22"/>
                <w:szCs w:val="22"/>
              </w:rPr>
              <w:t>A类别拟任项目总监理工程师</w:t>
            </w:r>
            <w:r>
              <w:rPr>
                <w:rFonts w:ascii="宋体" w:hAnsi="宋体" w:eastAsia="宋体" w:cs="宋体"/>
                <w:sz w:val="22"/>
                <w:szCs w:val="22"/>
              </w:rPr>
              <w:t>近五年（</w:t>
            </w:r>
            <w:r>
              <w:rPr>
                <w:rFonts w:hint="eastAsia" w:ascii="宋体" w:hAnsi="宋体" w:eastAsia="宋体" w:cs="宋体"/>
                <w:sz w:val="22"/>
                <w:szCs w:val="22"/>
                <w:lang w:eastAsia="zh-CN"/>
              </w:rPr>
              <w:t>2017年11月15日</w:t>
            </w:r>
            <w:r>
              <w:rPr>
                <w:rFonts w:ascii="宋体" w:hAnsi="宋体" w:eastAsia="宋体" w:cs="宋体"/>
                <w:sz w:val="22"/>
                <w:szCs w:val="22"/>
              </w:rPr>
              <w:t>至今）每增加1项一级及以上新（改）建公路工程的施工监理业绩加5分，最高加10分。</w:t>
            </w:r>
          </w:p>
          <w:p>
            <w:pPr>
              <w:spacing w:line="360" w:lineRule="auto"/>
              <w:ind w:left="110" w:right="110"/>
              <w:jc w:val="left"/>
              <w:rPr>
                <w:rFonts w:ascii="宋体" w:hAnsi="宋体" w:eastAsia="宋体" w:cs="宋体"/>
                <w:sz w:val="22"/>
                <w:szCs w:val="22"/>
              </w:rPr>
            </w:pPr>
            <w:r>
              <w:rPr>
                <w:rFonts w:ascii="宋体" w:hAnsi="宋体" w:eastAsia="宋体" w:cs="宋体"/>
                <w:b/>
                <w:sz w:val="22"/>
                <w:szCs w:val="22"/>
              </w:rPr>
              <w:t>B类别拟任项目总监理工程师</w:t>
            </w:r>
            <w:r>
              <w:rPr>
                <w:rFonts w:ascii="宋体" w:hAnsi="宋体" w:eastAsia="宋体" w:cs="宋体"/>
                <w:sz w:val="22"/>
                <w:szCs w:val="22"/>
              </w:rPr>
              <w:t>近五年（</w:t>
            </w:r>
            <w:r>
              <w:rPr>
                <w:rFonts w:hint="eastAsia" w:ascii="宋体" w:hAnsi="宋体" w:eastAsia="宋体" w:cs="宋体"/>
                <w:sz w:val="22"/>
                <w:szCs w:val="22"/>
                <w:lang w:eastAsia="zh-CN"/>
              </w:rPr>
              <w:t>2017年11月15日</w:t>
            </w:r>
            <w:r>
              <w:rPr>
                <w:rFonts w:ascii="宋体" w:hAnsi="宋体" w:eastAsia="宋体" w:cs="宋体"/>
                <w:sz w:val="22"/>
                <w:szCs w:val="22"/>
              </w:rPr>
              <w:t>至今）每增加1项钢结构工程的施工监理业绩加5分，最高加10分。</w:t>
            </w:r>
          </w:p>
        </w:tc>
      </w:tr>
    </w:tbl>
    <w:p>
      <w:pPr>
        <w:ind w:left="153"/>
        <w:rPr>
          <w:rFonts w:ascii="宋体" w:hAnsi="宋体" w:eastAsia="宋体" w:cs="宋体"/>
          <w:sz w:val="23"/>
        </w:rPr>
      </w:pPr>
    </w:p>
    <w:p>
      <w:pPr>
        <w:jc w:val="center"/>
        <w:rPr>
          <w:rFonts w:ascii="黑体" w:hAnsi="黑体" w:eastAsia="黑体" w:cs="黑体"/>
          <w:b/>
          <w:color w:val="000000"/>
          <w:sz w:val="24"/>
        </w:rPr>
      </w:pPr>
      <w:r>
        <w:rPr>
          <w:rFonts w:ascii="黑体" w:hAnsi="黑体" w:eastAsia="黑体" w:cs="黑体"/>
          <w:b/>
          <w:color w:val="000000"/>
        </w:rPr>
        <w:t xml:space="preserve"> </w:t>
      </w:r>
    </w:p>
    <w:tbl>
      <w:tblPr>
        <w:tblStyle w:val="4"/>
        <w:tblW w:w="0" w:type="auto"/>
        <w:tblInd w:w="-7" w:type="dxa"/>
        <w:tblLayout w:type="autofit"/>
        <w:tblCellMar>
          <w:top w:w="0" w:type="dxa"/>
          <w:left w:w="10" w:type="dxa"/>
          <w:bottom w:w="0" w:type="dxa"/>
          <w:right w:w="10" w:type="dxa"/>
        </w:tblCellMar>
      </w:tblPr>
      <w:tblGrid>
        <w:gridCol w:w="885"/>
        <w:gridCol w:w="996"/>
        <w:gridCol w:w="994"/>
        <w:gridCol w:w="1082"/>
        <w:gridCol w:w="686"/>
        <w:gridCol w:w="3673"/>
      </w:tblGrid>
      <w:tr>
        <w:trPr>
          <w:trHeight w:val="661" w:hRule="atLeast"/>
        </w:trPr>
        <w:tc>
          <w:tcPr>
            <w:tcW w:w="885"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条款号</w:t>
            </w:r>
          </w:p>
        </w:tc>
        <w:tc>
          <w:tcPr>
            <w:tcW w:w="996"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评分因素</w:t>
            </w:r>
          </w:p>
        </w:tc>
        <w:tc>
          <w:tcPr>
            <w:tcW w:w="994"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评分因素权重分值</w:t>
            </w:r>
          </w:p>
        </w:tc>
        <w:tc>
          <w:tcPr>
            <w:tcW w:w="108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各评分因数细分项</w:t>
            </w:r>
          </w:p>
        </w:tc>
        <w:tc>
          <w:tcPr>
            <w:tcW w:w="686"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分值</w:t>
            </w:r>
          </w:p>
        </w:tc>
        <w:tc>
          <w:tcPr>
            <w:tcW w:w="3673"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290" w:lineRule="auto"/>
              <w:ind w:right="113"/>
              <w:jc w:val="center"/>
              <w:rPr>
                <w:rFonts w:ascii="宋体" w:hAnsi="宋体" w:eastAsia="宋体" w:cs="宋体"/>
                <w:sz w:val="22"/>
                <w:szCs w:val="22"/>
              </w:rPr>
            </w:pPr>
            <w:r>
              <w:rPr>
                <w:rFonts w:ascii="宋体" w:hAnsi="宋体" w:eastAsia="宋体" w:cs="宋体"/>
                <w:sz w:val="22"/>
                <w:szCs w:val="22"/>
              </w:rPr>
              <w:t>评分标准</w:t>
            </w:r>
          </w:p>
        </w:tc>
      </w:tr>
      <w:tr>
        <w:tblPrEx>
          <w:tblCellMar>
            <w:top w:w="0" w:type="dxa"/>
            <w:left w:w="10" w:type="dxa"/>
            <w:bottom w:w="0" w:type="dxa"/>
            <w:right w:w="10" w:type="dxa"/>
          </w:tblCellMar>
        </w:tblPrEx>
        <w:trPr>
          <w:trHeight w:val="1343" w:hRule="atLeast"/>
        </w:trPr>
        <w:tc>
          <w:tcPr>
            <w:tcW w:w="885"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jc w:val="center"/>
              <w:rPr>
                <w:rFonts w:ascii="宋体" w:hAnsi="宋体" w:eastAsia="宋体" w:cs="宋体"/>
                <w:sz w:val="22"/>
                <w:szCs w:val="22"/>
              </w:rPr>
            </w:pPr>
            <w:r>
              <w:rPr>
                <w:rFonts w:ascii="宋体" w:hAnsi="宋体" w:eastAsia="宋体" w:cs="宋体"/>
                <w:sz w:val="22"/>
                <w:szCs w:val="22"/>
              </w:rPr>
              <w:t>2.2.4</w:t>
            </w:r>
          </w:p>
          <w:p>
            <w:pPr>
              <w:jc w:val="center"/>
              <w:rPr>
                <w:rFonts w:ascii="宋体" w:hAnsi="宋体" w:eastAsia="宋体" w:cs="宋体"/>
                <w:sz w:val="22"/>
                <w:szCs w:val="22"/>
              </w:rPr>
            </w:pPr>
            <w:r>
              <w:rPr>
                <w:rFonts w:ascii="宋体" w:hAnsi="宋体" w:eastAsia="宋体" w:cs="宋体"/>
                <w:sz w:val="22"/>
                <w:szCs w:val="22"/>
              </w:rPr>
              <w:t>（4）</w:t>
            </w:r>
          </w:p>
        </w:tc>
        <w:tc>
          <w:tcPr>
            <w:tcW w:w="996"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jc w:val="center"/>
              <w:rPr>
                <w:rFonts w:ascii="宋体" w:hAnsi="宋体" w:eastAsia="宋体" w:cs="宋体"/>
                <w:sz w:val="22"/>
                <w:szCs w:val="22"/>
              </w:rPr>
            </w:pPr>
            <w:r>
              <w:rPr>
                <w:rFonts w:ascii="宋体" w:hAnsi="宋体" w:eastAsia="宋体" w:cs="宋体"/>
                <w:sz w:val="22"/>
                <w:szCs w:val="22"/>
              </w:rPr>
              <w:t>业绩与信誉</w:t>
            </w:r>
          </w:p>
        </w:tc>
        <w:tc>
          <w:tcPr>
            <w:tcW w:w="99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jc w:val="center"/>
              <w:rPr>
                <w:rFonts w:ascii="宋体" w:hAnsi="宋体" w:eastAsia="宋体" w:cs="宋体"/>
                <w:sz w:val="22"/>
                <w:szCs w:val="22"/>
              </w:rPr>
            </w:pPr>
            <w:r>
              <w:rPr>
                <w:rFonts w:ascii="宋体" w:hAnsi="宋体" w:eastAsia="宋体" w:cs="宋体"/>
                <w:sz w:val="22"/>
                <w:szCs w:val="22"/>
                <w:u w:val="single"/>
              </w:rPr>
              <w:t>45</w:t>
            </w:r>
            <w:r>
              <w:rPr>
                <w:rFonts w:ascii="宋体" w:hAnsi="宋体" w:eastAsia="宋体" w:cs="宋体"/>
                <w:sz w:val="22"/>
                <w:szCs w:val="22"/>
              </w:rPr>
              <w:t>分</w:t>
            </w:r>
          </w:p>
        </w:tc>
        <w:tc>
          <w:tcPr>
            <w:tcW w:w="108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jc w:val="center"/>
              <w:rPr>
                <w:rFonts w:ascii="宋体" w:hAnsi="宋体" w:eastAsia="宋体" w:cs="宋体"/>
                <w:sz w:val="22"/>
                <w:szCs w:val="22"/>
              </w:rPr>
            </w:pPr>
            <w:r>
              <w:rPr>
                <w:rFonts w:ascii="宋体" w:hAnsi="宋体" w:eastAsia="宋体" w:cs="宋体"/>
                <w:sz w:val="22"/>
                <w:szCs w:val="22"/>
              </w:rPr>
              <w:t>业绩</w:t>
            </w:r>
          </w:p>
        </w:tc>
        <w:tc>
          <w:tcPr>
            <w:tcW w:w="686"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0"/>
              <w:jc w:val="center"/>
              <w:rPr>
                <w:sz w:val="22"/>
                <w:szCs w:val="22"/>
              </w:rPr>
            </w:pPr>
            <w:r>
              <w:rPr>
                <w:rFonts w:ascii="Calibri" w:hAnsi="Calibri" w:eastAsia="Calibri" w:cs="Calibri"/>
                <w:sz w:val="22"/>
                <w:szCs w:val="22"/>
                <w:u w:val="single"/>
              </w:rPr>
              <w:t>40</w:t>
            </w:r>
            <w:r>
              <w:rPr>
                <w:rFonts w:ascii="宋体" w:hAnsi="宋体" w:eastAsia="宋体" w:cs="宋体"/>
                <w:sz w:val="22"/>
                <w:szCs w:val="22"/>
              </w:rPr>
              <w:t>分</w:t>
            </w:r>
          </w:p>
        </w:tc>
        <w:tc>
          <w:tcPr>
            <w:tcW w:w="3673"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60" w:lineRule="auto"/>
              <w:ind w:left="110" w:right="110"/>
              <w:jc w:val="left"/>
              <w:rPr>
                <w:rFonts w:ascii="宋体" w:hAnsi="宋体" w:eastAsia="宋体" w:cs="宋体"/>
                <w:sz w:val="22"/>
                <w:szCs w:val="22"/>
              </w:rPr>
            </w:pPr>
            <w:r>
              <w:rPr>
                <w:rFonts w:ascii="宋体" w:hAnsi="宋体" w:eastAsia="宋体" w:cs="宋体"/>
                <w:sz w:val="22"/>
                <w:szCs w:val="22"/>
              </w:rPr>
              <w:t>满足资格审查要求得24分；</w:t>
            </w:r>
          </w:p>
          <w:p>
            <w:pPr>
              <w:spacing w:line="360" w:lineRule="auto"/>
              <w:ind w:left="110" w:right="110"/>
              <w:jc w:val="left"/>
              <w:rPr>
                <w:rFonts w:ascii="宋体" w:hAnsi="宋体" w:eastAsia="宋体" w:cs="宋体"/>
                <w:sz w:val="22"/>
                <w:szCs w:val="22"/>
              </w:rPr>
            </w:pPr>
            <w:r>
              <w:rPr>
                <w:rFonts w:ascii="宋体" w:hAnsi="宋体" w:eastAsia="宋体" w:cs="宋体"/>
                <w:b/>
                <w:sz w:val="22"/>
                <w:szCs w:val="22"/>
              </w:rPr>
              <w:t>A类别投标人</w:t>
            </w:r>
            <w:r>
              <w:rPr>
                <w:rFonts w:ascii="宋体" w:hAnsi="宋体" w:eastAsia="宋体" w:cs="宋体"/>
                <w:sz w:val="22"/>
                <w:szCs w:val="22"/>
              </w:rPr>
              <w:t>近五年（</w:t>
            </w:r>
            <w:r>
              <w:rPr>
                <w:rFonts w:hint="eastAsia" w:ascii="宋体" w:hAnsi="宋体" w:eastAsia="宋体" w:cs="宋体"/>
                <w:sz w:val="22"/>
                <w:szCs w:val="22"/>
                <w:lang w:eastAsia="zh-CN"/>
              </w:rPr>
              <w:t>2017年11月15日</w:t>
            </w:r>
            <w:r>
              <w:rPr>
                <w:rFonts w:ascii="宋体" w:hAnsi="宋体" w:eastAsia="宋体" w:cs="宋体"/>
                <w:sz w:val="22"/>
                <w:szCs w:val="22"/>
              </w:rPr>
              <w:t>至今）</w:t>
            </w:r>
          </w:p>
          <w:p>
            <w:pPr>
              <w:spacing w:line="360" w:lineRule="auto"/>
              <w:ind w:left="110" w:right="110"/>
              <w:jc w:val="left"/>
              <w:rPr>
                <w:rFonts w:ascii="宋体" w:hAnsi="宋体" w:eastAsia="宋体" w:cs="宋体"/>
                <w:sz w:val="22"/>
                <w:szCs w:val="22"/>
              </w:rPr>
            </w:pPr>
            <w:r>
              <w:rPr>
                <w:rFonts w:ascii="宋体" w:hAnsi="宋体" w:eastAsia="宋体" w:cs="宋体"/>
                <w:sz w:val="22"/>
                <w:szCs w:val="22"/>
              </w:rPr>
              <w:t>（1）每增加1项一级及以上新（改）建公路工程的施工监理业绩（同时包含公路路基、路面、桥涵）的施工监理业绩加4分，最高加8分。</w:t>
            </w:r>
          </w:p>
          <w:p>
            <w:pPr>
              <w:spacing w:line="360" w:lineRule="auto"/>
              <w:ind w:left="110" w:right="110"/>
              <w:jc w:val="left"/>
              <w:rPr>
                <w:rFonts w:ascii="宋体" w:hAnsi="宋体" w:eastAsia="宋体" w:cs="宋体"/>
                <w:sz w:val="22"/>
                <w:szCs w:val="22"/>
              </w:rPr>
            </w:pPr>
            <w:r>
              <w:rPr>
                <w:rFonts w:ascii="宋体" w:hAnsi="宋体" w:eastAsia="宋体" w:cs="宋体"/>
                <w:sz w:val="22"/>
                <w:szCs w:val="22"/>
              </w:rPr>
              <w:t>（2）每增加1项一级及以上新（改）建公路工程大桥及以上的施工监理业绩加4分，最高加8分。</w:t>
            </w:r>
          </w:p>
          <w:p>
            <w:pPr>
              <w:spacing w:line="360" w:lineRule="auto"/>
              <w:ind w:left="110" w:right="110"/>
              <w:jc w:val="left"/>
              <w:rPr>
                <w:rFonts w:ascii="宋体" w:hAnsi="宋体" w:eastAsia="宋体" w:cs="宋体"/>
                <w:sz w:val="22"/>
                <w:szCs w:val="22"/>
              </w:rPr>
            </w:pPr>
            <w:r>
              <w:rPr>
                <w:rFonts w:ascii="宋体" w:hAnsi="宋体" w:eastAsia="宋体" w:cs="宋体"/>
                <w:b/>
                <w:sz w:val="22"/>
                <w:szCs w:val="22"/>
              </w:rPr>
              <w:t>B类别投标人</w:t>
            </w:r>
            <w:r>
              <w:rPr>
                <w:rFonts w:ascii="宋体" w:hAnsi="宋体" w:eastAsia="宋体" w:cs="宋体"/>
                <w:sz w:val="22"/>
                <w:szCs w:val="22"/>
              </w:rPr>
              <w:t>近五年（</w:t>
            </w:r>
            <w:r>
              <w:rPr>
                <w:rFonts w:hint="eastAsia" w:ascii="宋体" w:hAnsi="宋体" w:eastAsia="宋体" w:cs="宋体"/>
                <w:sz w:val="22"/>
                <w:szCs w:val="22"/>
                <w:lang w:eastAsia="zh-CN"/>
              </w:rPr>
              <w:t>2017年11月15日</w:t>
            </w:r>
            <w:r>
              <w:rPr>
                <w:rFonts w:ascii="宋体" w:hAnsi="宋体" w:eastAsia="宋体" w:cs="宋体"/>
                <w:sz w:val="22"/>
                <w:szCs w:val="22"/>
              </w:rPr>
              <w:t>至今）每增加1项钢结构工程的施工监理业绩（单跨跨度45m及以上）加4分，最高加16分。</w:t>
            </w:r>
          </w:p>
        </w:tc>
      </w:tr>
      <w:tr>
        <w:tblPrEx>
          <w:tblCellMar>
            <w:top w:w="0" w:type="dxa"/>
            <w:left w:w="10" w:type="dxa"/>
            <w:bottom w:w="0" w:type="dxa"/>
            <w:right w:w="10" w:type="dxa"/>
          </w:tblCellMar>
        </w:tblPrEx>
        <w:trPr>
          <w:trHeight w:val="734" w:hRule="atLeast"/>
        </w:trPr>
        <w:tc>
          <w:tcPr>
            <w:tcW w:w="885"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996"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99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tabs>
                <w:tab w:val="center" w:pos="4592"/>
                <w:tab w:val="left" w:pos="5921"/>
              </w:tabs>
              <w:jc w:val="center"/>
              <w:rPr>
                <w:rFonts w:ascii="宋体" w:hAnsi="宋体" w:eastAsia="宋体" w:cs="宋体"/>
                <w:sz w:val="22"/>
                <w:szCs w:val="22"/>
              </w:rPr>
            </w:pPr>
          </w:p>
        </w:tc>
        <w:tc>
          <w:tcPr>
            <w:tcW w:w="1082"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jc w:val="center"/>
              <w:rPr>
                <w:rFonts w:ascii="宋体" w:hAnsi="宋体" w:eastAsia="宋体" w:cs="宋体"/>
                <w:sz w:val="22"/>
                <w:szCs w:val="22"/>
              </w:rPr>
            </w:pPr>
            <w:r>
              <w:rPr>
                <w:rFonts w:ascii="宋体" w:hAnsi="宋体" w:eastAsia="宋体" w:cs="宋体"/>
                <w:sz w:val="22"/>
                <w:szCs w:val="22"/>
              </w:rPr>
              <w:t>信誉</w:t>
            </w:r>
          </w:p>
        </w:tc>
        <w:tc>
          <w:tcPr>
            <w:tcW w:w="686"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00" w:lineRule="auto"/>
              <w:ind w:left="110"/>
              <w:jc w:val="center"/>
              <w:rPr>
                <w:sz w:val="22"/>
                <w:szCs w:val="22"/>
              </w:rPr>
            </w:pPr>
            <w:r>
              <w:rPr>
                <w:rFonts w:ascii="Calibri" w:hAnsi="Calibri" w:eastAsia="Calibri" w:cs="Calibri"/>
                <w:sz w:val="22"/>
                <w:szCs w:val="22"/>
                <w:u w:val="single"/>
              </w:rPr>
              <w:t>5</w:t>
            </w:r>
            <w:r>
              <w:rPr>
                <w:rFonts w:ascii="宋体" w:hAnsi="宋体" w:eastAsia="宋体" w:cs="宋体"/>
                <w:sz w:val="22"/>
                <w:szCs w:val="22"/>
              </w:rPr>
              <w:t>分</w:t>
            </w:r>
          </w:p>
        </w:tc>
        <w:tc>
          <w:tcPr>
            <w:tcW w:w="3673" w:type="dxa"/>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360" w:lineRule="auto"/>
              <w:ind w:left="110" w:right="110"/>
              <w:jc w:val="left"/>
              <w:rPr>
                <w:rFonts w:ascii="宋体" w:hAnsi="宋体" w:eastAsia="宋体" w:cs="宋体"/>
                <w:sz w:val="22"/>
                <w:szCs w:val="22"/>
              </w:rPr>
            </w:pPr>
            <w:r>
              <w:rPr>
                <w:rFonts w:ascii="宋体" w:hAnsi="宋体" w:eastAsia="宋体" w:cs="宋体"/>
                <w:sz w:val="22"/>
                <w:szCs w:val="22"/>
              </w:rPr>
              <w:t>满足资格审查要求得3分。</w:t>
            </w:r>
          </w:p>
          <w:p>
            <w:pPr>
              <w:spacing w:line="360" w:lineRule="auto"/>
              <w:ind w:left="110" w:right="110"/>
              <w:jc w:val="left"/>
              <w:rPr>
                <w:rFonts w:ascii="宋体" w:hAnsi="宋体" w:eastAsia="宋体" w:cs="宋体"/>
                <w:sz w:val="22"/>
                <w:szCs w:val="22"/>
              </w:rPr>
            </w:pPr>
            <w:r>
              <w:rPr>
                <w:rFonts w:ascii="宋体" w:hAnsi="宋体" w:eastAsia="宋体" w:cs="宋体"/>
                <w:sz w:val="22"/>
                <w:szCs w:val="22"/>
              </w:rPr>
              <w:t>信用评价等级为“AA级”的投标人，加2分；信用评价等级为“A级”的投标人，加1分；信用评价等级为“B级”的投标人，不加分；信用评价等级为“C级”的投标人，扣1分。</w:t>
            </w:r>
          </w:p>
          <w:p>
            <w:pPr>
              <w:spacing w:line="360" w:lineRule="auto"/>
              <w:ind w:left="110" w:right="110"/>
              <w:jc w:val="left"/>
              <w:rPr>
                <w:rFonts w:ascii="宋体" w:hAnsi="宋体" w:eastAsia="宋体" w:cs="宋体"/>
                <w:sz w:val="22"/>
                <w:szCs w:val="22"/>
              </w:rPr>
            </w:pPr>
            <w:r>
              <w:rPr>
                <w:rFonts w:ascii="宋体" w:hAnsi="宋体" w:eastAsia="宋体" w:cs="宋体"/>
                <w:sz w:val="22"/>
                <w:szCs w:val="22"/>
              </w:rPr>
              <w:t>信用评价以山西省交通运输厅最新发布的公路施工监理企业信用评价结果为准。在山西省交通运输厅未取得信用评价，以交通运输部最新发布的公路施工监理企业信用评价结果为准，若交通运输部也没有信用评价的按B级对待。</w:t>
            </w:r>
          </w:p>
        </w:tc>
      </w:tr>
      <w:tr>
        <w:tblPrEx>
          <w:tblCellMar>
            <w:top w:w="0" w:type="dxa"/>
            <w:left w:w="10" w:type="dxa"/>
            <w:bottom w:w="0" w:type="dxa"/>
            <w:right w:w="10" w:type="dxa"/>
          </w:tblCellMar>
        </w:tblPrEx>
        <w:trPr>
          <w:trHeight w:val="1073" w:hRule="atLeast"/>
        </w:trPr>
        <w:tc>
          <w:tcPr>
            <w:tcW w:w="8316" w:type="dxa"/>
            <w:gridSpan w:val="6"/>
            <w:tcBorders>
              <w:top w:val="single" w:color="000000" w:sz="2" w:space="0"/>
              <w:left w:val="single" w:color="000000" w:sz="2" w:space="0"/>
              <w:bottom w:val="single" w:color="000000" w:sz="2" w:space="0"/>
              <w:right w:val="single" w:color="000000" w:sz="2" w:space="0"/>
            </w:tcBorders>
            <w:shd w:val="clear" w:color="000000" w:fill="FFFFFF"/>
            <w:noWrap w:val="0"/>
            <w:tcMar>
              <w:left w:w="0" w:type="dxa"/>
              <w:right w:w="0" w:type="dxa"/>
            </w:tcMar>
            <w:vAlign w:val="center"/>
          </w:tcPr>
          <w:p>
            <w:pPr>
              <w:spacing w:line="400" w:lineRule="auto"/>
              <w:ind w:firstLine="210"/>
              <w:jc w:val="left"/>
              <w:rPr>
                <w:rFonts w:ascii="宋体" w:hAnsi="宋体" w:eastAsia="宋体" w:cs="宋体"/>
                <w:sz w:val="22"/>
                <w:szCs w:val="22"/>
              </w:rPr>
            </w:pPr>
            <w:r>
              <w:rPr>
                <w:rFonts w:ascii="宋体" w:hAnsi="宋体" w:eastAsia="宋体" w:cs="宋体"/>
                <w:sz w:val="22"/>
                <w:szCs w:val="22"/>
              </w:rPr>
              <w:t>需要补充的其他内容：</w:t>
            </w:r>
          </w:p>
          <w:p>
            <w:pPr>
              <w:spacing w:line="400" w:lineRule="auto"/>
              <w:ind w:firstLine="210"/>
              <w:jc w:val="left"/>
              <w:rPr>
                <w:rFonts w:ascii="宋体" w:hAnsi="宋体" w:eastAsia="宋体" w:cs="宋体"/>
                <w:sz w:val="22"/>
                <w:szCs w:val="22"/>
              </w:rPr>
            </w:pPr>
            <w:r>
              <w:rPr>
                <w:rFonts w:ascii="宋体" w:hAnsi="宋体" w:eastAsia="宋体" w:cs="宋体"/>
                <w:sz w:val="22"/>
                <w:szCs w:val="22"/>
              </w:rPr>
              <w:t>本项目采用双信封综合评分法进行评标，评标办法正文第3条内容细化如下：</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3.评标程序</w:t>
            </w:r>
          </w:p>
          <w:p>
            <w:pPr>
              <w:spacing w:line="400" w:lineRule="auto"/>
              <w:ind w:firstLine="210"/>
              <w:jc w:val="left"/>
              <w:rPr>
                <w:rFonts w:ascii="宋体" w:hAnsi="宋体" w:eastAsia="宋体" w:cs="宋体"/>
                <w:sz w:val="22"/>
                <w:szCs w:val="22"/>
              </w:rPr>
            </w:pPr>
            <w:r>
              <w:rPr>
                <w:rFonts w:ascii="宋体" w:hAnsi="宋体" w:eastAsia="宋体" w:cs="宋体"/>
                <w:sz w:val="22"/>
                <w:szCs w:val="22"/>
              </w:rPr>
              <w:t>评标工作按以下程序进行：</w:t>
            </w:r>
          </w:p>
          <w:p>
            <w:pPr>
              <w:spacing w:line="400" w:lineRule="auto"/>
              <w:ind w:firstLine="211"/>
              <w:jc w:val="left"/>
              <w:rPr>
                <w:rFonts w:ascii="宋体" w:hAnsi="宋体" w:eastAsia="宋体" w:cs="宋体"/>
                <w:b/>
                <w:sz w:val="22"/>
                <w:szCs w:val="22"/>
              </w:rPr>
            </w:pPr>
            <w:r>
              <w:rPr>
                <w:rFonts w:ascii="宋体" w:hAnsi="宋体" w:eastAsia="宋体" w:cs="宋体"/>
                <w:b/>
                <w:sz w:val="22"/>
                <w:szCs w:val="22"/>
              </w:rPr>
              <w:t>3.1   第一个信封初步评审</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3.1.1 评标委员会依据本章第2.1款规定的标准对投标文件第一个信封（商务及技术文件）进行初步评审。有一项不符合评审标准的，评标委员会应否决其投标。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3.1.2  A类别中解密的投标人不足6个时或通过第一个信封评审的投标人不足6个时，B类别中解密的投标人不足3个时或通过第一个信封评审的投标人不足3个时，相应类别投标人的第二个信封均不予开标，招标人将重新组织招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3.1.3根据投标人须知附件1：开标标段确定办法载明的办法抽取各标段准予开标的投标人。投标人编号按照该类别中投标人第一信封文件上传时间排序，从1，2，3，4，5……X进行排序，X为该类别中所有通过第一信封评审的投标人数量。</w:t>
            </w:r>
          </w:p>
          <w:p>
            <w:pPr>
              <w:spacing w:line="400" w:lineRule="auto"/>
              <w:ind w:firstLine="211"/>
              <w:jc w:val="left"/>
              <w:rPr>
                <w:rFonts w:ascii="宋体" w:hAnsi="宋体" w:eastAsia="宋体" w:cs="宋体"/>
                <w:b/>
                <w:sz w:val="22"/>
                <w:szCs w:val="22"/>
              </w:rPr>
            </w:pPr>
            <w:r>
              <w:rPr>
                <w:rFonts w:ascii="宋体" w:hAnsi="宋体" w:eastAsia="宋体" w:cs="宋体"/>
                <w:b/>
                <w:sz w:val="22"/>
                <w:szCs w:val="22"/>
              </w:rPr>
              <w:t>3.2第一个信封详细评审</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3.2.1 评标委员会按本章第 2.2 款规定的量化因素和分值进行打分，并计算出各投标人的商务和技术得分 。</w:t>
            </w:r>
          </w:p>
          <w:p>
            <w:pPr>
              <w:spacing w:line="400" w:lineRule="auto"/>
              <w:ind w:firstLine="210"/>
              <w:jc w:val="left"/>
              <w:rPr>
                <w:rFonts w:ascii="宋体" w:hAnsi="宋体" w:eastAsia="宋体" w:cs="宋体"/>
                <w:sz w:val="22"/>
                <w:szCs w:val="22"/>
              </w:rPr>
            </w:pPr>
            <w:r>
              <w:rPr>
                <w:rFonts w:ascii="宋体" w:hAnsi="宋体" w:eastAsia="宋体" w:cs="宋体"/>
                <w:sz w:val="22"/>
                <w:szCs w:val="22"/>
              </w:rPr>
              <w:t>(1) 按本章第 2.2.4 项(1)目规定的评审因素和分值对技术建议书部分计算出得分A；</w:t>
            </w:r>
          </w:p>
          <w:p>
            <w:pPr>
              <w:spacing w:line="400" w:lineRule="auto"/>
              <w:ind w:firstLine="210"/>
              <w:jc w:val="left"/>
              <w:rPr>
                <w:rFonts w:ascii="宋体" w:hAnsi="宋体" w:eastAsia="宋体" w:cs="宋体"/>
                <w:sz w:val="22"/>
                <w:szCs w:val="22"/>
              </w:rPr>
            </w:pPr>
            <w:r>
              <w:rPr>
                <w:rFonts w:ascii="宋体" w:hAnsi="宋体" w:eastAsia="宋体" w:cs="宋体"/>
                <w:sz w:val="22"/>
                <w:szCs w:val="22"/>
              </w:rPr>
              <w:t>(2) 按本章第 2.2.4 项(2)目规定的评审因素和分值对主要人员部分计算出得分 B；</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 按本章第 2.2.4 项(4)目规定的评审因素和分值对其他部分计算出得分D。</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3.2.2 投标人的商务和技术得分分值计算保留小数点后两位，小数点后第三位“四舍五入”。</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3.2.3 投标人的商务和技术得分A+B+D。</w:t>
            </w:r>
          </w:p>
          <w:p>
            <w:pPr>
              <w:spacing w:line="400" w:lineRule="auto"/>
              <w:ind w:firstLine="211"/>
              <w:jc w:val="left"/>
              <w:rPr>
                <w:rFonts w:ascii="宋体" w:hAnsi="宋体" w:eastAsia="宋体" w:cs="宋体"/>
                <w:b/>
                <w:sz w:val="22"/>
                <w:szCs w:val="22"/>
              </w:rPr>
            </w:pPr>
            <w:r>
              <w:rPr>
                <w:rFonts w:ascii="宋体" w:hAnsi="宋体" w:eastAsia="宋体" w:cs="宋体"/>
                <w:b/>
                <w:sz w:val="22"/>
                <w:szCs w:val="22"/>
              </w:rPr>
              <w:t>3.3 第二个信封开标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第一个信封（商务及技术文件）评审结束后，招标人将按照第二章“投标人须知”第5.1款规定的时间和地点对通过投标文件第一个信封（商务及技术文件）评审的投标文件第二个信封（报价文件）进行开标（解密不足3家，不再进行后续评审）。</w:t>
            </w:r>
          </w:p>
          <w:p>
            <w:pPr>
              <w:spacing w:line="400" w:lineRule="auto"/>
              <w:ind w:firstLine="211"/>
              <w:jc w:val="left"/>
              <w:rPr>
                <w:rFonts w:ascii="宋体" w:hAnsi="宋体" w:eastAsia="宋体" w:cs="宋体"/>
                <w:b/>
                <w:sz w:val="22"/>
                <w:szCs w:val="22"/>
              </w:rPr>
            </w:pPr>
            <w:r>
              <w:rPr>
                <w:rFonts w:ascii="宋体" w:hAnsi="宋体" w:eastAsia="宋体" w:cs="宋体"/>
                <w:b/>
                <w:sz w:val="22"/>
                <w:szCs w:val="22"/>
              </w:rPr>
              <w:t>3.4第二个信封初步评审</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3.4.1第二个信封的初步评审</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3.4.1 评标委员会依据本章第 2.1.1 项、第 2. 1.3 项规定的评审标准对投标文件第二个信封（报价文件）进行初步评审。有一项不符合评审标准的，评标委员会应否决其投标。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3.4.2 投标报价有算术错误的，评标委员会按以下原则对投标报价进行修正，修正的价格经投标人书面确认后具有约束力。投标人不接受修正价格的，评标委员会应否决其投标 。</w:t>
            </w:r>
          </w:p>
          <w:p>
            <w:pPr>
              <w:spacing w:line="400" w:lineRule="auto"/>
              <w:ind w:firstLine="210"/>
              <w:jc w:val="left"/>
              <w:rPr>
                <w:rFonts w:ascii="宋体" w:hAnsi="宋体" w:eastAsia="宋体" w:cs="宋体"/>
                <w:sz w:val="22"/>
                <w:szCs w:val="22"/>
              </w:rPr>
            </w:pPr>
            <w:r>
              <w:rPr>
                <w:rFonts w:ascii="宋体" w:hAnsi="宋体" w:eastAsia="宋体" w:cs="宋体"/>
                <w:sz w:val="22"/>
                <w:szCs w:val="22"/>
              </w:rPr>
              <w:t>(1) 投标文件中的大写金额与小写金额不一致的，以大写金额为准；</w:t>
            </w:r>
          </w:p>
          <w:p>
            <w:pPr>
              <w:spacing w:line="400" w:lineRule="auto"/>
              <w:ind w:firstLine="210"/>
              <w:jc w:val="left"/>
              <w:rPr>
                <w:rFonts w:ascii="宋体" w:hAnsi="宋体" w:eastAsia="宋体" w:cs="宋体"/>
                <w:sz w:val="22"/>
                <w:szCs w:val="22"/>
              </w:rPr>
            </w:pPr>
            <w:r>
              <w:rPr>
                <w:rFonts w:ascii="宋体" w:hAnsi="宋体" w:eastAsia="宋体" w:cs="宋体"/>
                <w:sz w:val="22"/>
                <w:szCs w:val="22"/>
              </w:rPr>
              <w:t>(2) 总价金额与依据合价计算出的结果不一致的，以总价金额为准修正合价，但合价金额小数点有明显错误的除外；</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3.4.3 修正后的最终投标报价若超过最高投标限价（如有），评标委员会应否决其投标。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3.4.4 修正后的最终投标报价仅作为签订合同的一个依据，不参与评标价得分的计算。</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3.5  第二个信封详细评审</w:t>
            </w:r>
          </w:p>
          <w:p>
            <w:pPr>
              <w:spacing w:line="400" w:lineRule="auto"/>
              <w:ind w:firstLine="211"/>
              <w:jc w:val="left"/>
              <w:rPr>
                <w:rFonts w:ascii="宋体" w:hAnsi="宋体" w:eastAsia="宋体" w:cs="宋体"/>
                <w:b/>
                <w:sz w:val="22"/>
                <w:szCs w:val="22"/>
              </w:rPr>
            </w:pPr>
            <w:r>
              <w:rPr>
                <w:rFonts w:ascii="宋体" w:hAnsi="宋体" w:eastAsia="宋体" w:cs="宋体"/>
                <w:b/>
                <w:sz w:val="22"/>
                <w:szCs w:val="22"/>
              </w:rPr>
              <w:t>3.5第二个信封详细评审</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3.5.1 评标委员会按本章第2.2.4项（3）目规定的评审因素和分值对评标价计算出得分 C。评标价得分分值计算保留小数点后两位，小数点后第三位“四舍五入”。</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3.5.2 投标人综合得分=投标人的商务和技术得分＋C。</w:t>
            </w:r>
          </w:p>
          <w:p>
            <w:pPr>
              <w:spacing w:line="400" w:lineRule="auto"/>
              <w:ind w:firstLine="210"/>
              <w:jc w:val="left"/>
              <w:rPr>
                <w:rFonts w:hint="eastAsia" w:ascii="宋体" w:hAnsi="宋体" w:eastAsia="宋体" w:cs="宋体"/>
                <w:sz w:val="22"/>
                <w:szCs w:val="22"/>
                <w:highlight w:val="yellow"/>
                <w:lang w:eastAsia="zh-CN"/>
              </w:rPr>
            </w:pPr>
            <w:r>
              <w:rPr>
                <w:rFonts w:ascii="宋体" w:hAnsi="宋体" w:eastAsia="宋体" w:cs="宋体"/>
                <w:sz w:val="22"/>
                <w:szCs w:val="22"/>
              </w:rPr>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400" w:lineRule="auto"/>
              <w:ind w:firstLine="211"/>
              <w:jc w:val="left"/>
              <w:rPr>
                <w:rFonts w:ascii="宋体" w:hAnsi="宋体" w:eastAsia="宋体" w:cs="宋体"/>
                <w:b/>
                <w:sz w:val="22"/>
                <w:szCs w:val="22"/>
              </w:rPr>
            </w:pPr>
            <w:r>
              <w:rPr>
                <w:rFonts w:ascii="宋体" w:hAnsi="宋体" w:eastAsia="宋体" w:cs="宋体"/>
                <w:b/>
                <w:sz w:val="22"/>
                <w:szCs w:val="22"/>
              </w:rPr>
              <w:t>3.6投标文件相关信息的核查</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3.6.1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3.6.2 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（1）有下列情形之一的，属于投标人相互串通投标：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a.投标人之间协商投标报价等投标文件的实质性内容；</w:t>
            </w:r>
          </w:p>
          <w:p>
            <w:pPr>
              <w:spacing w:line="400" w:lineRule="auto"/>
              <w:ind w:firstLine="210"/>
              <w:jc w:val="left"/>
              <w:rPr>
                <w:rFonts w:ascii="宋体" w:hAnsi="宋体" w:eastAsia="宋体" w:cs="宋体"/>
                <w:sz w:val="22"/>
                <w:szCs w:val="22"/>
              </w:rPr>
            </w:pPr>
            <w:r>
              <w:rPr>
                <w:rFonts w:ascii="宋体" w:hAnsi="宋体" w:eastAsia="宋体" w:cs="宋体"/>
                <w:sz w:val="22"/>
                <w:szCs w:val="22"/>
              </w:rPr>
              <w:t>b.投标人之间约定中标人；</w:t>
            </w:r>
          </w:p>
          <w:p>
            <w:pPr>
              <w:spacing w:line="400" w:lineRule="auto"/>
              <w:ind w:firstLine="210"/>
              <w:jc w:val="left"/>
              <w:rPr>
                <w:rFonts w:ascii="宋体" w:hAnsi="宋体" w:eastAsia="宋体" w:cs="宋体"/>
                <w:sz w:val="22"/>
                <w:szCs w:val="22"/>
              </w:rPr>
            </w:pPr>
            <w:r>
              <w:rPr>
                <w:rFonts w:ascii="宋体" w:hAnsi="宋体" w:eastAsia="宋体" w:cs="宋体"/>
                <w:sz w:val="22"/>
                <w:szCs w:val="22"/>
              </w:rPr>
              <w:t>c.投标人之间约定部分投标人放弃投标或中标；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d.属于同一集团、协会、商会等组织成员的投标人按照该组织要求协同投标；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e.投标人之间为谋取中标或排斥特定投标人而采取的其他联合行动。</w:t>
            </w:r>
          </w:p>
          <w:p>
            <w:pPr>
              <w:spacing w:line="400" w:lineRule="auto"/>
              <w:ind w:firstLine="210"/>
              <w:jc w:val="left"/>
              <w:rPr>
                <w:rFonts w:ascii="宋体" w:hAnsi="宋体" w:eastAsia="宋体" w:cs="宋体"/>
                <w:sz w:val="22"/>
                <w:szCs w:val="22"/>
              </w:rPr>
            </w:pPr>
            <w:r>
              <w:rPr>
                <w:rFonts w:ascii="宋体" w:hAnsi="宋体" w:eastAsia="宋体" w:cs="宋体"/>
                <w:sz w:val="22"/>
                <w:szCs w:val="22"/>
              </w:rPr>
              <w:t>（2）有下列情形之一的，视为投标人相互串通投标：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a.不同投标人的投标文件由同一单位或个人编制；</w:t>
            </w:r>
          </w:p>
          <w:p>
            <w:pPr>
              <w:spacing w:line="400" w:lineRule="auto"/>
              <w:ind w:firstLine="210"/>
              <w:jc w:val="left"/>
              <w:rPr>
                <w:rFonts w:ascii="宋体" w:hAnsi="宋体" w:eastAsia="宋体" w:cs="宋体"/>
                <w:sz w:val="22"/>
                <w:szCs w:val="22"/>
              </w:rPr>
            </w:pPr>
            <w:r>
              <w:rPr>
                <w:rFonts w:ascii="宋体" w:hAnsi="宋体" w:eastAsia="宋体" w:cs="宋体"/>
                <w:sz w:val="22"/>
                <w:szCs w:val="22"/>
              </w:rPr>
              <w:t>b.不同投标人委托同一单位或个人办理投标事宜；</w:t>
            </w:r>
          </w:p>
          <w:p>
            <w:pPr>
              <w:spacing w:line="400" w:lineRule="auto"/>
              <w:ind w:firstLine="210"/>
              <w:jc w:val="left"/>
              <w:rPr>
                <w:rFonts w:ascii="宋体" w:hAnsi="宋体" w:eastAsia="宋体" w:cs="宋体"/>
                <w:sz w:val="22"/>
                <w:szCs w:val="22"/>
              </w:rPr>
            </w:pPr>
            <w:r>
              <w:rPr>
                <w:rFonts w:ascii="宋体" w:hAnsi="宋体" w:eastAsia="宋体" w:cs="宋体"/>
                <w:sz w:val="22"/>
                <w:szCs w:val="22"/>
              </w:rPr>
              <w:t>c.不同投标人的投标文件载明的项目管理成员为同一人；</w:t>
            </w:r>
          </w:p>
          <w:p>
            <w:pPr>
              <w:spacing w:line="400" w:lineRule="auto"/>
              <w:ind w:firstLine="210"/>
              <w:jc w:val="left"/>
              <w:rPr>
                <w:rFonts w:ascii="宋体" w:hAnsi="宋体" w:eastAsia="宋体" w:cs="宋体"/>
                <w:sz w:val="22"/>
                <w:szCs w:val="22"/>
              </w:rPr>
            </w:pPr>
            <w:r>
              <w:rPr>
                <w:rFonts w:ascii="宋体" w:hAnsi="宋体" w:eastAsia="宋体" w:cs="宋体"/>
                <w:sz w:val="22"/>
                <w:szCs w:val="22"/>
              </w:rPr>
              <w:t>d.不同投标人的投标文件异常一致或投标报价呈规律性差异；</w:t>
            </w:r>
          </w:p>
          <w:p>
            <w:pPr>
              <w:spacing w:line="400" w:lineRule="auto"/>
              <w:ind w:firstLine="210"/>
              <w:jc w:val="left"/>
              <w:rPr>
                <w:rFonts w:ascii="宋体" w:hAnsi="宋体" w:eastAsia="宋体" w:cs="宋体"/>
                <w:sz w:val="22"/>
                <w:szCs w:val="22"/>
              </w:rPr>
            </w:pPr>
            <w:r>
              <w:rPr>
                <w:rFonts w:ascii="宋体" w:hAnsi="宋体" w:eastAsia="宋体" w:cs="宋体"/>
                <w:sz w:val="22"/>
                <w:szCs w:val="22"/>
              </w:rPr>
              <w:t>e.不同投标人的投标文件相互混装；</w:t>
            </w:r>
          </w:p>
          <w:p>
            <w:pPr>
              <w:spacing w:line="400" w:lineRule="auto"/>
              <w:ind w:firstLine="210"/>
              <w:jc w:val="left"/>
              <w:rPr>
                <w:rFonts w:ascii="宋体" w:hAnsi="宋体" w:eastAsia="宋体" w:cs="宋体"/>
                <w:sz w:val="22"/>
                <w:szCs w:val="22"/>
              </w:rPr>
            </w:pPr>
            <w:r>
              <w:rPr>
                <w:rFonts w:ascii="宋体" w:hAnsi="宋体" w:eastAsia="宋体" w:cs="宋体"/>
                <w:sz w:val="22"/>
                <w:szCs w:val="22"/>
              </w:rPr>
              <w:t>f.不同投标人的投标保证金从同一单位或个人的账户转出；</w:t>
            </w:r>
          </w:p>
          <w:p>
            <w:pPr>
              <w:spacing w:line="400" w:lineRule="auto"/>
              <w:ind w:firstLine="210"/>
              <w:jc w:val="left"/>
              <w:rPr>
                <w:rFonts w:ascii="宋体" w:hAnsi="宋体" w:eastAsia="宋体" w:cs="宋体"/>
                <w:sz w:val="22"/>
                <w:szCs w:val="22"/>
              </w:rPr>
            </w:pPr>
            <w:r>
              <w:rPr>
                <w:rFonts w:ascii="宋体" w:hAnsi="宋体" w:eastAsia="宋体" w:cs="宋体"/>
                <w:sz w:val="22"/>
                <w:szCs w:val="22"/>
              </w:rPr>
              <w:t>g.不同投标人的CA数字证书混用。</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（3）有下列情形之一的，属于招标人与投标人串通投标：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a.招标人在开标前开启投标文件并将有关信息泄露给其他投标人;</w:t>
            </w:r>
          </w:p>
          <w:p>
            <w:pPr>
              <w:spacing w:line="400" w:lineRule="auto"/>
              <w:ind w:firstLine="210"/>
              <w:jc w:val="left"/>
              <w:rPr>
                <w:rFonts w:ascii="宋体" w:hAnsi="宋体" w:eastAsia="宋体" w:cs="宋体"/>
                <w:sz w:val="22"/>
                <w:szCs w:val="22"/>
              </w:rPr>
            </w:pPr>
            <w:r>
              <w:rPr>
                <w:rFonts w:ascii="宋体" w:hAnsi="宋体" w:eastAsia="宋体" w:cs="宋体"/>
                <w:sz w:val="22"/>
                <w:szCs w:val="22"/>
              </w:rPr>
              <w:t>b.招标人直接或间接向投标人泄露标底、评标委员会成员等信息；</w:t>
            </w:r>
          </w:p>
          <w:p>
            <w:pPr>
              <w:spacing w:line="400" w:lineRule="auto"/>
              <w:ind w:firstLine="210"/>
              <w:jc w:val="left"/>
              <w:rPr>
                <w:rFonts w:ascii="宋体" w:hAnsi="宋体" w:eastAsia="宋体" w:cs="宋体"/>
                <w:sz w:val="22"/>
                <w:szCs w:val="22"/>
              </w:rPr>
            </w:pPr>
            <w:r>
              <w:rPr>
                <w:rFonts w:ascii="宋体" w:hAnsi="宋体" w:eastAsia="宋体" w:cs="宋体"/>
                <w:sz w:val="22"/>
                <w:szCs w:val="22"/>
              </w:rPr>
              <w:t>c.招标人明示或暗示投标人压低或抬高投标报价；</w:t>
            </w:r>
          </w:p>
          <w:p>
            <w:pPr>
              <w:spacing w:line="400" w:lineRule="auto"/>
              <w:ind w:firstLine="210"/>
              <w:jc w:val="left"/>
              <w:rPr>
                <w:rFonts w:ascii="宋体" w:hAnsi="宋体" w:eastAsia="宋体" w:cs="宋体"/>
                <w:sz w:val="22"/>
                <w:szCs w:val="22"/>
              </w:rPr>
            </w:pPr>
            <w:r>
              <w:rPr>
                <w:rFonts w:ascii="宋体" w:hAnsi="宋体" w:eastAsia="宋体" w:cs="宋体"/>
                <w:sz w:val="22"/>
                <w:szCs w:val="22"/>
              </w:rPr>
              <w:t>d.招标人授意投标人撤换、修改投标文件；</w:t>
            </w:r>
          </w:p>
          <w:p>
            <w:pPr>
              <w:spacing w:line="400" w:lineRule="auto"/>
              <w:ind w:firstLine="210"/>
              <w:jc w:val="left"/>
              <w:rPr>
                <w:rFonts w:ascii="宋体" w:hAnsi="宋体" w:eastAsia="宋体" w:cs="宋体"/>
                <w:sz w:val="22"/>
                <w:szCs w:val="22"/>
              </w:rPr>
            </w:pPr>
            <w:r>
              <w:rPr>
                <w:rFonts w:ascii="宋体" w:hAnsi="宋体" w:eastAsia="宋体" w:cs="宋体"/>
                <w:sz w:val="22"/>
                <w:szCs w:val="22"/>
              </w:rPr>
              <w:t>e.招标人明示或暗示投标人为特定投标人中标提供方便；</w:t>
            </w:r>
          </w:p>
          <w:p>
            <w:pPr>
              <w:spacing w:line="400" w:lineRule="auto"/>
              <w:ind w:firstLine="210"/>
              <w:jc w:val="left"/>
              <w:rPr>
                <w:rFonts w:ascii="宋体" w:hAnsi="宋体" w:eastAsia="宋体" w:cs="宋体"/>
                <w:sz w:val="22"/>
                <w:szCs w:val="22"/>
              </w:rPr>
            </w:pPr>
            <w:r>
              <w:rPr>
                <w:rFonts w:ascii="宋体" w:hAnsi="宋体" w:eastAsia="宋体" w:cs="宋体"/>
                <w:sz w:val="22"/>
                <w:szCs w:val="22"/>
              </w:rPr>
              <w:t>f.招标人与投标人为谋求特定投标人中标而采取的其他串通行为。</w:t>
            </w:r>
          </w:p>
          <w:p>
            <w:pPr>
              <w:spacing w:line="400" w:lineRule="auto"/>
              <w:ind w:firstLine="210"/>
              <w:jc w:val="left"/>
              <w:rPr>
                <w:rFonts w:ascii="宋体" w:hAnsi="宋体" w:eastAsia="宋体" w:cs="宋体"/>
                <w:sz w:val="22"/>
                <w:szCs w:val="22"/>
              </w:rPr>
            </w:pPr>
            <w:r>
              <w:rPr>
                <w:rFonts w:ascii="宋体" w:hAnsi="宋体" w:eastAsia="宋体" w:cs="宋体"/>
                <w:sz w:val="22"/>
                <w:szCs w:val="22"/>
              </w:rPr>
              <w:t>（4）投标人有下列情形之一的，属于弄虚作假的行为：</w:t>
            </w:r>
          </w:p>
          <w:p>
            <w:pPr>
              <w:spacing w:line="400" w:lineRule="auto"/>
              <w:ind w:firstLine="210"/>
              <w:jc w:val="left"/>
              <w:rPr>
                <w:rFonts w:ascii="宋体" w:hAnsi="宋体" w:eastAsia="宋体" w:cs="宋体"/>
                <w:sz w:val="22"/>
                <w:szCs w:val="22"/>
              </w:rPr>
            </w:pPr>
            <w:r>
              <w:rPr>
                <w:rFonts w:ascii="宋体" w:hAnsi="宋体" w:eastAsia="宋体" w:cs="宋体"/>
                <w:sz w:val="22"/>
                <w:szCs w:val="22"/>
              </w:rPr>
              <w:t>a.使用通过受让或租借等方式获取的资格、资质证书投标；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b.使用伪造、变造的许可证件；</w:t>
            </w:r>
          </w:p>
          <w:p>
            <w:pPr>
              <w:spacing w:line="400" w:lineRule="auto"/>
              <w:ind w:firstLine="210"/>
              <w:jc w:val="left"/>
              <w:rPr>
                <w:rFonts w:ascii="宋体" w:hAnsi="宋体" w:eastAsia="宋体" w:cs="宋体"/>
                <w:sz w:val="22"/>
                <w:szCs w:val="22"/>
              </w:rPr>
            </w:pPr>
            <w:r>
              <w:rPr>
                <w:rFonts w:ascii="宋体" w:hAnsi="宋体" w:eastAsia="宋体" w:cs="宋体"/>
                <w:sz w:val="22"/>
                <w:szCs w:val="22"/>
              </w:rPr>
              <w:t>c.提供虚假的财务状况或业绩；</w:t>
            </w:r>
          </w:p>
          <w:p>
            <w:pPr>
              <w:spacing w:line="400" w:lineRule="auto"/>
              <w:ind w:firstLine="210"/>
              <w:jc w:val="left"/>
              <w:rPr>
                <w:rFonts w:ascii="宋体" w:hAnsi="宋体" w:eastAsia="宋体" w:cs="宋体"/>
                <w:sz w:val="22"/>
                <w:szCs w:val="22"/>
              </w:rPr>
            </w:pPr>
            <w:r>
              <w:rPr>
                <w:rFonts w:ascii="宋体" w:hAnsi="宋体" w:eastAsia="宋体" w:cs="宋体"/>
                <w:sz w:val="22"/>
                <w:szCs w:val="22"/>
              </w:rPr>
              <w:t>d.提供虚假的项目负责人或主要技术人员简历、劳动关系证明；</w:t>
            </w:r>
          </w:p>
          <w:p>
            <w:pPr>
              <w:spacing w:line="400" w:lineRule="auto"/>
              <w:ind w:firstLine="210"/>
              <w:jc w:val="left"/>
              <w:rPr>
                <w:rFonts w:ascii="宋体" w:hAnsi="宋体" w:eastAsia="宋体" w:cs="宋体"/>
                <w:sz w:val="22"/>
                <w:szCs w:val="22"/>
              </w:rPr>
            </w:pPr>
            <w:r>
              <w:rPr>
                <w:rFonts w:ascii="宋体" w:hAnsi="宋体" w:eastAsia="宋体" w:cs="宋体"/>
                <w:sz w:val="22"/>
                <w:szCs w:val="22"/>
              </w:rPr>
              <w:t>e.提供虚假的信用状况；</w:t>
            </w:r>
          </w:p>
          <w:p>
            <w:pPr>
              <w:spacing w:line="400" w:lineRule="auto"/>
              <w:ind w:firstLine="210"/>
              <w:jc w:val="left"/>
              <w:rPr>
                <w:rFonts w:ascii="宋体" w:hAnsi="宋体" w:eastAsia="宋体" w:cs="宋体"/>
                <w:sz w:val="22"/>
                <w:szCs w:val="22"/>
              </w:rPr>
            </w:pPr>
            <w:r>
              <w:rPr>
                <w:rFonts w:ascii="宋体" w:hAnsi="宋体" w:eastAsia="宋体" w:cs="宋体"/>
                <w:sz w:val="22"/>
                <w:szCs w:val="22"/>
              </w:rPr>
              <w:t>f.其他弄虚作假的行为。</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3.6.3投标人存在晋交建管发【2021】2号文规定的，否决其投标：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（1）不同投标人间不得有下列情形：</w:t>
            </w:r>
          </w:p>
          <w:p>
            <w:pPr>
              <w:spacing w:line="400" w:lineRule="auto"/>
              <w:ind w:firstLine="210"/>
              <w:jc w:val="left"/>
              <w:rPr>
                <w:rFonts w:ascii="宋体" w:hAnsi="宋体" w:eastAsia="宋体" w:cs="宋体"/>
                <w:sz w:val="22"/>
                <w:szCs w:val="22"/>
              </w:rPr>
            </w:pPr>
            <w:r>
              <w:rPr>
                <w:rFonts w:ascii="宋体" w:hAnsi="宋体" w:eastAsia="宋体" w:cs="宋体"/>
                <w:sz w:val="22"/>
                <w:szCs w:val="22"/>
              </w:rPr>
              <w:t>a.不同投标人的投标文件由同一电子设备编制、打印加密或者上传；</w:t>
            </w:r>
          </w:p>
          <w:p>
            <w:pPr>
              <w:spacing w:line="400" w:lineRule="auto"/>
              <w:ind w:firstLine="210"/>
              <w:jc w:val="left"/>
              <w:rPr>
                <w:rFonts w:ascii="宋体" w:hAnsi="宋体" w:eastAsia="宋体" w:cs="宋体"/>
                <w:sz w:val="22"/>
                <w:szCs w:val="22"/>
              </w:rPr>
            </w:pPr>
            <w:r>
              <w:rPr>
                <w:rFonts w:ascii="宋体" w:hAnsi="宋体" w:eastAsia="宋体" w:cs="宋体"/>
                <w:sz w:val="22"/>
                <w:szCs w:val="22"/>
              </w:rPr>
              <w:t>b.不同投标人的投标文件的实质性内容存在两处以上细节错误一致；</w:t>
            </w:r>
          </w:p>
          <w:p>
            <w:pPr>
              <w:spacing w:line="400" w:lineRule="auto"/>
              <w:ind w:firstLine="210"/>
              <w:jc w:val="left"/>
              <w:rPr>
                <w:rFonts w:ascii="宋体" w:hAnsi="宋体" w:eastAsia="宋体" w:cs="宋体"/>
                <w:sz w:val="22"/>
                <w:szCs w:val="22"/>
              </w:rPr>
            </w:pPr>
            <w:r>
              <w:rPr>
                <w:rFonts w:ascii="宋体" w:hAnsi="宋体" w:eastAsia="宋体" w:cs="宋体"/>
                <w:sz w:val="22"/>
                <w:szCs w:val="22"/>
              </w:rPr>
              <w:t>c.电子投标文件记录的MAC地址、硬盘序列号等硬件信息出现任一相同情况，包含不同投标人在不同批次投标活动中信息相同情况；</w:t>
            </w:r>
          </w:p>
          <w:p>
            <w:pPr>
              <w:spacing w:line="400" w:lineRule="auto"/>
              <w:ind w:firstLine="210"/>
              <w:jc w:val="left"/>
              <w:rPr>
                <w:rFonts w:ascii="宋体" w:hAnsi="宋体" w:eastAsia="宋体" w:cs="宋体"/>
                <w:sz w:val="22"/>
                <w:szCs w:val="22"/>
              </w:rPr>
            </w:pPr>
            <w:r>
              <w:rPr>
                <w:rFonts w:ascii="宋体" w:hAnsi="宋体" w:eastAsia="宋体" w:cs="宋体"/>
                <w:sz w:val="22"/>
                <w:szCs w:val="22"/>
              </w:rPr>
              <w:t>d.投标文件的制作、记录上传IP地址，投标人购买招标文件IP地址等信息出现任一相同情况。</w:t>
            </w:r>
          </w:p>
          <w:p>
            <w:pPr>
              <w:spacing w:line="400" w:lineRule="auto"/>
              <w:ind w:firstLine="210"/>
              <w:jc w:val="left"/>
              <w:rPr>
                <w:rFonts w:ascii="宋体" w:hAnsi="宋体" w:eastAsia="宋体" w:cs="宋体"/>
                <w:sz w:val="22"/>
                <w:szCs w:val="22"/>
              </w:rPr>
            </w:pPr>
            <w:r>
              <w:rPr>
                <w:rFonts w:ascii="宋体" w:hAnsi="宋体" w:eastAsia="宋体" w:cs="宋体"/>
                <w:sz w:val="22"/>
                <w:szCs w:val="22"/>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（3）发现（1）所列情形的，招标人在评标结束后，应就相关投标人是否涉嫌围标串标行为进行调查取证，形成明确认定意见，逐级备案至交通运输主管部门。</w:t>
            </w:r>
          </w:p>
          <w:p>
            <w:pPr>
              <w:spacing w:line="400" w:lineRule="auto"/>
              <w:ind w:firstLine="211"/>
              <w:jc w:val="left"/>
              <w:rPr>
                <w:rFonts w:ascii="宋体" w:hAnsi="宋体" w:eastAsia="宋体" w:cs="宋体"/>
                <w:b/>
                <w:sz w:val="22"/>
                <w:szCs w:val="22"/>
              </w:rPr>
            </w:pPr>
            <w:r>
              <w:rPr>
                <w:rFonts w:ascii="宋体" w:hAnsi="宋体" w:eastAsia="宋体" w:cs="宋体"/>
                <w:b/>
                <w:sz w:val="22"/>
                <w:szCs w:val="22"/>
              </w:rPr>
              <w:t>3.7  投标文件的澄清和说明</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3.7.2 澄清和说明不得超出投标文件的范围或改变投标文件的实质性内容（算术性错误的修正除外。投标人的书面澄清、说明属于投标文件的组成部分。</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3.7.3 评标委员会不得暗示或诱导投标人作出澄清、说明，对投标人提交的澄清、说明有疑问的，可以要求投标人进一步澄清或说明，直至满足评标委员会的要求。</w:t>
            </w:r>
          </w:p>
          <w:p>
            <w:pPr>
              <w:spacing w:line="400" w:lineRule="auto"/>
              <w:ind w:firstLine="210"/>
              <w:jc w:val="left"/>
              <w:rPr>
                <w:rFonts w:ascii="宋体" w:hAnsi="宋体" w:eastAsia="宋体" w:cs="宋体"/>
                <w:sz w:val="22"/>
                <w:szCs w:val="22"/>
              </w:rPr>
            </w:pPr>
            <w:r>
              <w:rPr>
                <w:rFonts w:ascii="宋体" w:hAnsi="宋体" w:eastAsia="宋体" w:cs="宋体"/>
                <w:sz w:val="22"/>
                <w:szCs w:val="22"/>
              </w:rPr>
              <w:t>3.7.4 凡超出招标文件规定的或给委托人带来未曾要求的利益的变化、偏差或其他因素在评标时不予考虑 。</w:t>
            </w:r>
          </w:p>
          <w:p>
            <w:pPr>
              <w:spacing w:line="400" w:lineRule="auto"/>
              <w:ind w:firstLine="211"/>
              <w:jc w:val="left"/>
              <w:rPr>
                <w:rFonts w:ascii="宋体" w:hAnsi="宋体" w:eastAsia="宋体" w:cs="宋体"/>
                <w:b/>
                <w:sz w:val="22"/>
                <w:szCs w:val="22"/>
              </w:rPr>
            </w:pPr>
            <w:r>
              <w:rPr>
                <w:rFonts w:ascii="宋体" w:hAnsi="宋体" w:eastAsia="宋体" w:cs="宋体"/>
                <w:b/>
                <w:sz w:val="22"/>
                <w:szCs w:val="22"/>
              </w:rPr>
              <w:t>3.8  不得否决投标的情形</w:t>
            </w:r>
          </w:p>
          <w:p>
            <w:pPr>
              <w:spacing w:line="400" w:lineRule="auto"/>
              <w:ind w:firstLine="210"/>
              <w:jc w:val="left"/>
              <w:rPr>
                <w:rFonts w:ascii="宋体" w:hAnsi="宋体" w:eastAsia="宋体" w:cs="宋体"/>
                <w:sz w:val="22"/>
                <w:szCs w:val="22"/>
              </w:rPr>
            </w:pPr>
            <w:r>
              <w:rPr>
                <w:rFonts w:ascii="宋体" w:hAnsi="宋体" w:eastAsia="宋体" w:cs="宋体"/>
                <w:sz w:val="22"/>
                <w:szCs w:val="22"/>
              </w:rPr>
              <w:t>投标文件存在第二章“投标人须知”第1.12.3项所列情形的，均视为细微偏差，评标委员会不得否决投标人的投标，应按照第二章“投标人须知”第1.12.4项规定的原则处理。</w:t>
            </w:r>
          </w:p>
          <w:p>
            <w:pPr>
              <w:spacing w:line="400" w:lineRule="auto"/>
              <w:ind w:firstLine="211"/>
              <w:jc w:val="left"/>
              <w:rPr>
                <w:rFonts w:ascii="宋体" w:hAnsi="宋体" w:eastAsia="宋体" w:cs="宋体"/>
                <w:sz w:val="22"/>
                <w:szCs w:val="22"/>
              </w:rPr>
            </w:pPr>
            <w:r>
              <w:rPr>
                <w:rFonts w:ascii="宋体" w:hAnsi="宋体" w:eastAsia="宋体" w:cs="宋体"/>
                <w:b/>
                <w:sz w:val="22"/>
                <w:szCs w:val="22"/>
              </w:rPr>
              <w:t>3.9  本工程监理标段投标人和本工程施工标段投标人，如存在招标公告中所述关联关系，且同时出现综合得分排名第一时，评标委员会优先确定施工标段投标人为中标候选人，同时取消其监理标段投标人的中标候选人资格，推荐监理标段排名次之的投标人确定为中标候选人。</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b/>
          <w:color w:val="000000"/>
          <w:sz w:val="22"/>
        </w:rPr>
      </w:pPr>
      <w:r>
        <w:rPr>
          <w:rFonts w:ascii="宋体" w:hAnsi="宋体" w:eastAsia="宋体" w:cs="宋体"/>
          <w:b/>
          <w:color w:val="000000"/>
          <w:sz w:val="22"/>
        </w:rPr>
        <w:t>1.评标方法</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本次评标采用综合评分法。评标委员会对满足招标文件实质性要求的投标文件，按照本章第2.2 款规定的评分标准进行打分，并按得分由高到低顺序推荐中标候选人，但投标报价低于其成本的除外。综合评分相等时，评标委员会应按照评标办法前附表规定的优先次序推荐中标候选人。</w:t>
      </w:r>
    </w:p>
    <w:p>
      <w:pPr>
        <w:keepNext w:val="0"/>
        <w:keepLines w:val="0"/>
        <w:pageBreakBefore w:val="0"/>
        <w:widowControl w:val="0"/>
        <w:tabs>
          <w:tab w:val="left" w:pos="563"/>
        </w:tabs>
        <w:kinsoku/>
        <w:wordWrap/>
        <w:overflowPunct/>
        <w:topLinePunct w:val="0"/>
        <w:autoSpaceDE/>
        <w:autoSpaceDN/>
        <w:bidi w:val="0"/>
        <w:adjustRightInd/>
        <w:snapToGrid/>
        <w:spacing w:line="500" w:lineRule="exact"/>
        <w:jc w:val="left"/>
        <w:textAlignment w:val="auto"/>
        <w:rPr>
          <w:rFonts w:ascii="宋体" w:hAnsi="宋体" w:eastAsia="宋体" w:cs="宋体"/>
          <w:b/>
          <w:color w:val="000000"/>
          <w:sz w:val="22"/>
        </w:rPr>
      </w:pPr>
      <w:r>
        <w:rPr>
          <w:rFonts w:ascii="宋体" w:hAnsi="宋体" w:eastAsia="宋体" w:cs="宋体"/>
          <w:b/>
          <w:color w:val="000000"/>
          <w:sz w:val="22"/>
        </w:rPr>
        <w:t>2.评审标准</w:t>
      </w:r>
    </w:p>
    <w:p>
      <w:pPr>
        <w:keepNext w:val="0"/>
        <w:keepLines w:val="0"/>
        <w:pageBreakBefore w:val="0"/>
        <w:widowControl w:val="0"/>
        <w:tabs>
          <w:tab w:val="left" w:pos="563"/>
        </w:tabs>
        <w:kinsoku/>
        <w:wordWrap/>
        <w:overflowPunct/>
        <w:topLinePunct w:val="0"/>
        <w:autoSpaceDE/>
        <w:autoSpaceDN/>
        <w:bidi w:val="0"/>
        <w:adjustRightInd/>
        <w:snapToGrid/>
        <w:spacing w:line="500" w:lineRule="exact"/>
        <w:jc w:val="left"/>
        <w:textAlignment w:val="auto"/>
        <w:rPr>
          <w:rFonts w:ascii="宋体" w:hAnsi="宋体" w:eastAsia="宋体" w:cs="宋体"/>
          <w:b/>
          <w:color w:val="000000"/>
          <w:sz w:val="22"/>
        </w:rPr>
      </w:pPr>
      <w:r>
        <w:rPr>
          <w:rFonts w:ascii="宋体" w:hAnsi="宋体" w:eastAsia="宋体" w:cs="宋体"/>
          <w:b/>
          <w:color w:val="000000"/>
          <w:sz w:val="22"/>
        </w:rPr>
        <w:t>2.1初步评审标准</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2.1.1形式评审标准：见评标办法前附表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2.1.2资格评审标准：见评标办法前附表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2.1.3响应性评审标准：见评标办法前附表</w:t>
      </w:r>
    </w:p>
    <w:p>
      <w:pPr>
        <w:keepNext w:val="0"/>
        <w:keepLines w:val="0"/>
        <w:pageBreakBefore w:val="0"/>
        <w:widowControl w:val="0"/>
        <w:tabs>
          <w:tab w:val="left" w:pos="563"/>
        </w:tabs>
        <w:kinsoku/>
        <w:wordWrap/>
        <w:overflowPunct/>
        <w:topLinePunct w:val="0"/>
        <w:autoSpaceDE/>
        <w:autoSpaceDN/>
        <w:bidi w:val="0"/>
        <w:adjustRightInd/>
        <w:snapToGrid/>
        <w:spacing w:line="500" w:lineRule="exact"/>
        <w:jc w:val="left"/>
        <w:textAlignment w:val="auto"/>
        <w:rPr>
          <w:rFonts w:ascii="宋体" w:hAnsi="宋体" w:eastAsia="宋体" w:cs="宋体"/>
          <w:b/>
          <w:color w:val="000000"/>
          <w:sz w:val="22"/>
        </w:rPr>
      </w:pPr>
      <w:r>
        <w:rPr>
          <w:rFonts w:ascii="宋体" w:hAnsi="宋体" w:eastAsia="宋体" w:cs="宋体"/>
          <w:b/>
          <w:color w:val="000000"/>
          <w:sz w:val="22"/>
        </w:rPr>
        <w:t>2.2分值构成与评分标准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color w:val="000000"/>
          <w:sz w:val="22"/>
        </w:rPr>
      </w:pPr>
      <w:r>
        <w:rPr>
          <w:rFonts w:ascii="宋体" w:hAnsi="宋体" w:eastAsia="宋体" w:cs="宋体"/>
          <w:color w:val="000000"/>
          <w:sz w:val="22"/>
        </w:rPr>
        <w:t>2.2.1 分值构成</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（1）技术建议书：见评标办法前附表；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（2）主要人员：见评标办法前附表；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（3）评标价：见评标办法前附表；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（4）其他评分因素：见评标办法前附表。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2.2.2 评标基准价计算</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2.2.3 评标价的偏差率计算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评标价的偏差率计算公式：见评标办法前附表。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2.2.4 评分标准</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（1）技术建议书评分标准：见评标办法前附表；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（2）主要人员评分标准：见评标办法前附表；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（3）评标价评分标准：见评标办法前附表；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（4）其他因素评分标准：见评标办法前附表。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b/>
          <w:color w:val="000000"/>
          <w:sz w:val="22"/>
        </w:rPr>
      </w:pPr>
      <w:r>
        <w:rPr>
          <w:rFonts w:ascii="宋体" w:hAnsi="宋体" w:eastAsia="宋体" w:cs="宋体"/>
          <w:b/>
          <w:color w:val="000000"/>
          <w:sz w:val="22"/>
        </w:rPr>
        <w:t>3.评标程序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b/>
          <w:color w:val="000000"/>
          <w:sz w:val="22"/>
        </w:rPr>
      </w:pPr>
      <w:r>
        <w:rPr>
          <w:rFonts w:ascii="宋体" w:hAnsi="宋体" w:eastAsia="宋体" w:cs="宋体"/>
          <w:b/>
          <w:color w:val="000000"/>
          <w:sz w:val="22"/>
        </w:rPr>
        <w:t>3.1第一个信封初步评审</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3.1.1 评标委员会可以要求投标人提交第二章“投标人须知”第 3.5.1 项至第3.5.5项规定的有关证明和证件的原件，以便核验。评标委员会依据本章第2.1款规定的标准对投标文件第一个信封（商务及技术文件）进行初步评审。有一项不符合评审标准的，评标委员会应否决其投标。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b/>
          <w:color w:val="000000"/>
          <w:sz w:val="22"/>
        </w:rPr>
      </w:pPr>
      <w:r>
        <w:rPr>
          <w:rFonts w:ascii="宋体" w:hAnsi="宋体" w:eastAsia="宋体" w:cs="宋体"/>
          <w:b/>
          <w:color w:val="000000"/>
          <w:sz w:val="22"/>
        </w:rPr>
        <w:t>3.2第一个信封详细评审</w:t>
      </w:r>
    </w:p>
    <w:p>
      <w:pPr>
        <w:keepNext w:val="0"/>
        <w:keepLines w:val="0"/>
        <w:pageBreakBefore w:val="0"/>
        <w:widowControl w:val="0"/>
        <w:kinsoku/>
        <w:wordWrap/>
        <w:overflowPunct/>
        <w:topLinePunct w:val="0"/>
        <w:autoSpaceDE/>
        <w:autoSpaceDN/>
        <w:bidi w:val="0"/>
        <w:adjustRightInd/>
        <w:snapToGrid/>
        <w:spacing w:line="500" w:lineRule="exact"/>
        <w:ind w:firstLine="440"/>
        <w:textAlignment w:val="auto"/>
        <w:rPr>
          <w:rFonts w:ascii="宋体" w:hAnsi="宋体" w:eastAsia="宋体" w:cs="宋体"/>
          <w:color w:val="000000"/>
          <w:sz w:val="22"/>
        </w:rPr>
      </w:pPr>
      <w:r>
        <w:rPr>
          <w:rFonts w:ascii="宋体" w:hAnsi="宋体" w:eastAsia="宋体" w:cs="宋体"/>
          <w:color w:val="000000"/>
          <w:sz w:val="22"/>
        </w:rPr>
        <w:t>3.2.1 评标委员会按本章第 2.2 款规定的量化因素和分值进行打分，并计算出各投标人的商务和技术得分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(1) 按本章第 2.2.4 项(1)目规定的评审因素和分值对技术建议书部分计算出得分A；</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 按本章第 2.2.4 项(2)目规定的评审因素和分值对主要人员部分计算出得分 B；</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 按本章第 2.2.4 项(4)目规定的评审因素和分值对其他部分计算出得分D。</w:t>
      </w:r>
    </w:p>
    <w:p>
      <w:pPr>
        <w:keepNext w:val="0"/>
        <w:keepLines w:val="0"/>
        <w:pageBreakBefore w:val="0"/>
        <w:widowControl w:val="0"/>
        <w:kinsoku/>
        <w:wordWrap/>
        <w:overflowPunct/>
        <w:topLinePunct w:val="0"/>
        <w:autoSpaceDE/>
        <w:autoSpaceDN/>
        <w:bidi w:val="0"/>
        <w:adjustRightInd/>
        <w:snapToGrid/>
        <w:spacing w:line="500" w:lineRule="exact"/>
        <w:ind w:firstLine="440"/>
        <w:textAlignment w:val="auto"/>
        <w:rPr>
          <w:rFonts w:ascii="宋体" w:hAnsi="宋体" w:eastAsia="宋体" w:cs="宋体"/>
          <w:color w:val="000000"/>
          <w:spacing w:val="-10"/>
          <w:sz w:val="22"/>
        </w:rPr>
      </w:pPr>
      <w:r>
        <w:rPr>
          <w:rFonts w:ascii="宋体" w:hAnsi="宋体" w:eastAsia="宋体" w:cs="宋体"/>
          <w:color w:val="000000"/>
          <w:sz w:val="22"/>
        </w:rPr>
        <w:t>3.2.2</w:t>
      </w:r>
      <w:r>
        <w:rPr>
          <w:rFonts w:ascii="宋体" w:hAnsi="宋体" w:eastAsia="宋体" w:cs="宋体"/>
          <w:color w:val="000000"/>
          <w:spacing w:val="-10"/>
          <w:sz w:val="22"/>
        </w:rPr>
        <w:t xml:space="preserve"> 投标人的商务和技术得分分值计算保留小数点后两位，小数点后第三位“四舍五入”。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3.2.3 投标人的商务和技术得分A+B+D。</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b/>
          <w:color w:val="000000"/>
          <w:sz w:val="22"/>
        </w:rPr>
      </w:pPr>
      <w:r>
        <w:rPr>
          <w:rFonts w:ascii="宋体" w:hAnsi="宋体" w:eastAsia="宋体" w:cs="宋体"/>
          <w:b/>
          <w:color w:val="000000"/>
          <w:sz w:val="22"/>
        </w:rPr>
        <w:t>3.3第二个信封开标</w:t>
      </w:r>
    </w:p>
    <w:p>
      <w:pPr>
        <w:keepNext w:val="0"/>
        <w:keepLines w:val="0"/>
        <w:pageBreakBefore w:val="0"/>
        <w:widowControl w:val="0"/>
        <w:kinsoku/>
        <w:wordWrap/>
        <w:overflowPunct/>
        <w:topLinePunct w:val="0"/>
        <w:autoSpaceDE/>
        <w:autoSpaceDN/>
        <w:bidi w:val="0"/>
        <w:adjustRightInd/>
        <w:snapToGrid/>
        <w:spacing w:line="500" w:lineRule="exact"/>
        <w:ind w:firstLine="440"/>
        <w:textAlignment w:val="auto"/>
        <w:rPr>
          <w:rFonts w:ascii="宋体" w:hAnsi="宋体" w:eastAsia="宋体" w:cs="宋体"/>
          <w:color w:val="000000"/>
          <w:sz w:val="22"/>
        </w:rPr>
      </w:pPr>
      <w:r>
        <w:rPr>
          <w:rFonts w:ascii="宋体" w:hAnsi="宋体" w:eastAsia="宋体" w:cs="宋体"/>
          <w:color w:val="000000"/>
          <w:sz w:val="22"/>
        </w:rPr>
        <w:t>第一个信封（商务及技术文件）评审结束后，招标人将按照第二章“投标人须知”第 5.1 款规定的时间和地点对通过投标文件第一个信封（商务及技术文件）评审的投标文件第二个信封（报价文件）进行开标。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b/>
          <w:color w:val="000000"/>
          <w:sz w:val="22"/>
        </w:rPr>
      </w:pPr>
      <w:r>
        <w:rPr>
          <w:rFonts w:ascii="宋体" w:hAnsi="宋体" w:eastAsia="宋体" w:cs="宋体"/>
          <w:b/>
          <w:color w:val="000000"/>
          <w:sz w:val="22"/>
        </w:rPr>
        <w:t>3.4第二个信封初步评审</w:t>
      </w:r>
    </w:p>
    <w:p>
      <w:pPr>
        <w:keepNext w:val="0"/>
        <w:keepLines w:val="0"/>
        <w:pageBreakBefore w:val="0"/>
        <w:widowControl w:val="0"/>
        <w:kinsoku/>
        <w:wordWrap/>
        <w:overflowPunct/>
        <w:topLinePunct w:val="0"/>
        <w:autoSpaceDE/>
        <w:autoSpaceDN/>
        <w:bidi w:val="0"/>
        <w:adjustRightInd/>
        <w:snapToGrid/>
        <w:spacing w:line="500" w:lineRule="exact"/>
        <w:ind w:firstLine="440"/>
        <w:textAlignment w:val="auto"/>
        <w:rPr>
          <w:rFonts w:ascii="宋体" w:hAnsi="宋体" w:eastAsia="宋体" w:cs="宋体"/>
          <w:color w:val="000000"/>
          <w:sz w:val="22"/>
        </w:rPr>
      </w:pPr>
      <w:r>
        <w:rPr>
          <w:rFonts w:ascii="宋体" w:hAnsi="宋体" w:eastAsia="宋体" w:cs="宋体"/>
          <w:color w:val="000000"/>
          <w:sz w:val="22"/>
        </w:rPr>
        <w:t>3.4.1 评标委员会依据本章第 2.1.1 项、第 2. 1.3 项规定的评审标准对投标文件第二个信封（报价文件）进行初步评审。有一项不符合评审标准的，评标委员会应否决其投标。</w:t>
      </w:r>
    </w:p>
    <w:p>
      <w:pPr>
        <w:keepNext w:val="0"/>
        <w:keepLines w:val="0"/>
        <w:pageBreakBefore w:val="0"/>
        <w:widowControl w:val="0"/>
        <w:kinsoku/>
        <w:wordWrap/>
        <w:overflowPunct/>
        <w:topLinePunct w:val="0"/>
        <w:autoSpaceDE/>
        <w:autoSpaceDN/>
        <w:bidi w:val="0"/>
        <w:adjustRightInd/>
        <w:snapToGrid/>
        <w:spacing w:line="500" w:lineRule="exact"/>
        <w:ind w:firstLine="440"/>
        <w:textAlignment w:val="auto"/>
        <w:rPr>
          <w:rFonts w:ascii="宋体" w:hAnsi="宋体" w:eastAsia="宋体" w:cs="宋体"/>
          <w:color w:val="000000"/>
          <w:sz w:val="22"/>
        </w:rPr>
      </w:pPr>
      <w:r>
        <w:rPr>
          <w:rFonts w:ascii="宋体" w:hAnsi="宋体" w:eastAsia="宋体" w:cs="宋体"/>
          <w:color w:val="000000"/>
          <w:sz w:val="22"/>
        </w:rPr>
        <w:t>3.4.2 投标报价有算术错误的，评标委员会按以下原则对投标报价进行修正，修正的价格经投标人书面确认后具有约束力。投标人不接受修正价格的，评标委员会应否决其投标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(1) 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(2) 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 当单价与数量相乘不等于合价时，以单价计算为准，如果单价有明显的小数点位置差错，应以标出的合价为准，同时对单价予以修正；</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(4) 当各子目的合价累计不等于总价时，应以各子目合价累计数为准，修正总价。</w:t>
      </w:r>
    </w:p>
    <w:p>
      <w:pPr>
        <w:keepNext w:val="0"/>
        <w:keepLines w:val="0"/>
        <w:pageBreakBefore w:val="0"/>
        <w:widowControl w:val="0"/>
        <w:tabs>
          <w:tab w:val="left" w:pos="5935"/>
        </w:tabs>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3.4.3 修正后的最终投标报价若超过最高投标限价（如有），评标委员会应否决其投标。</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3.4.4 修正后的最终投标报价仅作为签订合同的一个依据，不参与评标价得分的计算。</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b/>
          <w:color w:val="000000"/>
          <w:sz w:val="22"/>
        </w:rPr>
      </w:pPr>
      <w:r>
        <w:rPr>
          <w:rFonts w:ascii="宋体" w:hAnsi="宋体" w:eastAsia="宋体" w:cs="宋体"/>
          <w:b/>
          <w:color w:val="000000"/>
          <w:sz w:val="22"/>
        </w:rPr>
        <w:t>3.5第二个信封详细评审</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3.5.1 评标委员会按本章第2.2.4项（3）目规定的评审因素和分值对评标价计算出得分 C。评标价得分分值计算保留小数点后两位，小数点后第三位“四舍五入”。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3.5.2 投标人综合得分=投标人的商务和技术得分＋C。</w:t>
      </w:r>
    </w:p>
    <w:p>
      <w:pPr>
        <w:keepNext w:val="0"/>
        <w:keepLines w:val="0"/>
        <w:pageBreakBefore w:val="0"/>
        <w:widowControl w:val="0"/>
        <w:kinsoku/>
        <w:wordWrap/>
        <w:overflowPunct/>
        <w:topLinePunct w:val="0"/>
        <w:autoSpaceDE/>
        <w:autoSpaceDN/>
        <w:bidi w:val="0"/>
        <w:adjustRightInd/>
        <w:snapToGrid/>
        <w:spacing w:line="500" w:lineRule="exact"/>
        <w:ind w:firstLine="440"/>
        <w:textAlignment w:val="auto"/>
        <w:rPr>
          <w:rFonts w:ascii="宋体" w:hAnsi="宋体" w:eastAsia="宋体" w:cs="宋体"/>
          <w:color w:val="000000"/>
          <w:spacing w:val="-2"/>
          <w:sz w:val="22"/>
        </w:rPr>
      </w:pPr>
      <w:r>
        <w:rPr>
          <w:rFonts w:ascii="宋体" w:hAnsi="宋体" w:eastAsia="宋体" w:cs="宋体"/>
          <w:color w:val="000000"/>
          <w:sz w:val="22"/>
        </w:rPr>
        <w:t>3.5.3 评标委</w:t>
      </w:r>
      <w:r>
        <w:rPr>
          <w:rFonts w:ascii="宋体" w:hAnsi="宋体" w:eastAsia="宋体" w:cs="宋体"/>
          <w:color w:val="000000"/>
          <w:spacing w:val="-2"/>
          <w:sz w:val="22"/>
        </w:rPr>
        <w:t>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Calibri" w:hAnsi="Calibri" w:eastAsia="Calibri" w:cs="Calibri"/>
          <w:b/>
          <w:color w:val="000000"/>
          <w:sz w:val="22"/>
        </w:rPr>
      </w:pPr>
      <w:r>
        <w:rPr>
          <w:rFonts w:ascii="宋体" w:hAnsi="宋体" w:eastAsia="宋体" w:cs="宋体"/>
          <w:b/>
          <w:color w:val="000000"/>
          <w:sz w:val="22"/>
        </w:rPr>
        <w:t>3.6 投标文件相关信息的核查</w:t>
      </w:r>
    </w:p>
    <w:p>
      <w:pPr>
        <w:keepNext w:val="0"/>
        <w:keepLines w:val="0"/>
        <w:pageBreakBefore w:val="0"/>
        <w:widowControl w:val="0"/>
        <w:kinsoku/>
        <w:wordWrap/>
        <w:overflowPunct/>
        <w:topLinePunct w:val="0"/>
        <w:autoSpaceDE/>
        <w:autoSpaceDN/>
        <w:bidi w:val="0"/>
        <w:adjustRightInd/>
        <w:snapToGrid/>
        <w:spacing w:line="500" w:lineRule="exact"/>
        <w:ind w:firstLine="440"/>
        <w:textAlignment w:val="auto"/>
        <w:rPr>
          <w:rFonts w:ascii="宋体" w:hAnsi="宋体" w:eastAsia="宋体" w:cs="宋体"/>
          <w:color w:val="000000"/>
          <w:sz w:val="22"/>
        </w:rPr>
      </w:pPr>
      <w:r>
        <w:rPr>
          <w:rFonts w:ascii="宋体" w:hAnsi="宋体" w:eastAsia="宋体" w:cs="宋体"/>
          <w:color w:val="000000"/>
          <w:sz w:val="22"/>
        </w:rPr>
        <w:t xml:space="preserve"> 评标委员会应对在评标过程中发现的投标人与投标人之间、投标人与招标人之间存在的串通投标的情形进行评审和认定。投标人存在串通投标、弄虚作假、行贿等违法行为的，评标委员会应否决其投标。</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（1）有下列情形之一的，属于投标人相互串通投标：</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a.投标人之间协商投标报价等投标文件的实质性内容；</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b.投标人之间约定中标人；</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C.投标人之间约定部分投标人放弃投标或中标；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d.属于同一集团、协会、商会等组织成员的投标人按照该组织要求协同投标；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e.投标人之间为谋取中标或排斥特定投标人而采取的其他联合行动。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（2）有下列情形之一的，视为投标人相互串通投标：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a.不同投标人的投标文件由同一单位或个人编制；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b.不同投标人委托同一单位或个人办理投标事宜；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C.不同投标人的投标文件载明的项目管理成员为同一人；</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d.不同投标人的投标文件异常一致或投标报价呈规律性差异；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e.不同投标人的投标文件相互混装；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f.不同投标人的投标保证金从同一单位或个人的账户转出。</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Calibri" w:hAnsi="Calibri" w:eastAsia="Calibri" w:cs="Calibri"/>
          <w:color w:val="000000"/>
          <w:sz w:val="22"/>
        </w:rPr>
      </w:pPr>
      <w:r>
        <w:rPr>
          <w:rFonts w:ascii="Calibri" w:hAnsi="Calibri" w:eastAsia="Calibri" w:cs="Calibri"/>
          <w:color w:val="000000"/>
          <w:sz w:val="22"/>
        </w:rPr>
        <w:t>g.</w:t>
      </w:r>
      <w:r>
        <w:rPr>
          <w:rFonts w:ascii="宋体" w:hAnsi="宋体" w:eastAsia="宋体" w:cs="宋体"/>
          <w:color w:val="000000"/>
          <w:sz w:val="22"/>
        </w:rPr>
        <w:t>不同投标人的</w:t>
      </w:r>
      <w:r>
        <w:rPr>
          <w:rFonts w:ascii="Calibri" w:hAnsi="Calibri" w:eastAsia="Calibri" w:cs="Calibri"/>
          <w:color w:val="000000"/>
          <w:sz w:val="22"/>
        </w:rPr>
        <w:t>CA</w:t>
      </w:r>
      <w:r>
        <w:rPr>
          <w:rFonts w:ascii="宋体" w:hAnsi="宋体" w:eastAsia="宋体" w:cs="宋体"/>
          <w:color w:val="000000"/>
          <w:sz w:val="22"/>
        </w:rPr>
        <w:t>数字证书混用。</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（3）有下列情形之一的，属于招标人与投标人串通投标：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a.招标人在开标前开启投标文件并将有关信息泄露给其他投标人；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b招标人直接或间接向投标人泄露标底、评标委员会成员等信息；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c.招标人明示或暗示投标人压低或抬高投标报价 ；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d.招标人授意投标人撤换、修改投标文件；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e.招标人明示或暗示投标人为特定投标人中标提供方便；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f.招标人与投标人为谋求特定投标人中标而采取的其他串通行为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（4）投标人有下列情形之一的，属于弄虚作假的行为：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 xml:space="preserve">a.使用通过受让或租借等方式获取的资格 、资质证书投标 ；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b.使用伪造、变造的许可证件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C.提供虚假的业绩；</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d.提供虚假的项目 负责人或主要技术人员简历、劳动关系证明；</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e.提供虚假的信用状况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f.其他弄虚作假的行为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color w:val="000000"/>
          <w:sz w:val="22"/>
        </w:rPr>
      </w:pPr>
      <w:r>
        <w:rPr>
          <w:rFonts w:ascii="宋体" w:hAnsi="宋体" w:eastAsia="宋体" w:cs="宋体"/>
          <w:b/>
          <w:color w:val="000000"/>
          <w:sz w:val="22"/>
        </w:rPr>
        <w:t>3.7投标文件的澄清和说明</w:t>
      </w:r>
    </w:p>
    <w:p>
      <w:pPr>
        <w:keepNext w:val="0"/>
        <w:keepLines w:val="0"/>
        <w:pageBreakBefore w:val="0"/>
        <w:widowControl w:val="0"/>
        <w:kinsoku/>
        <w:wordWrap/>
        <w:overflowPunct/>
        <w:topLinePunct w:val="0"/>
        <w:autoSpaceDE/>
        <w:autoSpaceDN/>
        <w:bidi w:val="0"/>
        <w:adjustRightInd/>
        <w:snapToGrid/>
        <w:spacing w:line="500" w:lineRule="exact"/>
        <w:ind w:firstLine="440"/>
        <w:textAlignment w:val="auto"/>
        <w:rPr>
          <w:rFonts w:ascii="宋体" w:hAnsi="宋体" w:eastAsia="宋体" w:cs="宋体"/>
          <w:color w:val="000000"/>
          <w:sz w:val="22"/>
        </w:rPr>
      </w:pPr>
      <w:r>
        <w:rPr>
          <w:rFonts w:ascii="宋体" w:hAnsi="宋体" w:eastAsia="宋体" w:cs="宋体"/>
          <w:color w:val="000000"/>
          <w:sz w:val="22"/>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3.7.2 澄清和说明不得超出投标文件的范围或改变投标文件的实质性内容（算术性错误的修正除外。投标人的书面澄清、说明属于投标文件的组成部分。</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3.7.3  评标委员会不得暗示或诱导投标人作出澄清、说明，对投标人提交的澄清、说明有疑问的，可以要求投标人进一步澄清或说明，直至满足评标委员会的要求。</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3.7.4 凡超出招标文件规定的或给委托人带来未曾要求的利益的变化、偏差或其他因素在评标时不予考虑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b/>
          <w:color w:val="000000"/>
          <w:sz w:val="22"/>
        </w:rPr>
      </w:pPr>
      <w:r>
        <w:rPr>
          <w:rFonts w:ascii="宋体" w:hAnsi="宋体" w:eastAsia="宋体" w:cs="宋体"/>
          <w:b/>
          <w:color w:val="000000"/>
          <w:sz w:val="22"/>
        </w:rPr>
        <w:t>3.8不得否决投标的情形</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投标文件存在第二章“投标人须知”第1.12.3项所列情形的，均视为细微偏差，评标委员会不得否决投标人的投标，应按照第二章“投标人须知”第1.12.4项规定的原则处理。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hAnsi="宋体" w:eastAsia="宋体" w:cs="宋体"/>
          <w:color w:val="000000"/>
          <w:sz w:val="22"/>
        </w:rPr>
      </w:pPr>
      <w:r>
        <w:rPr>
          <w:rFonts w:ascii="宋体" w:hAnsi="宋体" w:eastAsia="宋体" w:cs="宋体"/>
          <w:b/>
          <w:color w:val="000000"/>
          <w:sz w:val="22"/>
        </w:rPr>
        <w:t>3.9评标结果</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3.9.1 除第二章“投标人须知”前附表授权直接确定中标人外，评标委员会按照得分由高到低的顺序推荐中标候选人，符合投标人须知前附表6.3.2要求，并标明排序 。</w:t>
      </w:r>
    </w:p>
    <w:p>
      <w:pPr>
        <w:keepNext w:val="0"/>
        <w:keepLines w:val="0"/>
        <w:pageBreakBefore w:val="0"/>
        <w:widowControl w:val="0"/>
        <w:kinsoku/>
        <w:wordWrap/>
        <w:overflowPunct/>
        <w:topLinePunct w:val="0"/>
        <w:autoSpaceDE/>
        <w:autoSpaceDN/>
        <w:bidi w:val="0"/>
        <w:adjustRightInd/>
        <w:snapToGrid/>
        <w:spacing w:line="500" w:lineRule="exact"/>
        <w:ind w:firstLine="440"/>
        <w:jc w:val="left"/>
        <w:textAlignment w:val="auto"/>
        <w:rPr>
          <w:rFonts w:ascii="宋体" w:hAnsi="宋体" w:eastAsia="宋体" w:cs="宋体"/>
          <w:color w:val="000000"/>
          <w:sz w:val="22"/>
        </w:rPr>
      </w:pPr>
      <w:r>
        <w:rPr>
          <w:rFonts w:ascii="宋体" w:hAnsi="宋体" w:eastAsia="宋体" w:cs="宋体"/>
          <w:color w:val="000000"/>
          <w:sz w:val="22"/>
        </w:rPr>
        <w:t>3.9.2  评标委员会完成评标后 ，应向招标人提交书面评标报告。</w:t>
      </w:r>
    </w:p>
    <w:p>
      <w:pPr>
        <w:pStyle w:val="2"/>
        <w:keepNext w:val="0"/>
        <w:keepLines w:val="0"/>
        <w:widowControl w:val="0"/>
        <w:numPr>
          <w:ilvl w:val="0"/>
          <w:numId w:val="0"/>
        </w:numPr>
        <w:suppressLineNumbers w:val="0"/>
        <w:autoSpaceDE w:val="0"/>
        <w:autoSpaceDN w:val="0"/>
        <w:spacing w:before="0" w:beforeAutospacing="0" w:after="0" w:afterAutospacing="0" w:line="360" w:lineRule="auto"/>
        <w:ind w:right="0" w:rightChars="0"/>
        <w:jc w:val="left"/>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val="en-US" w:eastAsia="zh-CN"/>
        </w:rPr>
        <w:t>五、</w:t>
      </w:r>
      <w:r>
        <w:rPr>
          <w:rFonts w:hint="eastAsia" w:ascii="宋体" w:hAnsi="宋体" w:eastAsia="宋体" w:cs="宋体"/>
          <w:b/>
          <w:color w:val="auto"/>
          <w:sz w:val="24"/>
          <w:szCs w:val="24"/>
          <w:highlight w:val="none"/>
          <w:lang w:val="en-US" w:eastAsia="zh-CN"/>
        </w:rPr>
        <w:t>其他公示内容</w:t>
      </w:r>
    </w:p>
    <w:p>
      <w:pPr>
        <w:wordWrap w:val="0"/>
        <w:topLinePunct/>
        <w:ind w:firstLine="480" w:firstLineChars="200"/>
        <w:rPr>
          <w:rFonts w:hint="eastAsia" w:ascii="宋体" w:hAnsi="宋体" w:eastAsia="宋体" w:cs="宋体"/>
          <w:sz w:val="24"/>
          <w:szCs w:val="24"/>
          <w:highlight w:val="none"/>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highlight w:val="none"/>
        </w:rPr>
        <w:t>附 录</w:t>
      </w:r>
    </w:p>
    <w:p>
      <w:pPr>
        <w:spacing w:before="142"/>
        <w:ind w:left="143"/>
        <w:jc w:val="center"/>
        <w:rPr>
          <w:rFonts w:ascii="宋体" w:hAnsi="宋体" w:eastAsia="宋体" w:cs="宋体"/>
          <w:b/>
          <w:color w:val="000000"/>
          <w:sz w:val="28"/>
        </w:rPr>
      </w:pPr>
      <w:r>
        <w:rPr>
          <w:rFonts w:ascii="宋体" w:hAnsi="宋体" w:eastAsia="宋体" w:cs="宋体"/>
          <w:b/>
          <w:color w:val="000000"/>
          <w:sz w:val="28"/>
        </w:rPr>
        <w:t>附录 1  资格审查条件（资质最低要求）</w:t>
      </w:r>
    </w:p>
    <w:tbl>
      <w:tblPr>
        <w:tblStyle w:val="4"/>
        <w:tblpPr w:leftFromText="180" w:rightFromText="180" w:vertAnchor="text" w:horzAnchor="page" w:tblpX="1919" w:tblpY="599"/>
        <w:tblOverlap w:val="never"/>
        <w:tblW w:w="0" w:type="auto"/>
        <w:tblInd w:w="0" w:type="dxa"/>
        <w:tblLayout w:type="autofit"/>
        <w:tblCellMar>
          <w:top w:w="0" w:type="dxa"/>
          <w:left w:w="10" w:type="dxa"/>
          <w:bottom w:w="0" w:type="dxa"/>
          <w:right w:w="10" w:type="dxa"/>
        </w:tblCellMar>
      </w:tblPr>
      <w:tblGrid>
        <w:gridCol w:w="776"/>
        <w:gridCol w:w="787"/>
        <w:gridCol w:w="6816"/>
      </w:tblGrid>
      <w:tr>
        <w:tblPrEx>
          <w:tblCellMar>
            <w:top w:w="0" w:type="dxa"/>
            <w:left w:w="10" w:type="dxa"/>
            <w:bottom w:w="0" w:type="dxa"/>
            <w:right w:w="10" w:type="dxa"/>
          </w:tblCellMar>
        </w:tblPrEx>
        <w:trPr>
          <w:trHeight w:val="284" w:hRule="atLeast"/>
        </w:trPr>
        <w:tc>
          <w:tcPr>
            <w:tcW w:w="77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142" w:line="360" w:lineRule="auto"/>
              <w:jc w:val="center"/>
              <w:rPr>
                <w:rFonts w:ascii="宋体" w:hAnsi="宋体" w:eastAsia="宋体" w:cs="宋体"/>
                <w:sz w:val="22"/>
                <w:szCs w:val="22"/>
              </w:rPr>
            </w:pPr>
            <w:r>
              <w:rPr>
                <w:rFonts w:ascii="宋体" w:hAnsi="宋体" w:eastAsia="宋体" w:cs="宋体"/>
                <w:b/>
                <w:color w:val="000000"/>
                <w:sz w:val="22"/>
                <w:szCs w:val="22"/>
              </w:rPr>
              <w:t>类别</w:t>
            </w:r>
          </w:p>
        </w:tc>
        <w:tc>
          <w:tcPr>
            <w:tcW w:w="78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142" w:line="360" w:lineRule="auto"/>
              <w:jc w:val="center"/>
              <w:rPr>
                <w:rFonts w:ascii="宋体" w:hAnsi="宋体" w:eastAsia="宋体" w:cs="宋体"/>
                <w:sz w:val="22"/>
                <w:szCs w:val="22"/>
              </w:rPr>
            </w:pPr>
            <w:r>
              <w:rPr>
                <w:rFonts w:ascii="宋体" w:hAnsi="宋体" w:eastAsia="宋体" w:cs="宋体"/>
                <w:b/>
                <w:color w:val="000000"/>
                <w:sz w:val="22"/>
                <w:szCs w:val="22"/>
              </w:rPr>
              <w:t>标段</w:t>
            </w:r>
          </w:p>
        </w:tc>
        <w:tc>
          <w:tcPr>
            <w:tcW w:w="681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before="142" w:line="360" w:lineRule="auto"/>
              <w:jc w:val="center"/>
              <w:rPr>
                <w:rFonts w:ascii="宋体" w:hAnsi="宋体" w:eastAsia="宋体" w:cs="宋体"/>
                <w:sz w:val="22"/>
                <w:szCs w:val="22"/>
              </w:rPr>
            </w:pPr>
            <w:r>
              <w:rPr>
                <w:rFonts w:ascii="宋体" w:hAnsi="宋体" w:eastAsia="宋体" w:cs="宋体"/>
                <w:b/>
                <w:color w:val="000000"/>
                <w:sz w:val="22"/>
                <w:szCs w:val="22"/>
              </w:rPr>
              <w:t>监理企业资质等级要求</w:t>
            </w:r>
          </w:p>
        </w:tc>
      </w:tr>
      <w:tr>
        <w:tblPrEx>
          <w:tblCellMar>
            <w:top w:w="0" w:type="dxa"/>
            <w:left w:w="10" w:type="dxa"/>
            <w:bottom w:w="0" w:type="dxa"/>
            <w:right w:w="10" w:type="dxa"/>
          </w:tblCellMar>
        </w:tblPrEx>
        <w:trPr>
          <w:trHeight w:val="1369" w:hRule="atLeast"/>
        </w:trPr>
        <w:tc>
          <w:tcPr>
            <w:tcW w:w="77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center"/>
              <w:rPr>
                <w:rFonts w:ascii="宋体" w:hAnsi="宋体" w:eastAsia="宋体" w:cs="宋体"/>
                <w:sz w:val="22"/>
                <w:szCs w:val="22"/>
              </w:rPr>
            </w:pPr>
            <w:r>
              <w:rPr>
                <w:rFonts w:ascii="宋体" w:hAnsi="宋体" w:eastAsia="宋体" w:cs="宋体"/>
                <w:sz w:val="22"/>
                <w:szCs w:val="22"/>
              </w:rPr>
              <w:t>A</w:t>
            </w:r>
          </w:p>
        </w:tc>
        <w:tc>
          <w:tcPr>
            <w:tcW w:w="78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center"/>
              <w:rPr>
                <w:rFonts w:ascii="宋体" w:hAnsi="宋体" w:eastAsia="宋体" w:cs="宋体"/>
                <w:sz w:val="22"/>
                <w:szCs w:val="22"/>
              </w:rPr>
            </w:pPr>
            <w:r>
              <w:rPr>
                <w:rFonts w:ascii="宋体" w:hAnsi="宋体" w:eastAsia="宋体" w:cs="宋体"/>
                <w:sz w:val="22"/>
                <w:szCs w:val="22"/>
              </w:rPr>
              <w:t>1、2</w:t>
            </w:r>
          </w:p>
        </w:tc>
        <w:tc>
          <w:tcPr>
            <w:tcW w:w="681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ind w:firstLine="440"/>
              <w:jc w:val="left"/>
              <w:rPr>
                <w:rFonts w:ascii="宋体" w:hAnsi="宋体" w:eastAsia="宋体" w:cs="宋体"/>
                <w:sz w:val="22"/>
                <w:szCs w:val="22"/>
              </w:rPr>
            </w:pPr>
            <w:r>
              <w:rPr>
                <w:rFonts w:ascii="宋体" w:hAnsi="宋体" w:eastAsia="宋体" w:cs="宋体"/>
                <w:sz w:val="22"/>
                <w:szCs w:val="22"/>
              </w:rPr>
              <w:t>投标人应在中华人民共和国境内注册，持有工商行政管理部门核发且有效的企业法人营业执照，具备交通运输主管部门颁发的有效的公路工程监理甲级资质和公路工程综合乙级及以上试验检测机构资质（资质证书中的机构名称与投标人名称一致，或其法定代表人为同一人，或为投标人控股企业）。</w:t>
            </w:r>
          </w:p>
          <w:p>
            <w:pPr>
              <w:spacing w:line="400" w:lineRule="auto"/>
              <w:ind w:firstLine="440"/>
              <w:jc w:val="left"/>
              <w:rPr>
                <w:rFonts w:ascii="宋体" w:hAnsi="宋体" w:eastAsia="宋体" w:cs="宋体"/>
                <w:sz w:val="22"/>
                <w:szCs w:val="22"/>
              </w:rPr>
            </w:pPr>
            <w:r>
              <w:rPr>
                <w:rFonts w:ascii="宋体" w:hAnsi="宋体" w:eastAsia="宋体" w:cs="宋体"/>
                <w:sz w:val="22"/>
                <w:szCs w:val="22"/>
              </w:rPr>
              <w:t>投标人应进入 “全国公路建设市场信用信息管理系统（http://glxy.gov.cn）”中的公路工程施工监理资质企业名录，且投标人名称和资质与该名录中的相应企业名称和资质完全一致。</w:t>
            </w:r>
          </w:p>
        </w:tc>
      </w:tr>
      <w:tr>
        <w:tblPrEx>
          <w:tblCellMar>
            <w:top w:w="0" w:type="dxa"/>
            <w:left w:w="10" w:type="dxa"/>
            <w:bottom w:w="0" w:type="dxa"/>
            <w:right w:w="10" w:type="dxa"/>
          </w:tblCellMar>
        </w:tblPrEx>
        <w:trPr>
          <w:trHeight w:val="1369" w:hRule="atLeast"/>
        </w:trPr>
        <w:tc>
          <w:tcPr>
            <w:tcW w:w="77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center"/>
              <w:rPr>
                <w:rFonts w:ascii="宋体" w:hAnsi="宋体" w:eastAsia="宋体" w:cs="宋体"/>
                <w:sz w:val="22"/>
                <w:szCs w:val="22"/>
              </w:rPr>
            </w:pPr>
            <w:r>
              <w:rPr>
                <w:rFonts w:ascii="宋体" w:hAnsi="宋体" w:eastAsia="宋体" w:cs="宋体"/>
                <w:sz w:val="22"/>
                <w:szCs w:val="22"/>
              </w:rPr>
              <w:t>B</w:t>
            </w:r>
          </w:p>
        </w:tc>
        <w:tc>
          <w:tcPr>
            <w:tcW w:w="78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center"/>
              <w:rPr>
                <w:rFonts w:ascii="宋体" w:hAnsi="宋体" w:eastAsia="宋体" w:cs="宋体"/>
                <w:sz w:val="22"/>
                <w:szCs w:val="22"/>
              </w:rPr>
            </w:pPr>
            <w:r>
              <w:rPr>
                <w:rFonts w:ascii="宋体" w:hAnsi="宋体" w:eastAsia="宋体" w:cs="宋体"/>
                <w:sz w:val="22"/>
                <w:szCs w:val="22"/>
              </w:rPr>
              <w:t>3</w:t>
            </w:r>
          </w:p>
        </w:tc>
        <w:tc>
          <w:tcPr>
            <w:tcW w:w="681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ind w:firstLine="440"/>
              <w:jc w:val="left"/>
              <w:rPr>
                <w:rFonts w:ascii="宋体" w:hAnsi="宋体" w:eastAsia="宋体" w:cs="宋体"/>
                <w:sz w:val="22"/>
                <w:szCs w:val="22"/>
              </w:rPr>
            </w:pPr>
            <w:r>
              <w:rPr>
                <w:rFonts w:ascii="宋体" w:hAnsi="宋体" w:eastAsia="宋体" w:cs="宋体"/>
                <w:sz w:val="22"/>
                <w:szCs w:val="22"/>
              </w:rPr>
              <w:t>投标人应在中华人民共和国境内注册，持有工商行政管理部门核发且有效的企业法人营业执照，住房和城乡建设主管部门颁发的有效的房屋建筑工程监理乙级资质及以上资质；</w:t>
            </w:r>
          </w:p>
        </w:tc>
      </w:tr>
    </w:tbl>
    <w:p>
      <w:pPr>
        <w:spacing w:before="142"/>
        <w:ind w:left="143"/>
        <w:jc w:val="center"/>
        <w:rPr>
          <w:rFonts w:ascii="宋体" w:hAnsi="宋体" w:eastAsia="宋体" w:cs="宋体"/>
          <w:b/>
          <w:color w:val="000000"/>
          <w:sz w:val="28"/>
        </w:rPr>
      </w:pPr>
    </w:p>
    <w:p>
      <w:pPr>
        <w:spacing w:before="2"/>
        <w:jc w:val="left"/>
        <w:rPr>
          <w:rFonts w:ascii="宋体" w:hAnsi="宋体" w:eastAsia="宋体" w:cs="宋体"/>
          <w:color w:val="000000"/>
          <w:sz w:val="20"/>
        </w:rPr>
      </w:pPr>
    </w:p>
    <w:p>
      <w:pPr>
        <w:jc w:val="left"/>
        <w:rPr>
          <w:rFonts w:ascii="宋体" w:hAnsi="宋体" w:eastAsia="宋体" w:cs="宋体"/>
          <w:color w:val="000000"/>
          <w:sz w:val="2"/>
        </w:rPr>
      </w:pPr>
    </w:p>
    <w:p>
      <w:pPr>
        <w:spacing w:line="360" w:lineRule="auto"/>
        <w:jc w:val="center"/>
        <w:rPr>
          <w:rFonts w:ascii="宋体" w:hAnsi="宋体" w:eastAsia="宋体" w:cs="宋体"/>
          <w:b/>
          <w:color w:val="000000"/>
          <w:sz w:val="28"/>
        </w:rPr>
      </w:pPr>
    </w:p>
    <w:p>
      <w:pPr>
        <w:spacing w:before="142"/>
        <w:ind w:left="143"/>
        <w:jc w:val="center"/>
        <w:rPr>
          <w:rFonts w:ascii="宋体" w:hAnsi="宋体" w:eastAsia="宋体" w:cs="宋体"/>
          <w:b/>
          <w:color w:val="000000"/>
          <w:sz w:val="28"/>
        </w:rPr>
      </w:pPr>
    </w:p>
    <w:p>
      <w:pPr>
        <w:spacing w:before="142"/>
        <w:ind w:left="143"/>
        <w:jc w:val="center"/>
        <w:rPr>
          <w:rFonts w:ascii="宋体" w:hAnsi="宋体" w:eastAsia="宋体" w:cs="宋体"/>
          <w:b/>
          <w:color w:val="000000"/>
          <w:sz w:val="28"/>
        </w:rPr>
      </w:pPr>
    </w:p>
    <w:p>
      <w:pPr>
        <w:spacing w:before="142"/>
        <w:ind w:left="143"/>
        <w:jc w:val="center"/>
        <w:rPr>
          <w:rFonts w:ascii="宋体" w:hAnsi="宋体" w:eastAsia="宋体" w:cs="宋体"/>
          <w:b/>
          <w:color w:val="000000"/>
          <w:sz w:val="28"/>
        </w:rPr>
        <w:sectPr>
          <w:pgSz w:w="11906" w:h="16838"/>
          <w:pgMar w:top="1440" w:right="1800" w:bottom="1383" w:left="1800" w:header="851" w:footer="992" w:gutter="0"/>
          <w:pgNumType w:fmt="decimal"/>
          <w:cols w:space="720" w:num="1"/>
          <w:docGrid w:type="lines" w:linePitch="312" w:charSpace="0"/>
        </w:sectPr>
      </w:pPr>
    </w:p>
    <w:p>
      <w:pPr>
        <w:spacing w:before="142"/>
        <w:ind w:left="143"/>
        <w:jc w:val="center"/>
        <w:rPr>
          <w:rFonts w:ascii="宋体" w:hAnsi="宋体" w:eastAsia="宋体" w:cs="宋体"/>
          <w:b/>
          <w:color w:val="000000"/>
          <w:sz w:val="28"/>
        </w:rPr>
      </w:pPr>
      <w:r>
        <w:rPr>
          <w:rFonts w:ascii="宋体" w:hAnsi="宋体" w:eastAsia="宋体" w:cs="宋体"/>
          <w:b/>
          <w:color w:val="000000"/>
          <w:sz w:val="28"/>
        </w:rPr>
        <w:t>附录 2</w:t>
      </w:r>
      <w:r>
        <w:rPr>
          <w:rFonts w:ascii="宋体" w:hAnsi="宋体" w:eastAsia="宋体" w:cs="宋体"/>
          <w:b/>
          <w:color w:val="000000"/>
          <w:sz w:val="28"/>
        </w:rPr>
        <w:tab/>
      </w:r>
      <w:r>
        <w:rPr>
          <w:rFonts w:ascii="宋体" w:hAnsi="宋体" w:eastAsia="宋体" w:cs="宋体"/>
          <w:b/>
          <w:color w:val="000000"/>
          <w:sz w:val="28"/>
        </w:rPr>
        <w:t>资格审查条件（业绩最低要求）</w:t>
      </w:r>
    </w:p>
    <w:p>
      <w:pPr>
        <w:spacing w:before="5"/>
        <w:jc w:val="left"/>
        <w:rPr>
          <w:rFonts w:ascii="宋体" w:hAnsi="宋体" w:eastAsia="宋体" w:cs="宋体"/>
          <w:color w:val="000000"/>
          <w:sz w:val="26"/>
        </w:rPr>
      </w:pPr>
    </w:p>
    <w:tbl>
      <w:tblPr>
        <w:tblStyle w:val="4"/>
        <w:tblW w:w="0" w:type="auto"/>
        <w:tblInd w:w="108" w:type="dxa"/>
        <w:tblLayout w:type="autofit"/>
        <w:tblCellMar>
          <w:top w:w="0" w:type="dxa"/>
          <w:left w:w="10" w:type="dxa"/>
          <w:bottom w:w="0" w:type="dxa"/>
          <w:right w:w="10" w:type="dxa"/>
        </w:tblCellMar>
      </w:tblPr>
      <w:tblGrid>
        <w:gridCol w:w="828"/>
        <w:gridCol w:w="925"/>
        <w:gridCol w:w="6661"/>
      </w:tblGrid>
      <w:tr>
        <w:tblPrEx>
          <w:tblCellMar>
            <w:top w:w="0" w:type="dxa"/>
            <w:left w:w="10" w:type="dxa"/>
            <w:bottom w:w="0" w:type="dxa"/>
            <w:right w:w="10" w:type="dxa"/>
          </w:tblCellMar>
        </w:tblPrEx>
        <w:trPr>
          <w:trHeight w:val="417"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b/>
                <w:sz w:val="22"/>
                <w:szCs w:val="22"/>
              </w:rPr>
              <w:t>类别</w:t>
            </w:r>
          </w:p>
        </w:tc>
        <w:tc>
          <w:tcPr>
            <w:tcW w:w="92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b/>
                <w:sz w:val="22"/>
                <w:szCs w:val="22"/>
              </w:rPr>
              <w:t>标段</w:t>
            </w:r>
          </w:p>
        </w:tc>
        <w:tc>
          <w:tcPr>
            <w:tcW w:w="66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ind w:firstLine="221"/>
              <w:jc w:val="center"/>
              <w:rPr>
                <w:rFonts w:ascii="宋体" w:hAnsi="宋体" w:eastAsia="宋体" w:cs="宋体"/>
                <w:sz w:val="22"/>
                <w:szCs w:val="22"/>
              </w:rPr>
            </w:pPr>
            <w:r>
              <w:rPr>
                <w:rFonts w:ascii="宋体" w:hAnsi="宋体" w:eastAsia="宋体" w:cs="宋体"/>
                <w:b/>
                <w:sz w:val="22"/>
                <w:szCs w:val="22"/>
              </w:rPr>
              <w:t>业绩要求</w:t>
            </w:r>
          </w:p>
        </w:tc>
      </w:tr>
      <w:tr>
        <w:trPr>
          <w:trHeight w:val="1558"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ind w:firstLine="220"/>
              <w:jc w:val="left"/>
              <w:rPr>
                <w:rFonts w:ascii="宋体" w:hAnsi="宋体" w:eastAsia="宋体" w:cs="宋体"/>
                <w:sz w:val="22"/>
                <w:szCs w:val="22"/>
              </w:rPr>
            </w:pPr>
            <w:r>
              <w:rPr>
                <w:rFonts w:ascii="宋体" w:hAnsi="宋体" w:eastAsia="宋体" w:cs="宋体"/>
                <w:sz w:val="22"/>
                <w:szCs w:val="22"/>
              </w:rPr>
              <w:t>A</w:t>
            </w:r>
          </w:p>
        </w:tc>
        <w:tc>
          <w:tcPr>
            <w:tcW w:w="92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jc w:val="center"/>
              <w:rPr>
                <w:rFonts w:ascii="宋体" w:hAnsi="宋体" w:eastAsia="宋体" w:cs="宋体"/>
                <w:sz w:val="22"/>
                <w:szCs w:val="22"/>
              </w:rPr>
            </w:pPr>
            <w:r>
              <w:rPr>
                <w:rFonts w:ascii="宋体" w:hAnsi="宋体" w:eastAsia="宋体" w:cs="宋体"/>
                <w:sz w:val="22"/>
                <w:szCs w:val="22"/>
              </w:rPr>
              <w:t>1、2</w:t>
            </w:r>
          </w:p>
        </w:tc>
        <w:tc>
          <w:tcPr>
            <w:tcW w:w="66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ind w:firstLine="440"/>
              <w:rPr>
                <w:rFonts w:ascii="宋体" w:hAnsi="宋体" w:eastAsia="宋体" w:cs="宋体"/>
                <w:color w:val="auto"/>
                <w:sz w:val="22"/>
                <w:szCs w:val="22"/>
              </w:rPr>
            </w:pPr>
            <w:r>
              <w:rPr>
                <w:rFonts w:ascii="宋体" w:hAnsi="宋体" w:eastAsia="宋体" w:cs="宋体"/>
                <w:color w:val="auto"/>
                <w:sz w:val="22"/>
                <w:szCs w:val="22"/>
              </w:rPr>
              <w:t>近五年内（</w:t>
            </w:r>
            <w:r>
              <w:rPr>
                <w:rFonts w:hint="eastAsia" w:ascii="宋体" w:hAnsi="宋体" w:eastAsia="宋体" w:cs="宋体"/>
                <w:color w:val="auto"/>
                <w:sz w:val="22"/>
                <w:szCs w:val="22"/>
                <w:lang w:eastAsia="zh-CN"/>
              </w:rPr>
              <w:t>2017年11月15日</w:t>
            </w:r>
            <w:r>
              <w:rPr>
                <w:rFonts w:ascii="宋体" w:hAnsi="宋体" w:eastAsia="宋体" w:cs="宋体"/>
                <w:color w:val="auto"/>
                <w:sz w:val="22"/>
                <w:szCs w:val="22"/>
              </w:rPr>
              <w:t>至投标文件递交截止日)通过</w:t>
            </w:r>
            <w:r>
              <w:rPr>
                <w:rFonts w:hint="eastAsia" w:ascii="宋体" w:hAnsi="宋体" w:eastAsia="宋体" w:cs="宋体"/>
                <w:color w:val="auto"/>
                <w:sz w:val="22"/>
                <w:szCs w:val="22"/>
                <w:lang w:eastAsia="zh-CN"/>
              </w:rPr>
              <w:t>交工或竣工</w:t>
            </w:r>
            <w:r>
              <w:rPr>
                <w:rFonts w:ascii="宋体" w:hAnsi="宋体" w:eastAsia="宋体" w:cs="宋体"/>
                <w:color w:val="auto"/>
                <w:sz w:val="22"/>
                <w:szCs w:val="22"/>
              </w:rPr>
              <w:t>并满足下列要求：</w:t>
            </w:r>
          </w:p>
          <w:p>
            <w:pPr>
              <w:spacing w:line="480" w:lineRule="auto"/>
              <w:rPr>
                <w:rFonts w:ascii="宋体" w:hAnsi="宋体" w:eastAsia="宋体" w:cs="宋体"/>
                <w:sz w:val="22"/>
                <w:szCs w:val="22"/>
              </w:rPr>
            </w:pPr>
            <w:r>
              <w:rPr>
                <w:rFonts w:ascii="宋体" w:hAnsi="宋体" w:eastAsia="宋体" w:cs="宋体"/>
                <w:sz w:val="22"/>
                <w:szCs w:val="22"/>
              </w:rPr>
              <w:t>（1）至少完成过1项一级及以上新（改）建公路工程的施工监理业绩（</w:t>
            </w:r>
            <w:r>
              <w:rPr>
                <w:rFonts w:ascii="宋体" w:hAnsi="宋体" w:eastAsia="宋体" w:cs="宋体"/>
                <w:sz w:val="22"/>
                <w:szCs w:val="22"/>
                <w:shd w:val="clear" w:color="auto" w:fill="FFFFFF"/>
              </w:rPr>
              <w:t>同时包含公路路基、路面、桥涵</w:t>
            </w:r>
            <w:r>
              <w:rPr>
                <w:rFonts w:ascii="宋体" w:hAnsi="宋体" w:eastAsia="宋体" w:cs="宋体"/>
                <w:sz w:val="22"/>
                <w:szCs w:val="22"/>
              </w:rPr>
              <w:t>）。</w:t>
            </w:r>
          </w:p>
          <w:p>
            <w:pPr>
              <w:spacing w:line="480" w:lineRule="auto"/>
              <w:rPr>
                <w:rFonts w:ascii="宋体" w:hAnsi="宋体" w:eastAsia="宋体" w:cs="宋体"/>
                <w:sz w:val="22"/>
                <w:szCs w:val="22"/>
              </w:rPr>
            </w:pPr>
            <w:r>
              <w:rPr>
                <w:rFonts w:ascii="宋体" w:hAnsi="宋体" w:eastAsia="宋体" w:cs="宋体"/>
                <w:sz w:val="22"/>
                <w:szCs w:val="22"/>
              </w:rPr>
              <w:t>（2）至少完成1项新（改）建一级及以上公路交通安全设施工程施工监理业绩。</w:t>
            </w:r>
          </w:p>
          <w:p>
            <w:pPr>
              <w:spacing w:line="480" w:lineRule="auto"/>
              <w:rPr>
                <w:rFonts w:ascii="宋体" w:hAnsi="宋体" w:eastAsia="宋体" w:cs="宋体"/>
                <w:sz w:val="22"/>
                <w:szCs w:val="22"/>
              </w:rPr>
            </w:pPr>
            <w:r>
              <w:rPr>
                <w:rFonts w:ascii="宋体" w:hAnsi="宋体" w:eastAsia="宋体" w:cs="宋体"/>
                <w:sz w:val="22"/>
                <w:szCs w:val="22"/>
              </w:rPr>
              <w:t>（3）至少完成过1项一级及以上新（改）建公路工程大桥及以上的施工监理业绩；</w:t>
            </w:r>
          </w:p>
          <w:p>
            <w:pPr>
              <w:spacing w:line="360" w:lineRule="auto"/>
              <w:ind w:firstLine="221"/>
              <w:rPr>
                <w:rFonts w:ascii="宋体" w:hAnsi="宋体" w:eastAsia="宋体" w:cs="宋体"/>
                <w:sz w:val="22"/>
                <w:szCs w:val="22"/>
              </w:rPr>
            </w:pPr>
            <w:r>
              <w:rPr>
                <w:rFonts w:ascii="宋体" w:hAnsi="宋体" w:eastAsia="宋体" w:cs="宋体"/>
                <w:b/>
                <w:color w:val="auto"/>
                <w:sz w:val="22"/>
                <w:szCs w:val="22"/>
              </w:rPr>
              <w:t>注：同一业绩含有多项工作内容可以分别计算。</w:t>
            </w:r>
          </w:p>
        </w:tc>
      </w:tr>
      <w:tr>
        <w:tblPrEx>
          <w:tblCellMar>
            <w:top w:w="0" w:type="dxa"/>
            <w:left w:w="10" w:type="dxa"/>
            <w:bottom w:w="0" w:type="dxa"/>
            <w:right w:w="10" w:type="dxa"/>
          </w:tblCellMar>
        </w:tblPrEx>
        <w:trPr>
          <w:trHeight w:val="1558"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ind w:firstLine="220"/>
              <w:jc w:val="left"/>
              <w:rPr>
                <w:rFonts w:ascii="宋体" w:hAnsi="宋体" w:eastAsia="宋体" w:cs="宋体"/>
                <w:sz w:val="22"/>
                <w:szCs w:val="22"/>
              </w:rPr>
            </w:pPr>
            <w:r>
              <w:rPr>
                <w:rFonts w:ascii="宋体" w:hAnsi="宋体" w:eastAsia="宋体" w:cs="宋体"/>
                <w:sz w:val="22"/>
                <w:szCs w:val="22"/>
              </w:rPr>
              <w:t>B</w:t>
            </w:r>
          </w:p>
        </w:tc>
        <w:tc>
          <w:tcPr>
            <w:tcW w:w="92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400" w:lineRule="auto"/>
              <w:ind w:firstLine="220"/>
              <w:jc w:val="center"/>
              <w:rPr>
                <w:rFonts w:ascii="宋体" w:hAnsi="宋体" w:eastAsia="宋体" w:cs="宋体"/>
                <w:sz w:val="22"/>
                <w:szCs w:val="22"/>
              </w:rPr>
            </w:pPr>
            <w:r>
              <w:rPr>
                <w:rFonts w:ascii="宋体" w:hAnsi="宋体" w:eastAsia="宋体" w:cs="宋体"/>
                <w:sz w:val="22"/>
                <w:szCs w:val="22"/>
              </w:rPr>
              <w:t>3</w:t>
            </w:r>
          </w:p>
        </w:tc>
        <w:tc>
          <w:tcPr>
            <w:tcW w:w="666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ind w:firstLine="440"/>
              <w:rPr>
                <w:rFonts w:ascii="宋体" w:hAnsi="宋体" w:eastAsia="宋体" w:cs="宋体"/>
                <w:sz w:val="22"/>
                <w:szCs w:val="22"/>
              </w:rPr>
            </w:pPr>
            <w:r>
              <w:rPr>
                <w:rFonts w:ascii="宋体" w:hAnsi="宋体" w:eastAsia="宋体" w:cs="宋体"/>
                <w:sz w:val="22"/>
                <w:szCs w:val="22"/>
              </w:rPr>
              <w:t>近五年内（</w:t>
            </w:r>
            <w:r>
              <w:rPr>
                <w:rFonts w:hint="eastAsia" w:ascii="宋体" w:hAnsi="宋体" w:eastAsia="宋体" w:cs="宋体"/>
                <w:sz w:val="22"/>
                <w:szCs w:val="22"/>
                <w:lang w:eastAsia="zh-CN"/>
              </w:rPr>
              <w:t>2017年11月15日</w:t>
            </w:r>
            <w:r>
              <w:rPr>
                <w:rFonts w:ascii="宋体" w:hAnsi="宋体" w:eastAsia="宋体" w:cs="宋体"/>
                <w:sz w:val="22"/>
                <w:szCs w:val="22"/>
              </w:rPr>
              <w:t>至投标文件递交截止日）通过竣工验收并满足下列要求：</w:t>
            </w:r>
          </w:p>
          <w:p>
            <w:pPr>
              <w:spacing w:line="360" w:lineRule="auto"/>
              <w:rPr>
                <w:rFonts w:ascii="宋体" w:hAnsi="宋体" w:eastAsia="宋体" w:cs="宋体"/>
                <w:sz w:val="22"/>
                <w:szCs w:val="22"/>
              </w:rPr>
            </w:pPr>
            <w:r>
              <w:rPr>
                <w:rFonts w:ascii="宋体" w:hAnsi="宋体" w:eastAsia="宋体" w:cs="宋体"/>
                <w:sz w:val="22"/>
                <w:szCs w:val="22"/>
              </w:rPr>
              <w:t>（1）至少完成过1项房屋建筑工程施工监理业绩；</w:t>
            </w:r>
          </w:p>
          <w:p>
            <w:pPr>
              <w:spacing w:line="360" w:lineRule="auto"/>
              <w:rPr>
                <w:rFonts w:ascii="宋体" w:hAnsi="宋体" w:eastAsia="宋体" w:cs="宋体"/>
                <w:sz w:val="22"/>
                <w:szCs w:val="22"/>
              </w:rPr>
            </w:pPr>
            <w:r>
              <w:rPr>
                <w:rFonts w:ascii="宋体" w:hAnsi="宋体" w:eastAsia="宋体" w:cs="宋体"/>
                <w:sz w:val="22"/>
                <w:szCs w:val="22"/>
              </w:rPr>
              <w:t>（2）至少完成1项钢结构工程施工监理业绩（单跨跨度45m及以上）。</w:t>
            </w:r>
          </w:p>
          <w:p>
            <w:pPr>
              <w:spacing w:line="360" w:lineRule="auto"/>
              <w:ind w:firstLine="442"/>
              <w:rPr>
                <w:rFonts w:ascii="宋体" w:hAnsi="宋体" w:eastAsia="宋体" w:cs="宋体"/>
                <w:sz w:val="22"/>
                <w:szCs w:val="22"/>
              </w:rPr>
            </w:pPr>
            <w:r>
              <w:rPr>
                <w:rFonts w:ascii="宋体" w:hAnsi="宋体" w:eastAsia="宋体" w:cs="宋体"/>
                <w:b/>
                <w:sz w:val="22"/>
                <w:szCs w:val="22"/>
              </w:rPr>
              <w:t>注：同一业绩含有多项工作内容可以分别计算。</w:t>
            </w:r>
          </w:p>
        </w:tc>
      </w:tr>
    </w:tbl>
    <w:p>
      <w:pPr>
        <w:spacing w:before="4"/>
        <w:jc w:val="left"/>
        <w:rPr>
          <w:rFonts w:ascii="宋体" w:hAnsi="宋体" w:eastAsia="宋体" w:cs="宋体"/>
          <w:color w:val="000000"/>
          <w:sz w:val="20"/>
        </w:rPr>
      </w:pPr>
    </w:p>
    <w:p>
      <w:pPr>
        <w:spacing w:line="360" w:lineRule="auto"/>
        <w:jc w:val="left"/>
        <w:rPr>
          <w:rFonts w:ascii="宋体" w:hAnsi="宋体" w:eastAsia="宋体" w:cs="宋体"/>
          <w:b/>
          <w:color w:val="000000"/>
          <w:sz w:val="28"/>
        </w:rPr>
      </w:pPr>
    </w:p>
    <w:p>
      <w:pPr>
        <w:tabs>
          <w:tab w:val="left" w:pos="1189"/>
        </w:tabs>
        <w:spacing w:before="13"/>
        <w:ind w:left="143"/>
        <w:jc w:val="center"/>
        <w:rPr>
          <w:rFonts w:ascii="宋体" w:hAnsi="宋体" w:eastAsia="宋体" w:cs="宋体"/>
          <w:b/>
          <w:color w:val="000000"/>
          <w:spacing w:val="-18"/>
          <w:sz w:val="28"/>
        </w:rPr>
      </w:pPr>
    </w:p>
    <w:p>
      <w:pPr>
        <w:spacing w:before="142"/>
        <w:ind w:left="143"/>
        <w:jc w:val="center"/>
        <w:rPr>
          <w:rFonts w:ascii="宋体" w:hAnsi="宋体" w:eastAsia="宋体" w:cs="宋体"/>
          <w:b/>
          <w:color w:val="000000"/>
          <w:sz w:val="28"/>
        </w:rPr>
      </w:pPr>
    </w:p>
    <w:p>
      <w:pPr>
        <w:spacing w:before="142"/>
        <w:ind w:left="143"/>
        <w:jc w:val="center"/>
        <w:rPr>
          <w:rFonts w:ascii="宋体" w:hAnsi="宋体" w:eastAsia="宋体" w:cs="宋体"/>
          <w:b/>
          <w:color w:val="000000"/>
          <w:sz w:val="28"/>
        </w:rPr>
      </w:pPr>
    </w:p>
    <w:p>
      <w:pPr>
        <w:spacing w:before="142"/>
        <w:ind w:left="143"/>
        <w:jc w:val="center"/>
        <w:rPr>
          <w:rFonts w:ascii="宋体" w:hAnsi="宋体" w:eastAsia="宋体" w:cs="宋体"/>
          <w:b/>
          <w:color w:val="000000"/>
          <w:sz w:val="28"/>
        </w:rPr>
        <w:sectPr>
          <w:pgSz w:w="11906" w:h="16838"/>
          <w:pgMar w:top="1440" w:right="1800" w:bottom="1383" w:left="1800" w:header="851" w:footer="992" w:gutter="0"/>
          <w:pgNumType w:fmt="decimal"/>
          <w:cols w:space="720" w:num="1"/>
          <w:docGrid w:type="lines" w:linePitch="312" w:charSpace="0"/>
        </w:sectPr>
      </w:pPr>
    </w:p>
    <w:p>
      <w:pPr>
        <w:spacing w:before="142"/>
        <w:ind w:left="143"/>
        <w:jc w:val="center"/>
        <w:rPr>
          <w:rFonts w:ascii="宋体" w:hAnsi="宋体" w:eastAsia="宋体" w:cs="宋体"/>
          <w:b/>
          <w:color w:val="000000"/>
          <w:sz w:val="28"/>
        </w:rPr>
      </w:pPr>
      <w:r>
        <w:rPr>
          <w:rFonts w:ascii="宋体" w:hAnsi="宋体" w:eastAsia="宋体" w:cs="宋体"/>
          <w:b/>
          <w:color w:val="000000"/>
          <w:sz w:val="28"/>
        </w:rPr>
        <w:t xml:space="preserve">附录 3资格审查条件 （信誉最低要求） </w:t>
      </w:r>
    </w:p>
    <w:tbl>
      <w:tblPr>
        <w:tblStyle w:val="4"/>
        <w:tblpPr w:leftFromText="180" w:rightFromText="180" w:vertAnchor="text" w:horzAnchor="page" w:tblpX="1751" w:tblpY="592"/>
        <w:tblOverlap w:val="never"/>
        <w:tblW w:w="0" w:type="auto"/>
        <w:tblInd w:w="0" w:type="dxa"/>
        <w:tblLayout w:type="autofit"/>
        <w:tblCellMar>
          <w:top w:w="0" w:type="dxa"/>
          <w:left w:w="10" w:type="dxa"/>
          <w:bottom w:w="0" w:type="dxa"/>
          <w:right w:w="10" w:type="dxa"/>
        </w:tblCellMar>
      </w:tblPr>
      <w:tblGrid>
        <w:gridCol w:w="1149"/>
        <w:gridCol w:w="1162"/>
        <w:gridCol w:w="6211"/>
      </w:tblGrid>
      <w:tr>
        <w:tblPrEx>
          <w:tblCellMar>
            <w:top w:w="0" w:type="dxa"/>
            <w:left w:w="10" w:type="dxa"/>
            <w:bottom w:w="0" w:type="dxa"/>
            <w:right w:w="10" w:type="dxa"/>
          </w:tblCellMar>
        </w:tblPrEx>
        <w:trPr>
          <w:trHeight w:val="482" w:hRule="atLeast"/>
        </w:trPr>
        <w:tc>
          <w:tcPr>
            <w:tcW w:w="114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before="10" w:line="360" w:lineRule="auto"/>
              <w:jc w:val="center"/>
              <w:rPr>
                <w:rFonts w:ascii="宋体" w:hAnsi="宋体" w:eastAsia="宋体" w:cs="宋体"/>
                <w:sz w:val="22"/>
                <w:szCs w:val="22"/>
              </w:rPr>
            </w:pPr>
            <w:r>
              <w:rPr>
                <w:rFonts w:ascii="宋体" w:hAnsi="宋体" w:eastAsia="宋体" w:cs="宋体"/>
                <w:b/>
                <w:color w:val="000000"/>
                <w:sz w:val="22"/>
                <w:szCs w:val="22"/>
              </w:rPr>
              <w:t>类别</w:t>
            </w:r>
          </w:p>
        </w:tc>
        <w:tc>
          <w:tcPr>
            <w:tcW w:w="116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before="10" w:line="360" w:lineRule="auto"/>
              <w:jc w:val="center"/>
              <w:rPr>
                <w:rFonts w:ascii="宋体" w:hAnsi="宋体" w:eastAsia="宋体" w:cs="宋体"/>
                <w:sz w:val="22"/>
                <w:szCs w:val="22"/>
              </w:rPr>
            </w:pPr>
            <w:r>
              <w:rPr>
                <w:rFonts w:ascii="宋体" w:hAnsi="宋体" w:eastAsia="宋体" w:cs="宋体"/>
                <w:b/>
                <w:color w:val="000000"/>
                <w:sz w:val="22"/>
                <w:szCs w:val="22"/>
              </w:rPr>
              <w:t>标段</w:t>
            </w:r>
          </w:p>
        </w:tc>
        <w:tc>
          <w:tcPr>
            <w:tcW w:w="621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before="10" w:line="360" w:lineRule="auto"/>
              <w:jc w:val="center"/>
              <w:rPr>
                <w:rFonts w:ascii="宋体" w:hAnsi="宋体" w:eastAsia="宋体" w:cs="宋体"/>
                <w:sz w:val="22"/>
                <w:szCs w:val="22"/>
              </w:rPr>
            </w:pPr>
            <w:r>
              <w:rPr>
                <w:rFonts w:ascii="宋体" w:hAnsi="宋体" w:eastAsia="宋体" w:cs="宋体"/>
                <w:b/>
                <w:color w:val="000000"/>
                <w:sz w:val="22"/>
                <w:szCs w:val="22"/>
              </w:rPr>
              <w:t>信誉要求</w:t>
            </w:r>
          </w:p>
        </w:tc>
      </w:tr>
      <w:tr>
        <w:tblPrEx>
          <w:tblCellMar>
            <w:top w:w="0" w:type="dxa"/>
            <w:left w:w="10" w:type="dxa"/>
            <w:bottom w:w="0" w:type="dxa"/>
            <w:right w:w="10" w:type="dxa"/>
          </w:tblCellMar>
        </w:tblPrEx>
        <w:trPr>
          <w:trHeight w:val="4816" w:hRule="atLeast"/>
        </w:trPr>
        <w:tc>
          <w:tcPr>
            <w:tcW w:w="114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color w:val="000000"/>
                <w:sz w:val="22"/>
                <w:szCs w:val="22"/>
              </w:rPr>
              <w:t>A</w:t>
            </w:r>
          </w:p>
        </w:tc>
        <w:tc>
          <w:tcPr>
            <w:tcW w:w="116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color w:val="000000"/>
                <w:sz w:val="22"/>
                <w:szCs w:val="22"/>
              </w:rPr>
              <w:t>1、2</w:t>
            </w:r>
          </w:p>
        </w:tc>
        <w:tc>
          <w:tcPr>
            <w:tcW w:w="6211" w:type="dxa"/>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 xml:space="preserve">1.投标人未进入清算程序，或被宣告破产，或其他丧失履约能力的情形； </w:t>
            </w:r>
          </w:p>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2.投标人在近三年（</w:t>
            </w:r>
            <w:r>
              <w:rPr>
                <w:rFonts w:hint="eastAsia" w:ascii="宋体" w:hAnsi="宋体" w:eastAsia="宋体" w:cs="宋体"/>
                <w:color w:val="000000"/>
                <w:sz w:val="22"/>
                <w:szCs w:val="22"/>
                <w:lang w:eastAsia="zh-CN"/>
              </w:rPr>
              <w:t>2019年11月15日</w:t>
            </w:r>
            <w:r>
              <w:rPr>
                <w:rFonts w:ascii="宋体" w:hAnsi="宋体" w:eastAsia="宋体" w:cs="宋体"/>
                <w:color w:val="000000"/>
                <w:sz w:val="22"/>
                <w:szCs w:val="22"/>
              </w:rPr>
              <w:t>至今）未在工程建设领域因重、特大工程质量、安全事故受到省级及以上行政主管部门的通报，未在山西省公路工程建设项目中发生重大工程质量、安全等事故并受到通报；</w:t>
            </w:r>
          </w:p>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 xml:space="preserve">3.投标人在山西省公路建设市场未发生严重不履约行为； </w:t>
            </w:r>
          </w:p>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4.投标人在交通运输部、山西省公路建设市场施工企业信用评价的考核定级中，未被评价为D级，或曾被评价为D级但处罚期限已过；</w:t>
            </w:r>
          </w:p>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5.投标人目前没有受到交通运输部或山西省交通厅做出的，取消投标资格或禁止进入公路建设市场且处于有效期内的行政处罚；</w:t>
            </w:r>
          </w:p>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 xml:space="preserve">6.投标人在国家企业信用信息公示系统（http://www.gsxt.gov.cn/）中未被列入严重违法失信企业名单； </w:t>
            </w:r>
          </w:p>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7.投标人在“信用中国”网站（http://www.creditchina.gov.cn/）中未被列入失信被执行人名单；</w:t>
            </w:r>
          </w:p>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8.投标人及其法定代表人，拟委任的项目总监理工程师在近三年内（</w:t>
            </w:r>
            <w:r>
              <w:rPr>
                <w:rFonts w:hint="eastAsia" w:ascii="宋体" w:hAnsi="宋体" w:eastAsia="宋体" w:cs="宋体"/>
                <w:color w:val="000000"/>
                <w:sz w:val="22"/>
                <w:szCs w:val="22"/>
                <w:lang w:eastAsia="zh-CN"/>
              </w:rPr>
              <w:t>2019年11月15日</w:t>
            </w:r>
            <w:r>
              <w:rPr>
                <w:rFonts w:ascii="宋体" w:hAnsi="宋体" w:eastAsia="宋体" w:cs="宋体"/>
                <w:color w:val="000000"/>
                <w:sz w:val="22"/>
                <w:szCs w:val="22"/>
              </w:rPr>
              <w:t>至今）无行贿犯罪记录行为（投标人须提供无行贿犯罪行为的书面承诺书）。</w:t>
            </w:r>
          </w:p>
          <w:p>
            <w:pPr>
              <w:spacing w:line="360" w:lineRule="auto"/>
              <w:ind w:firstLine="440"/>
              <w:rPr>
                <w:rFonts w:ascii="宋体" w:hAnsi="宋体" w:eastAsia="宋体" w:cs="宋体"/>
                <w:color w:val="000000"/>
                <w:sz w:val="22"/>
                <w:szCs w:val="22"/>
              </w:rPr>
            </w:pPr>
            <w:r>
              <w:rPr>
                <w:rFonts w:ascii="宋体" w:hAnsi="宋体" w:eastAsia="宋体" w:cs="宋体"/>
                <w:color w:val="000000"/>
                <w:sz w:val="22"/>
                <w:szCs w:val="22"/>
              </w:rPr>
              <w:t>9.投标人未被责令停业，暂扣或吊销执照，或吊销资质证书；</w:t>
            </w:r>
          </w:p>
          <w:p>
            <w:pPr>
              <w:spacing w:line="360" w:lineRule="auto"/>
              <w:ind w:firstLine="440"/>
              <w:rPr>
                <w:rFonts w:ascii="宋体" w:hAnsi="宋体" w:eastAsia="宋体" w:cs="宋体"/>
                <w:sz w:val="22"/>
                <w:szCs w:val="22"/>
              </w:rPr>
            </w:pPr>
            <w:r>
              <w:rPr>
                <w:rFonts w:ascii="宋体" w:hAnsi="宋体" w:eastAsia="宋体" w:cs="宋体"/>
                <w:color w:val="000000"/>
                <w:sz w:val="22"/>
                <w:szCs w:val="22"/>
              </w:rPr>
              <w:t>（投标人如未如实填报，一经查实，取消其投标资格）</w:t>
            </w:r>
          </w:p>
        </w:tc>
      </w:tr>
      <w:tr>
        <w:tblPrEx>
          <w:tblCellMar>
            <w:top w:w="0" w:type="dxa"/>
            <w:left w:w="10" w:type="dxa"/>
            <w:bottom w:w="0" w:type="dxa"/>
            <w:right w:w="10" w:type="dxa"/>
          </w:tblCellMar>
        </w:tblPrEx>
        <w:trPr>
          <w:trHeight w:val="1346" w:hRule="atLeast"/>
        </w:trPr>
        <w:tc>
          <w:tcPr>
            <w:tcW w:w="114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color w:val="000000"/>
                <w:sz w:val="22"/>
                <w:szCs w:val="22"/>
              </w:rPr>
              <w:t>B</w:t>
            </w:r>
          </w:p>
        </w:tc>
        <w:tc>
          <w:tcPr>
            <w:tcW w:w="1162"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eastAsia="宋体" w:cs="宋体"/>
                <w:sz w:val="22"/>
                <w:szCs w:val="22"/>
              </w:rPr>
            </w:pPr>
            <w:r>
              <w:rPr>
                <w:rFonts w:ascii="宋体" w:hAnsi="宋体" w:eastAsia="宋体" w:cs="宋体"/>
                <w:color w:val="000000"/>
                <w:sz w:val="22"/>
                <w:szCs w:val="22"/>
              </w:rPr>
              <w:t>3</w:t>
            </w:r>
          </w:p>
        </w:tc>
        <w:tc>
          <w:tcPr>
            <w:tcW w:w="6211" w:type="dxa"/>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tabs>
                <w:tab w:val="center" w:pos="4592"/>
                <w:tab w:val="left" w:pos="5921"/>
              </w:tabs>
              <w:jc w:val="center"/>
              <w:rPr>
                <w:rFonts w:ascii="宋体" w:hAnsi="宋体" w:eastAsia="宋体" w:cs="宋体"/>
                <w:sz w:val="22"/>
                <w:szCs w:val="22"/>
              </w:rPr>
            </w:pPr>
          </w:p>
        </w:tc>
      </w:tr>
    </w:tbl>
    <w:p>
      <w:pPr>
        <w:jc w:val="left"/>
        <w:rPr>
          <w:rFonts w:ascii="宋体" w:hAnsi="宋体" w:eastAsia="宋体" w:cs="宋体"/>
          <w:color w:val="000000"/>
          <w:sz w:val="20"/>
        </w:rPr>
      </w:pPr>
    </w:p>
    <w:p>
      <w:pPr>
        <w:spacing w:before="142"/>
        <w:ind w:left="143"/>
        <w:jc w:val="center"/>
        <w:rPr>
          <w:rFonts w:ascii="宋体" w:hAnsi="宋体" w:eastAsia="宋体" w:cs="宋体"/>
          <w:b/>
          <w:color w:val="000000"/>
          <w:sz w:val="28"/>
        </w:rPr>
      </w:pPr>
      <w:r>
        <w:rPr>
          <w:rFonts w:ascii="宋体" w:hAnsi="宋体" w:eastAsia="宋体" w:cs="宋体"/>
          <w:b/>
          <w:color w:val="000000"/>
          <w:sz w:val="28"/>
        </w:rPr>
        <w:t>附录 4</w:t>
      </w:r>
      <w:r>
        <w:rPr>
          <w:rFonts w:ascii="宋体" w:hAnsi="宋体" w:eastAsia="宋体" w:cs="宋体"/>
          <w:b/>
          <w:color w:val="000000"/>
          <w:sz w:val="28"/>
        </w:rPr>
        <w:tab/>
      </w:r>
      <w:r>
        <w:rPr>
          <w:rFonts w:ascii="宋体" w:hAnsi="宋体" w:eastAsia="宋体" w:cs="宋体"/>
          <w:b/>
          <w:color w:val="000000"/>
          <w:sz w:val="28"/>
        </w:rPr>
        <w:t>资格审查条件（总监理工程师最低要求）</w:t>
      </w:r>
    </w:p>
    <w:p>
      <w:pPr>
        <w:ind w:left="648"/>
        <w:jc w:val="left"/>
        <w:rPr>
          <w:rFonts w:ascii="宋体" w:hAnsi="宋体" w:eastAsia="宋体" w:cs="宋体"/>
          <w:sz w:val="42"/>
        </w:rPr>
      </w:pPr>
    </w:p>
    <w:tbl>
      <w:tblPr>
        <w:tblStyle w:val="4"/>
        <w:tblW w:w="0" w:type="auto"/>
        <w:tblInd w:w="98" w:type="dxa"/>
        <w:tblLayout w:type="autofit"/>
        <w:tblCellMar>
          <w:top w:w="0" w:type="dxa"/>
          <w:left w:w="10" w:type="dxa"/>
          <w:bottom w:w="0" w:type="dxa"/>
          <w:right w:w="10" w:type="dxa"/>
        </w:tblCellMar>
      </w:tblPr>
      <w:tblGrid>
        <w:gridCol w:w="654"/>
        <w:gridCol w:w="680"/>
        <w:gridCol w:w="915"/>
        <w:gridCol w:w="812"/>
        <w:gridCol w:w="3728"/>
        <w:gridCol w:w="1635"/>
      </w:tblGrid>
      <w:tr>
        <w:tblPrEx>
          <w:tblCellMar>
            <w:top w:w="0" w:type="dxa"/>
            <w:left w:w="10" w:type="dxa"/>
            <w:bottom w:w="0" w:type="dxa"/>
            <w:right w:w="10" w:type="dxa"/>
          </w:tblCellMar>
        </w:tblPrEx>
        <w:trPr>
          <w:trHeight w:val="738" w:hRule="atLeast"/>
        </w:trPr>
        <w:tc>
          <w:tcPr>
            <w:tcW w:w="654"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b/>
              </w:rPr>
              <w:t>类别</w:t>
            </w:r>
          </w:p>
        </w:tc>
        <w:tc>
          <w:tcPr>
            <w:tcW w:w="680"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b/>
              </w:rPr>
              <w:t>标段</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b/>
              </w:rPr>
              <w:t>人员</w:t>
            </w:r>
          </w:p>
        </w:tc>
        <w:tc>
          <w:tcPr>
            <w:tcW w:w="812"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b/>
              </w:rPr>
              <w:t>数量</w:t>
            </w:r>
          </w:p>
        </w:tc>
        <w:tc>
          <w:tcPr>
            <w:tcW w:w="3728"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b/>
              </w:rPr>
              <w:t>资 格 要 求</w:t>
            </w:r>
          </w:p>
        </w:tc>
        <w:tc>
          <w:tcPr>
            <w:tcW w:w="1635"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b/>
              </w:rPr>
              <w:t>在 岗 要 求</w:t>
            </w:r>
          </w:p>
        </w:tc>
      </w:tr>
      <w:tr>
        <w:tblPrEx>
          <w:tblCellMar>
            <w:top w:w="0" w:type="dxa"/>
            <w:left w:w="10" w:type="dxa"/>
            <w:bottom w:w="0" w:type="dxa"/>
            <w:right w:w="10" w:type="dxa"/>
          </w:tblCellMar>
        </w:tblPrEx>
        <w:trPr>
          <w:trHeight w:val="2321" w:hRule="atLeast"/>
        </w:trPr>
        <w:tc>
          <w:tcPr>
            <w:tcW w:w="654"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jc w:val="center"/>
              <w:rPr>
                <w:rFonts w:ascii="宋体" w:hAnsi="宋体" w:eastAsia="宋体" w:cs="宋体"/>
                <w:sz w:val="22"/>
              </w:rPr>
            </w:pPr>
            <w:r>
              <w:rPr>
                <w:rFonts w:ascii="宋体" w:hAnsi="宋体" w:eastAsia="宋体" w:cs="宋体"/>
                <w:sz w:val="22"/>
              </w:rPr>
              <w:t>A</w:t>
            </w:r>
          </w:p>
        </w:tc>
        <w:tc>
          <w:tcPr>
            <w:tcW w:w="680"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jc w:val="center"/>
              <w:rPr>
                <w:rFonts w:ascii="宋体" w:hAnsi="宋体" w:eastAsia="宋体" w:cs="宋体"/>
                <w:sz w:val="22"/>
              </w:rPr>
            </w:pPr>
            <w:r>
              <w:rPr>
                <w:rFonts w:ascii="宋体" w:hAnsi="宋体" w:eastAsia="宋体" w:cs="宋体"/>
                <w:sz w:val="22"/>
              </w:rPr>
              <w:t>1、2</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jc w:val="center"/>
              <w:rPr>
                <w:rFonts w:ascii="宋体" w:hAnsi="宋体" w:eastAsia="宋体" w:cs="宋体"/>
                <w:sz w:val="22"/>
              </w:rPr>
            </w:pPr>
            <w:r>
              <w:rPr>
                <w:rFonts w:ascii="宋体" w:hAnsi="宋体" w:eastAsia="宋体" w:cs="宋体"/>
                <w:sz w:val="22"/>
              </w:rPr>
              <w:t>总监理</w:t>
            </w:r>
          </w:p>
          <w:p>
            <w:pPr>
              <w:spacing w:line="260" w:lineRule="auto"/>
              <w:jc w:val="center"/>
              <w:rPr>
                <w:rFonts w:ascii="宋体" w:hAnsi="宋体" w:eastAsia="宋体" w:cs="宋体"/>
                <w:sz w:val="22"/>
              </w:rPr>
            </w:pPr>
            <w:r>
              <w:rPr>
                <w:rFonts w:ascii="宋体" w:hAnsi="宋体" w:eastAsia="宋体" w:cs="宋体"/>
                <w:sz w:val="22"/>
              </w:rPr>
              <w:t>工程师</w:t>
            </w:r>
          </w:p>
        </w:tc>
        <w:tc>
          <w:tcPr>
            <w:tcW w:w="812"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260" w:lineRule="auto"/>
              <w:jc w:val="center"/>
              <w:rPr>
                <w:rFonts w:ascii="宋体" w:hAnsi="宋体" w:eastAsia="宋体" w:cs="宋体"/>
                <w:sz w:val="22"/>
              </w:rPr>
            </w:pPr>
            <w:r>
              <w:rPr>
                <w:rFonts w:ascii="宋体" w:hAnsi="宋体" w:eastAsia="宋体" w:cs="宋体"/>
                <w:sz w:val="22"/>
              </w:rPr>
              <w:t>1</w:t>
            </w:r>
          </w:p>
        </w:tc>
        <w:tc>
          <w:tcPr>
            <w:tcW w:w="3728"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00" w:lineRule="auto"/>
              <w:ind w:firstLine="440"/>
              <w:jc w:val="left"/>
              <w:rPr>
                <w:rFonts w:ascii="宋体" w:hAnsi="宋体" w:eastAsia="宋体" w:cs="宋体"/>
                <w:sz w:val="22"/>
              </w:rPr>
            </w:pPr>
            <w:r>
              <w:rPr>
                <w:rFonts w:ascii="宋体" w:hAnsi="宋体" w:eastAsia="宋体" w:cs="宋体"/>
                <w:sz w:val="22"/>
              </w:rPr>
              <w:t>具有公路工程及相关专业高级及以上工程师职称，持有交通运输主管部门颁发的监理工程师资格证书，作为项目总监理工程师完成过1项一级及以上新（改）建公路工程的施工监理工作。</w:t>
            </w:r>
          </w:p>
        </w:tc>
        <w:tc>
          <w:tcPr>
            <w:tcW w:w="1635"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60" w:lineRule="auto"/>
              <w:ind w:right="44"/>
              <w:jc w:val="left"/>
              <w:rPr>
                <w:rFonts w:ascii="宋体" w:hAnsi="宋体" w:eastAsia="宋体" w:cs="宋体"/>
                <w:sz w:val="22"/>
              </w:rPr>
            </w:pPr>
            <w:r>
              <w:rPr>
                <w:rFonts w:ascii="宋体" w:hAnsi="宋体" w:eastAsia="宋体" w:cs="宋体"/>
                <w:sz w:val="22"/>
              </w:rPr>
              <w:t>无在岗项目（指目前未在其他项目上任职，或虽在其他项目上任职须承诺在本项目中标后能够从该项目撤离）</w:t>
            </w:r>
          </w:p>
        </w:tc>
      </w:tr>
      <w:tr>
        <w:tblPrEx>
          <w:tblCellMar>
            <w:top w:w="0" w:type="dxa"/>
            <w:left w:w="10" w:type="dxa"/>
            <w:bottom w:w="0" w:type="dxa"/>
            <w:right w:w="10" w:type="dxa"/>
          </w:tblCellMar>
        </w:tblPrEx>
        <w:trPr>
          <w:trHeight w:val="2796" w:hRule="atLeast"/>
        </w:trPr>
        <w:tc>
          <w:tcPr>
            <w:tcW w:w="654"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jc w:val="center"/>
              <w:rPr>
                <w:rFonts w:ascii="宋体" w:hAnsi="宋体" w:eastAsia="宋体" w:cs="宋体"/>
                <w:sz w:val="22"/>
              </w:rPr>
            </w:pPr>
            <w:r>
              <w:rPr>
                <w:rFonts w:ascii="宋体" w:hAnsi="宋体" w:eastAsia="宋体" w:cs="宋体"/>
                <w:sz w:val="22"/>
              </w:rPr>
              <w:t>B</w:t>
            </w:r>
          </w:p>
        </w:tc>
        <w:tc>
          <w:tcPr>
            <w:tcW w:w="680"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jc w:val="center"/>
              <w:rPr>
                <w:rFonts w:ascii="宋体" w:hAnsi="宋体" w:eastAsia="宋体" w:cs="宋体"/>
                <w:sz w:val="22"/>
              </w:rPr>
            </w:pPr>
            <w:r>
              <w:rPr>
                <w:rFonts w:ascii="宋体" w:hAnsi="宋体" w:eastAsia="宋体" w:cs="宋体"/>
                <w:sz w:val="22"/>
              </w:rPr>
              <w:t>3</w:t>
            </w:r>
          </w:p>
        </w:tc>
        <w:tc>
          <w:tcPr>
            <w:tcW w:w="915"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260" w:lineRule="auto"/>
              <w:jc w:val="center"/>
              <w:rPr>
                <w:rFonts w:ascii="宋体" w:hAnsi="宋体" w:eastAsia="宋体" w:cs="宋体"/>
                <w:sz w:val="22"/>
              </w:rPr>
            </w:pPr>
            <w:r>
              <w:rPr>
                <w:rFonts w:ascii="宋体" w:hAnsi="宋体" w:eastAsia="宋体" w:cs="宋体"/>
                <w:sz w:val="22"/>
              </w:rPr>
              <w:t>总监理工程师</w:t>
            </w:r>
          </w:p>
        </w:tc>
        <w:tc>
          <w:tcPr>
            <w:tcW w:w="812"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260" w:lineRule="auto"/>
              <w:jc w:val="center"/>
              <w:rPr>
                <w:rFonts w:ascii="宋体" w:hAnsi="宋体" w:eastAsia="宋体" w:cs="宋体"/>
                <w:sz w:val="22"/>
              </w:rPr>
            </w:pPr>
            <w:r>
              <w:rPr>
                <w:rFonts w:ascii="宋体" w:hAnsi="宋体" w:eastAsia="宋体" w:cs="宋体"/>
                <w:sz w:val="22"/>
              </w:rPr>
              <w:t>1</w:t>
            </w:r>
          </w:p>
        </w:tc>
        <w:tc>
          <w:tcPr>
            <w:tcW w:w="3728" w:type="dxa"/>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spacing w:line="300" w:lineRule="auto"/>
              <w:ind w:firstLine="440"/>
              <w:jc w:val="left"/>
              <w:rPr>
                <w:rFonts w:ascii="宋体" w:hAnsi="宋体" w:eastAsia="宋体" w:cs="宋体"/>
                <w:sz w:val="22"/>
              </w:rPr>
            </w:pPr>
            <w:r>
              <w:rPr>
                <w:rFonts w:ascii="宋体" w:hAnsi="宋体" w:eastAsia="宋体" w:cs="宋体"/>
                <w:sz w:val="22"/>
              </w:rPr>
              <w:t>具有建筑工程及相关专业高级及以上工程师职称，持有住房和城乡建设主管部门颁发的国家级房屋建筑工程专业注册的监理工程师执业资格，作为项目总监理工程师至少完成过1项一级及以上钢结构工程的施工监理工作。</w:t>
            </w:r>
          </w:p>
        </w:tc>
        <w:tc>
          <w:tcPr>
            <w:tcW w:w="1635"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tcMar>
              <w:left w:w="108" w:type="dxa"/>
              <w:right w:w="108" w:type="dxa"/>
            </w:tcMar>
            <w:vAlign w:val="center"/>
          </w:tcPr>
          <w:p>
            <w:pPr>
              <w:tabs>
                <w:tab w:val="center" w:pos="4592"/>
                <w:tab w:val="left" w:pos="5921"/>
              </w:tabs>
              <w:jc w:val="center"/>
              <w:rPr>
                <w:rFonts w:ascii="宋体" w:hAnsi="宋体" w:eastAsia="宋体" w:cs="宋体"/>
                <w:sz w:val="22"/>
              </w:rPr>
            </w:pPr>
          </w:p>
        </w:tc>
      </w:tr>
    </w:tbl>
    <w:p>
      <w:pPr>
        <w:tabs>
          <w:tab w:val="left" w:pos="1433"/>
        </w:tabs>
        <w:spacing w:before="13"/>
        <w:ind w:left="382" w:right="140"/>
        <w:jc w:val="center"/>
        <w:rPr>
          <w:rFonts w:ascii="宋体" w:hAnsi="宋体" w:eastAsia="宋体" w:cs="宋体"/>
          <w:b/>
          <w:color w:val="000000"/>
          <w:spacing w:val="-18"/>
          <w:sz w:val="28"/>
        </w:rPr>
      </w:pPr>
    </w:p>
    <w:p>
      <w:pPr>
        <w:pStyle w:val="2"/>
        <w:rPr>
          <w:rFonts w:hint="eastAsia"/>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000000"/>
    <w:rsid w:val="18B52776"/>
    <w:rsid w:val="5051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312" w:beforeLines="100" w:after="312" w:afterLines="100" w:line="500" w:lineRule="exact"/>
    </w:pPr>
    <w:rPr>
      <w:rFonts w:ascii="宋体" w:hAnsi="宋体"/>
      <w:sz w:val="24"/>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2022-11-15T00:25:00Z</dcterms:created>
  <dc:creator>zhao2</dc:creator>
  <cp:lastModifiedBy>时光不老你我不散</cp:lastModifiedBy>
  <dcterms:modified xsi:type="dcterms:W3CDTF">2022-11-15T02:12:42Z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F7644AE97B6247A091FD1626C592222B</vt:lpwstr>
  </property>
</Properties>
</file>