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ordWrap/>
        <w:topLinePunct w:val="0"/>
        <w:bidi w:val="0"/>
        <w:spacing w:line="360" w:lineRule="auto"/>
        <w:jc w:val="center"/>
        <w:textAlignment w:val="auto"/>
        <w:rPr>
          <w:rFonts w:hint="eastAsia" w:ascii="宋体" w:hAnsi="宋体" w:eastAsia="宋体" w:cs="宋体"/>
          <w:b/>
          <w:bCs/>
          <w:sz w:val="30"/>
          <w:szCs w:val="30"/>
          <w:highlight w:val="none"/>
          <w:lang w:eastAsia="zh-CN"/>
        </w:rPr>
      </w:pPr>
      <w:r>
        <w:rPr>
          <w:rFonts w:hint="eastAsia" w:ascii="宋体" w:hAnsi="宋体" w:eastAsia="宋体" w:cs="宋体"/>
          <w:b/>
          <w:bCs/>
          <w:sz w:val="30"/>
          <w:szCs w:val="30"/>
          <w:highlight w:val="none"/>
          <w:lang w:eastAsia="zh-CN"/>
        </w:rPr>
        <w:t>晋城高速公路管理有限公司晋济高速公路南河特大桥和七甲坡3#特大桥结构健康监测系统招标关键内容公开</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rPr>
          <w:rFonts w:hint="default" w:ascii="Times New Roman" w:hAnsi="Times New Roman" w:eastAsia="宋体" w:cs="Times New Roman"/>
          <w:b/>
          <w:bCs/>
          <w:color w:val="auto"/>
          <w:spacing w:val="0"/>
          <w:w w:val="100"/>
          <w:kern w:val="21"/>
          <w:position w:val="0"/>
          <w:sz w:val="24"/>
          <w:szCs w:val="24"/>
          <w:highlight w:val="none"/>
        </w:rPr>
      </w:pPr>
      <w:r>
        <w:rPr>
          <w:rFonts w:hint="default" w:ascii="Times New Roman" w:hAnsi="Times New Roman" w:eastAsia="宋体" w:cs="Times New Roman"/>
          <w:b/>
          <w:bCs/>
          <w:color w:val="auto"/>
          <w:spacing w:val="0"/>
          <w:w w:val="100"/>
          <w:kern w:val="21"/>
          <w:position w:val="0"/>
          <w:sz w:val="24"/>
          <w:szCs w:val="24"/>
          <w:highlight w:val="none"/>
          <w:lang w:val="en-US" w:eastAsia="zh-CN"/>
        </w:rPr>
        <w:t>一、</w:t>
      </w:r>
      <w:r>
        <w:rPr>
          <w:rFonts w:hint="default" w:ascii="Times New Roman" w:hAnsi="Times New Roman" w:eastAsia="宋体" w:cs="Times New Roman"/>
          <w:b/>
          <w:bCs/>
          <w:color w:val="auto"/>
          <w:spacing w:val="0"/>
          <w:w w:val="100"/>
          <w:kern w:val="21"/>
          <w:position w:val="0"/>
          <w:sz w:val="24"/>
          <w:szCs w:val="24"/>
          <w:highlight w:val="none"/>
        </w:rPr>
        <w:t>项目概况与招标范围</w:t>
      </w:r>
    </w:p>
    <w:p>
      <w:pPr>
        <w:keepNext w:val="0"/>
        <w:keepLines w:val="0"/>
        <w:pageBreakBefore w:val="0"/>
        <w:kinsoku/>
        <w:wordWrap/>
        <w:overflowPunct/>
        <w:topLinePunct w:val="0"/>
        <w:bidi w:val="0"/>
        <w:snapToGrid/>
        <w:spacing w:line="360" w:lineRule="auto"/>
        <w:ind w:firstLine="420" w:firstLineChars="200"/>
        <w:jc w:val="both"/>
        <w:textAlignment w:val="auto"/>
        <w:rPr>
          <w:rFonts w:hint="eastAsia" w:ascii="宋体" w:hAnsi="宋体" w:eastAsia="宋体" w:cs="宋体"/>
          <w:caps w:val="0"/>
          <w:smallCaps w:val="0"/>
          <w:color w:val="auto"/>
          <w:spacing w:val="0"/>
          <w:w w:val="100"/>
          <w:position w:val="0"/>
          <w:sz w:val="21"/>
          <w:szCs w:val="21"/>
          <w:highlight w:val="none"/>
          <w:lang w:val="en-US" w:eastAsia="zh-CN"/>
        </w:rPr>
      </w:pPr>
      <w:bookmarkStart w:id="0" w:name="_Hlk34553323"/>
      <w:r>
        <w:rPr>
          <w:rFonts w:hint="eastAsia" w:ascii="宋体" w:hAnsi="宋体" w:eastAsia="宋体" w:cs="宋体"/>
          <w:caps w:val="0"/>
          <w:smallCaps w:val="0"/>
          <w:color w:val="auto"/>
          <w:spacing w:val="0"/>
          <w:w w:val="100"/>
          <w:position w:val="0"/>
          <w:sz w:val="21"/>
          <w:szCs w:val="21"/>
          <w:highlight w:val="none"/>
          <w:lang w:val="en-US" w:eastAsia="zh-CN"/>
        </w:rPr>
        <w:t>1、项目概况：</w:t>
      </w:r>
      <w:bookmarkStart w:id="1" w:name="_Hlk40680267"/>
      <w:r>
        <w:rPr>
          <w:rFonts w:hint="eastAsia" w:ascii="宋体" w:hAnsi="宋体" w:eastAsia="宋体" w:cs="宋体"/>
          <w:caps w:val="0"/>
          <w:smallCaps w:val="0"/>
          <w:color w:val="auto"/>
          <w:spacing w:val="0"/>
          <w:w w:val="100"/>
          <w:position w:val="0"/>
          <w:sz w:val="21"/>
          <w:szCs w:val="21"/>
          <w:highlight w:val="none"/>
          <w:lang w:val="en-US" w:eastAsia="zh-CN"/>
        </w:rPr>
        <w:t>为掌握桥梁结构长期挠度变化趋势及车辆荷载作用下的结构变形情况，实时监测大桥变形，收集大桥在长期运营状态下的变形规律，实现风险及时报警、状态合理评价、影响快速研判、养护对症指导，精准提升桥梁养护管理的整体水平，拟建立南河特大桥和七甲坡3#特大桥结构健康监测系统，其中南河特大桥为连续刚构桥，单孔最大跨径180米，全长852米；七甲坡3#特大桥为连续刚构桥，单孔最大跨径170米，全长489米。</w:t>
      </w:r>
    </w:p>
    <w:p>
      <w:pPr>
        <w:keepNext w:val="0"/>
        <w:keepLines w:val="0"/>
        <w:pageBreakBefore w:val="0"/>
        <w:kinsoku/>
        <w:wordWrap/>
        <w:overflowPunct/>
        <w:topLinePunct w:val="0"/>
        <w:bidi w:val="0"/>
        <w:snapToGrid/>
        <w:spacing w:line="360" w:lineRule="auto"/>
        <w:ind w:firstLine="420" w:firstLineChars="200"/>
        <w:jc w:val="both"/>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2、招标范围及标段划分：本招标项目共划分为1个标段，本次招标为其中的：</w:t>
      </w:r>
    </w:p>
    <w:p>
      <w:pPr>
        <w:keepNext w:val="0"/>
        <w:keepLines w:val="0"/>
        <w:pageBreakBefore w:val="0"/>
        <w:kinsoku/>
        <w:wordWrap/>
        <w:overflowPunct/>
        <w:topLinePunct w:val="0"/>
        <w:bidi w:val="0"/>
        <w:snapToGrid/>
        <w:spacing w:line="360" w:lineRule="auto"/>
        <w:ind w:firstLine="420" w:firstLineChars="200"/>
        <w:jc w:val="both"/>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001标段：晋济高速公路南河特大桥和七甲坡3#特大桥结构健康监测系统采购，主要监测类别为环境监测、作用监测、响应监测等，具体内容详见招标文件要求。</w:t>
      </w:r>
    </w:p>
    <w:bookmarkEnd w:id="1"/>
    <w:p>
      <w:pPr>
        <w:keepNext w:val="0"/>
        <w:keepLines w:val="0"/>
        <w:pageBreakBefore w:val="0"/>
        <w:kinsoku/>
        <w:wordWrap/>
        <w:overflowPunct/>
        <w:topLinePunct w:val="0"/>
        <w:bidi w:val="0"/>
        <w:snapToGrid/>
        <w:spacing w:line="360" w:lineRule="auto"/>
        <w:ind w:firstLine="420" w:firstLineChars="200"/>
        <w:jc w:val="both"/>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3、服务周期：自签订合同之日起，硬件施工周期30天，试运行3个月后转入服务期，服务期3年。</w:t>
      </w:r>
    </w:p>
    <w:bookmarkEnd w:id="0"/>
    <w:p>
      <w:pPr>
        <w:keepNext w:val="0"/>
        <w:keepLines w:val="0"/>
        <w:pageBreakBefore w:val="0"/>
        <w:kinsoku/>
        <w:wordWrap/>
        <w:overflowPunct/>
        <w:topLinePunct w:val="0"/>
        <w:bidi w:val="0"/>
        <w:snapToGrid/>
        <w:spacing w:line="360" w:lineRule="auto"/>
        <w:ind w:firstLine="420" w:firstLineChars="200"/>
        <w:jc w:val="both"/>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4、服务地点：晋城高速公路管理有限公司晋济高速公路。</w:t>
      </w:r>
    </w:p>
    <w:p>
      <w:pPr>
        <w:pStyle w:val="2"/>
        <w:keepNext w:val="0"/>
        <w:keepLines w:val="0"/>
        <w:pageBreakBefore w:val="0"/>
        <w:widowControl w:val="0"/>
        <w:numPr>
          <w:ilvl w:val="0"/>
          <w:numId w:val="0"/>
        </w:numPr>
        <w:tabs>
          <w:tab w:val="left" w:pos="1709"/>
        </w:tabs>
        <w:kinsoku w:val="0"/>
        <w:wordWrap/>
        <w:overflowPunct w:val="0"/>
        <w:topLinePunct w:val="0"/>
        <w:autoSpaceDE w:val="0"/>
        <w:autoSpaceDN w:val="0"/>
        <w:bidi w:val="0"/>
        <w:adjustRightInd w:val="0"/>
        <w:snapToGrid/>
        <w:spacing w:before="26" w:line="360" w:lineRule="auto"/>
        <w:ind w:right="0" w:rightChars="0"/>
        <w:jc w:val="left"/>
        <w:textAlignment w:val="auto"/>
        <w:outlineLvl w:val="9"/>
        <w:rPr>
          <w:rFonts w:hint="default" w:ascii="Times New Roman" w:hAnsi="Times New Roman" w:eastAsia="宋体" w:cs="Times New Roman"/>
          <w:b/>
          <w:bCs/>
          <w:color w:val="auto"/>
          <w:spacing w:val="0"/>
          <w:w w:val="100"/>
          <w:kern w:val="21"/>
          <w:position w:val="0"/>
          <w:sz w:val="24"/>
          <w:szCs w:val="24"/>
          <w:highlight w:val="none"/>
        </w:rPr>
      </w:pPr>
      <w:r>
        <w:rPr>
          <w:rFonts w:hint="default" w:ascii="Times New Roman" w:hAnsi="Times New Roman" w:cs="Times New Roman"/>
          <w:b/>
          <w:bCs/>
          <w:color w:val="auto"/>
          <w:spacing w:val="0"/>
          <w:w w:val="100"/>
          <w:kern w:val="21"/>
          <w:position w:val="0"/>
          <w:sz w:val="24"/>
          <w:szCs w:val="24"/>
          <w:highlight w:val="none"/>
          <w:lang w:val="en-US" w:eastAsia="zh-CN"/>
        </w:rPr>
        <w:t>二、</w:t>
      </w:r>
      <w:r>
        <w:rPr>
          <w:rFonts w:hint="default" w:ascii="Times New Roman" w:hAnsi="Times New Roman" w:eastAsia="宋体" w:cs="Times New Roman"/>
          <w:b/>
          <w:bCs/>
          <w:color w:val="auto"/>
          <w:spacing w:val="0"/>
          <w:w w:val="100"/>
          <w:kern w:val="21"/>
          <w:position w:val="0"/>
          <w:sz w:val="24"/>
          <w:szCs w:val="24"/>
          <w:highlight w:val="none"/>
        </w:rPr>
        <w:t>投标人资格要求</w:t>
      </w:r>
    </w:p>
    <w:p>
      <w:pPr>
        <w:pStyle w:val="12"/>
        <w:widowControl w:val="0"/>
        <w:adjustRightInd w:val="0"/>
        <w:snapToGrid w:val="0"/>
        <w:spacing w:before="0" w:beforeAutospacing="0" w:after="0" w:afterAutospacing="0" w:line="360" w:lineRule="auto"/>
        <w:ind w:firstLine="420" w:firstLineChars="200"/>
        <w:rPr>
          <w:rFonts w:hint="eastAsia" w:ascii="宋体" w:hAnsi="宋体" w:eastAsia="宋体" w:cs="宋体"/>
          <w:caps w:val="0"/>
          <w:smallCaps w:val="0"/>
          <w:color w:val="auto"/>
          <w:spacing w:val="0"/>
          <w:w w:val="100"/>
          <w:kern w:val="2"/>
          <w:position w:val="0"/>
          <w:sz w:val="21"/>
          <w:szCs w:val="21"/>
          <w:highlight w:val="none"/>
          <w:lang w:val="en-US" w:eastAsia="zh-CN" w:bidi="ar-SA"/>
        </w:rPr>
      </w:pPr>
      <w:r>
        <w:rPr>
          <w:rFonts w:hint="eastAsia" w:ascii="宋体" w:hAnsi="宋体" w:eastAsia="宋体" w:cs="宋体"/>
          <w:caps w:val="0"/>
          <w:smallCaps w:val="0"/>
          <w:color w:val="auto"/>
          <w:spacing w:val="0"/>
          <w:w w:val="100"/>
          <w:kern w:val="2"/>
          <w:position w:val="0"/>
          <w:sz w:val="21"/>
          <w:szCs w:val="21"/>
          <w:highlight w:val="none"/>
          <w:lang w:val="en-US" w:eastAsia="zh-CN" w:bidi="ar-SA"/>
        </w:rPr>
        <w:t>3.1 本次招标要求投标人是在中国境内合法注册，持有有效的企业法人营业执照，且同时满足下列资格要求。</w:t>
      </w:r>
    </w:p>
    <w:p>
      <w:pPr>
        <w:pStyle w:val="12"/>
        <w:widowControl w:val="0"/>
        <w:adjustRightInd w:val="0"/>
        <w:snapToGrid w:val="0"/>
        <w:spacing w:before="0" w:beforeAutospacing="0" w:after="0" w:afterAutospacing="0" w:line="360" w:lineRule="auto"/>
        <w:ind w:firstLine="420" w:firstLineChars="200"/>
        <w:rPr>
          <w:rFonts w:hint="eastAsia" w:ascii="宋体" w:hAnsi="宋体" w:eastAsia="宋体" w:cs="宋体"/>
          <w:caps w:val="0"/>
          <w:smallCaps w:val="0"/>
          <w:color w:val="auto"/>
          <w:spacing w:val="0"/>
          <w:w w:val="100"/>
          <w:kern w:val="2"/>
          <w:position w:val="0"/>
          <w:sz w:val="21"/>
          <w:szCs w:val="21"/>
          <w:highlight w:val="none"/>
          <w:lang w:val="en-US" w:eastAsia="zh-CN" w:bidi="ar-SA"/>
        </w:rPr>
      </w:pPr>
      <w:r>
        <w:rPr>
          <w:rFonts w:hint="eastAsia" w:eastAsia="宋体" w:cs="宋体"/>
          <w:caps w:val="0"/>
          <w:smallCaps w:val="0"/>
          <w:color w:val="auto"/>
          <w:spacing w:val="0"/>
          <w:w w:val="100"/>
          <w:kern w:val="2"/>
          <w:position w:val="0"/>
          <w:sz w:val="21"/>
          <w:szCs w:val="21"/>
          <w:highlight w:val="none"/>
          <w:lang w:val="en-US" w:eastAsia="zh-CN" w:bidi="ar-SA"/>
        </w:rPr>
        <w:t>2.</w:t>
      </w:r>
      <w:r>
        <w:rPr>
          <w:rFonts w:hint="eastAsia" w:ascii="宋体" w:hAnsi="宋体" w:eastAsia="宋体" w:cs="宋体"/>
          <w:caps w:val="0"/>
          <w:smallCaps w:val="0"/>
          <w:color w:val="auto"/>
          <w:spacing w:val="0"/>
          <w:w w:val="100"/>
          <w:kern w:val="2"/>
          <w:position w:val="0"/>
          <w:sz w:val="21"/>
          <w:szCs w:val="21"/>
          <w:highlight w:val="none"/>
          <w:lang w:val="en-US" w:eastAsia="zh-CN" w:bidi="ar-SA"/>
        </w:rPr>
        <w:t>1.1资质要求：</w:t>
      </w:r>
    </w:p>
    <w:p>
      <w:pPr>
        <w:pStyle w:val="12"/>
        <w:widowControl w:val="0"/>
        <w:adjustRightInd w:val="0"/>
        <w:snapToGrid w:val="0"/>
        <w:spacing w:before="0" w:beforeAutospacing="0" w:after="0" w:afterAutospacing="0" w:line="360" w:lineRule="auto"/>
        <w:ind w:firstLine="420" w:firstLineChars="200"/>
        <w:rPr>
          <w:rFonts w:hint="eastAsia" w:ascii="宋体" w:hAnsi="宋体" w:eastAsia="宋体" w:cs="宋体"/>
          <w:caps w:val="0"/>
          <w:smallCaps w:val="0"/>
          <w:color w:val="auto"/>
          <w:spacing w:val="0"/>
          <w:w w:val="100"/>
          <w:kern w:val="2"/>
          <w:position w:val="0"/>
          <w:sz w:val="21"/>
          <w:szCs w:val="21"/>
          <w:highlight w:val="none"/>
          <w:lang w:val="en-US" w:eastAsia="zh-CN" w:bidi="ar-SA"/>
        </w:rPr>
      </w:pPr>
      <w:r>
        <w:rPr>
          <w:rFonts w:hint="eastAsia" w:ascii="宋体" w:hAnsi="宋体" w:eastAsia="宋体" w:cs="宋体"/>
          <w:caps w:val="0"/>
          <w:smallCaps w:val="0"/>
          <w:color w:val="auto"/>
          <w:spacing w:val="0"/>
          <w:w w:val="100"/>
          <w:kern w:val="2"/>
          <w:position w:val="0"/>
          <w:sz w:val="21"/>
          <w:szCs w:val="21"/>
          <w:highlight w:val="none"/>
          <w:lang w:val="en-US" w:eastAsia="zh-CN" w:bidi="ar-SA"/>
        </w:rPr>
        <w:t>同时具有交通运输行政主管部门颁发的公路工程综合甲级和桥梁隧道工程专项试验检测资质，并且合法有效。</w:t>
      </w:r>
    </w:p>
    <w:p>
      <w:pPr>
        <w:pStyle w:val="12"/>
        <w:widowControl w:val="0"/>
        <w:adjustRightInd w:val="0"/>
        <w:snapToGrid w:val="0"/>
        <w:spacing w:before="0" w:beforeAutospacing="0" w:after="0" w:afterAutospacing="0" w:line="360" w:lineRule="auto"/>
        <w:ind w:firstLine="420" w:firstLineChars="200"/>
        <w:rPr>
          <w:rFonts w:hint="eastAsia" w:ascii="宋体" w:hAnsi="宋体" w:eastAsia="宋体" w:cs="宋体"/>
          <w:caps w:val="0"/>
          <w:smallCaps w:val="0"/>
          <w:color w:val="auto"/>
          <w:spacing w:val="0"/>
          <w:w w:val="100"/>
          <w:kern w:val="2"/>
          <w:position w:val="0"/>
          <w:sz w:val="21"/>
          <w:szCs w:val="21"/>
          <w:highlight w:val="none"/>
          <w:lang w:val="en-US" w:eastAsia="zh-CN" w:bidi="ar-SA"/>
        </w:rPr>
      </w:pPr>
      <w:r>
        <w:rPr>
          <w:rFonts w:hint="eastAsia" w:eastAsia="宋体" w:cs="宋体"/>
          <w:caps w:val="0"/>
          <w:smallCaps w:val="0"/>
          <w:color w:val="auto"/>
          <w:spacing w:val="0"/>
          <w:w w:val="100"/>
          <w:kern w:val="2"/>
          <w:position w:val="0"/>
          <w:sz w:val="21"/>
          <w:szCs w:val="21"/>
          <w:highlight w:val="none"/>
          <w:lang w:val="en-US" w:eastAsia="zh-CN" w:bidi="ar-SA"/>
        </w:rPr>
        <w:t>2.</w:t>
      </w:r>
      <w:r>
        <w:rPr>
          <w:rFonts w:hint="eastAsia" w:ascii="宋体" w:hAnsi="宋体" w:eastAsia="宋体" w:cs="宋体"/>
          <w:caps w:val="0"/>
          <w:smallCaps w:val="0"/>
          <w:color w:val="auto"/>
          <w:spacing w:val="0"/>
          <w:w w:val="100"/>
          <w:kern w:val="2"/>
          <w:position w:val="0"/>
          <w:sz w:val="21"/>
          <w:szCs w:val="21"/>
          <w:highlight w:val="none"/>
          <w:lang w:val="en-US" w:eastAsia="zh-CN" w:bidi="ar-SA"/>
        </w:rPr>
        <w:t>1.2业绩要求：</w:t>
      </w:r>
    </w:p>
    <w:p>
      <w:pPr>
        <w:pStyle w:val="12"/>
        <w:widowControl w:val="0"/>
        <w:adjustRightInd w:val="0"/>
        <w:snapToGrid w:val="0"/>
        <w:spacing w:before="0" w:beforeAutospacing="0" w:after="0" w:afterAutospacing="0" w:line="360" w:lineRule="auto"/>
        <w:ind w:firstLine="420" w:firstLineChars="200"/>
        <w:rPr>
          <w:rFonts w:hint="eastAsia" w:ascii="宋体" w:hAnsi="宋体" w:eastAsia="宋体" w:cs="宋体"/>
          <w:caps w:val="0"/>
          <w:smallCaps w:val="0"/>
          <w:color w:val="auto"/>
          <w:spacing w:val="0"/>
          <w:w w:val="100"/>
          <w:kern w:val="2"/>
          <w:position w:val="0"/>
          <w:sz w:val="21"/>
          <w:szCs w:val="21"/>
          <w:highlight w:val="none"/>
          <w:lang w:val="en-US" w:eastAsia="zh-CN" w:bidi="ar-SA"/>
        </w:rPr>
      </w:pPr>
      <w:r>
        <w:rPr>
          <w:rFonts w:hint="eastAsia" w:ascii="宋体" w:hAnsi="宋体" w:eastAsia="宋体" w:cs="宋体"/>
          <w:caps w:val="0"/>
          <w:smallCaps w:val="0"/>
          <w:color w:val="auto"/>
          <w:spacing w:val="0"/>
          <w:w w:val="100"/>
          <w:kern w:val="2"/>
          <w:position w:val="0"/>
          <w:sz w:val="21"/>
          <w:szCs w:val="21"/>
          <w:highlight w:val="none"/>
          <w:lang w:val="en-US" w:eastAsia="zh-CN" w:bidi="ar-SA"/>
        </w:rPr>
        <w:t>投标人近五年内（2017年11月1日至投标文件递交截止之日，以合同签订时间为准）至少独立承担过1项单项合同金额不少于100万元的运营期高速公路桥梁监测业绩。</w:t>
      </w:r>
    </w:p>
    <w:p>
      <w:pPr>
        <w:pStyle w:val="12"/>
        <w:widowControl w:val="0"/>
        <w:adjustRightInd w:val="0"/>
        <w:snapToGrid w:val="0"/>
        <w:spacing w:before="0" w:beforeAutospacing="0" w:after="0" w:afterAutospacing="0" w:line="360" w:lineRule="auto"/>
        <w:ind w:firstLine="420" w:firstLineChars="200"/>
        <w:rPr>
          <w:rFonts w:hint="eastAsia" w:ascii="宋体" w:hAnsi="宋体" w:eastAsia="宋体" w:cs="宋体"/>
          <w:caps w:val="0"/>
          <w:smallCaps w:val="0"/>
          <w:color w:val="auto"/>
          <w:spacing w:val="0"/>
          <w:w w:val="100"/>
          <w:kern w:val="2"/>
          <w:position w:val="0"/>
          <w:sz w:val="21"/>
          <w:szCs w:val="21"/>
          <w:highlight w:val="none"/>
          <w:lang w:val="en-US" w:eastAsia="zh-CN" w:bidi="ar-SA"/>
        </w:rPr>
      </w:pPr>
      <w:r>
        <w:rPr>
          <w:rFonts w:hint="eastAsia" w:eastAsia="宋体" w:cs="宋体"/>
          <w:caps w:val="0"/>
          <w:smallCaps w:val="0"/>
          <w:color w:val="auto"/>
          <w:spacing w:val="0"/>
          <w:w w:val="100"/>
          <w:kern w:val="2"/>
          <w:position w:val="0"/>
          <w:sz w:val="21"/>
          <w:szCs w:val="21"/>
          <w:highlight w:val="none"/>
          <w:lang w:val="en-US" w:eastAsia="zh-CN" w:bidi="ar-SA"/>
        </w:rPr>
        <w:t>2.</w:t>
      </w:r>
      <w:r>
        <w:rPr>
          <w:rFonts w:hint="eastAsia" w:ascii="宋体" w:hAnsi="宋体" w:eastAsia="宋体" w:cs="宋体"/>
          <w:caps w:val="0"/>
          <w:smallCaps w:val="0"/>
          <w:color w:val="auto"/>
          <w:spacing w:val="0"/>
          <w:w w:val="100"/>
          <w:kern w:val="2"/>
          <w:position w:val="0"/>
          <w:sz w:val="21"/>
          <w:szCs w:val="21"/>
          <w:highlight w:val="none"/>
          <w:lang w:val="en-US" w:eastAsia="zh-CN" w:bidi="ar-SA"/>
        </w:rPr>
        <w:t>1.3主要人员要求：</w:t>
      </w:r>
    </w:p>
    <w:p>
      <w:pPr>
        <w:pStyle w:val="12"/>
        <w:widowControl w:val="0"/>
        <w:adjustRightInd w:val="0"/>
        <w:snapToGrid w:val="0"/>
        <w:spacing w:before="0" w:beforeAutospacing="0" w:after="0" w:afterAutospacing="0" w:line="360" w:lineRule="auto"/>
        <w:ind w:firstLine="420" w:firstLineChars="200"/>
        <w:rPr>
          <w:rFonts w:hint="eastAsia" w:ascii="宋体" w:hAnsi="宋体" w:eastAsia="宋体" w:cs="宋体"/>
          <w:caps w:val="0"/>
          <w:smallCaps w:val="0"/>
          <w:color w:val="auto"/>
          <w:spacing w:val="0"/>
          <w:w w:val="100"/>
          <w:kern w:val="2"/>
          <w:position w:val="0"/>
          <w:sz w:val="21"/>
          <w:szCs w:val="21"/>
          <w:highlight w:val="none"/>
          <w:lang w:val="en-US" w:eastAsia="zh-CN" w:bidi="ar-SA"/>
        </w:rPr>
      </w:pPr>
      <w:r>
        <w:rPr>
          <w:rFonts w:hint="eastAsia" w:ascii="宋体" w:hAnsi="宋体" w:eastAsia="宋体" w:cs="宋体"/>
          <w:caps w:val="0"/>
          <w:smallCaps w:val="0"/>
          <w:color w:val="auto"/>
          <w:spacing w:val="0"/>
          <w:w w:val="100"/>
          <w:kern w:val="2"/>
          <w:position w:val="0"/>
          <w:sz w:val="21"/>
          <w:szCs w:val="21"/>
          <w:highlight w:val="none"/>
          <w:lang w:val="en-US" w:eastAsia="zh-CN" w:bidi="ar-SA"/>
        </w:rPr>
        <w:t>拟任项目负责人具有高级工程师及以上技术职称（公路工程相关专业），持有交通运输部颁发的公路水运试验检测师证书（桥梁隧道工程专业）或公路工程试验检测工程师证书(桥梁专业)，作为项目负责人近五年内（2017年11月1日至投标文件递交截止之日，以合同签订时间为准）至少承担过1项单项合同金额不少于100万元的运营期高速公路桥梁监测业绩。</w:t>
      </w:r>
    </w:p>
    <w:p>
      <w:pPr>
        <w:pStyle w:val="12"/>
        <w:widowControl w:val="0"/>
        <w:adjustRightInd w:val="0"/>
        <w:snapToGrid w:val="0"/>
        <w:spacing w:before="0" w:beforeAutospacing="0" w:after="0" w:afterAutospacing="0" w:line="360" w:lineRule="auto"/>
        <w:ind w:firstLine="420" w:firstLineChars="200"/>
        <w:rPr>
          <w:rFonts w:hint="eastAsia" w:ascii="宋体" w:hAnsi="宋体" w:eastAsia="宋体" w:cs="宋体"/>
          <w:caps w:val="0"/>
          <w:smallCaps w:val="0"/>
          <w:color w:val="auto"/>
          <w:spacing w:val="0"/>
          <w:w w:val="100"/>
          <w:kern w:val="2"/>
          <w:position w:val="0"/>
          <w:sz w:val="21"/>
          <w:szCs w:val="21"/>
          <w:highlight w:val="none"/>
          <w:lang w:val="en-US" w:eastAsia="zh-CN" w:bidi="ar-SA"/>
        </w:rPr>
      </w:pPr>
      <w:r>
        <w:rPr>
          <w:rFonts w:hint="eastAsia" w:ascii="宋体" w:hAnsi="宋体" w:eastAsia="宋体" w:cs="宋体"/>
          <w:caps w:val="0"/>
          <w:smallCaps w:val="0"/>
          <w:color w:val="auto"/>
          <w:spacing w:val="0"/>
          <w:w w:val="100"/>
          <w:kern w:val="2"/>
          <w:position w:val="0"/>
          <w:sz w:val="21"/>
          <w:szCs w:val="21"/>
          <w:highlight w:val="none"/>
          <w:lang w:val="en-US" w:eastAsia="zh-CN" w:bidi="ar-SA"/>
        </w:rPr>
        <w:t>项目负责人须为本单位职工并提供近一年内由投标人所属社保系统打印的的社会保险缴纳证明材料。</w:t>
      </w:r>
    </w:p>
    <w:p>
      <w:pPr>
        <w:pStyle w:val="12"/>
        <w:widowControl w:val="0"/>
        <w:adjustRightInd w:val="0"/>
        <w:snapToGrid w:val="0"/>
        <w:spacing w:before="0" w:beforeAutospacing="0" w:after="0" w:afterAutospacing="0" w:line="360" w:lineRule="auto"/>
        <w:ind w:firstLine="420" w:firstLineChars="200"/>
        <w:rPr>
          <w:rFonts w:hint="eastAsia" w:ascii="宋体" w:hAnsi="宋体" w:eastAsia="宋体" w:cs="宋体"/>
          <w:caps w:val="0"/>
          <w:smallCaps w:val="0"/>
          <w:color w:val="auto"/>
          <w:spacing w:val="0"/>
          <w:w w:val="100"/>
          <w:kern w:val="2"/>
          <w:position w:val="0"/>
          <w:sz w:val="21"/>
          <w:szCs w:val="21"/>
          <w:highlight w:val="none"/>
          <w:lang w:val="en-US" w:eastAsia="zh-CN" w:bidi="ar-SA"/>
        </w:rPr>
      </w:pPr>
      <w:r>
        <w:rPr>
          <w:rFonts w:hint="eastAsia" w:eastAsia="宋体" w:cs="宋体"/>
          <w:caps w:val="0"/>
          <w:smallCaps w:val="0"/>
          <w:color w:val="auto"/>
          <w:spacing w:val="0"/>
          <w:w w:val="100"/>
          <w:kern w:val="2"/>
          <w:position w:val="0"/>
          <w:sz w:val="21"/>
          <w:szCs w:val="21"/>
          <w:highlight w:val="none"/>
          <w:lang w:val="en-US" w:eastAsia="zh-CN" w:bidi="ar-SA"/>
        </w:rPr>
        <w:t>2.</w:t>
      </w:r>
      <w:r>
        <w:rPr>
          <w:rFonts w:hint="eastAsia" w:ascii="宋体" w:hAnsi="宋体" w:eastAsia="宋体" w:cs="宋体"/>
          <w:caps w:val="0"/>
          <w:smallCaps w:val="0"/>
          <w:color w:val="auto"/>
          <w:spacing w:val="0"/>
          <w:w w:val="100"/>
          <w:kern w:val="2"/>
          <w:position w:val="0"/>
          <w:sz w:val="21"/>
          <w:szCs w:val="21"/>
          <w:highlight w:val="none"/>
          <w:lang w:val="en-US" w:eastAsia="zh-CN" w:bidi="ar-SA"/>
        </w:rPr>
        <w:t>1.4 财务要求：具有2021年度经会计师事务所或审计机构审计的财务会计报表，且年流动资产与流动负债比率大于1。</w:t>
      </w:r>
    </w:p>
    <w:p>
      <w:pPr>
        <w:pStyle w:val="12"/>
        <w:widowControl w:val="0"/>
        <w:adjustRightInd w:val="0"/>
        <w:snapToGrid w:val="0"/>
        <w:spacing w:before="0" w:beforeAutospacing="0" w:after="0" w:afterAutospacing="0" w:line="360" w:lineRule="auto"/>
        <w:ind w:firstLine="420" w:firstLineChars="200"/>
        <w:rPr>
          <w:rFonts w:hint="eastAsia" w:ascii="宋体" w:hAnsi="宋体" w:eastAsia="宋体" w:cs="宋体"/>
          <w:caps w:val="0"/>
          <w:smallCaps w:val="0"/>
          <w:color w:val="auto"/>
          <w:spacing w:val="0"/>
          <w:w w:val="100"/>
          <w:kern w:val="2"/>
          <w:position w:val="0"/>
          <w:sz w:val="21"/>
          <w:szCs w:val="21"/>
          <w:highlight w:val="none"/>
          <w:lang w:val="en-US" w:eastAsia="zh-CN" w:bidi="ar-SA"/>
        </w:rPr>
      </w:pPr>
      <w:r>
        <w:rPr>
          <w:rFonts w:hint="eastAsia" w:eastAsia="宋体" w:cs="宋体"/>
          <w:caps w:val="0"/>
          <w:smallCaps w:val="0"/>
          <w:color w:val="auto"/>
          <w:spacing w:val="0"/>
          <w:w w:val="100"/>
          <w:kern w:val="2"/>
          <w:position w:val="0"/>
          <w:sz w:val="21"/>
          <w:szCs w:val="21"/>
          <w:highlight w:val="none"/>
          <w:lang w:val="en-US" w:eastAsia="zh-CN" w:bidi="ar-SA"/>
        </w:rPr>
        <w:t>2.</w:t>
      </w:r>
      <w:r>
        <w:rPr>
          <w:rFonts w:hint="eastAsia" w:ascii="宋体" w:hAnsi="宋体" w:eastAsia="宋体" w:cs="宋体"/>
          <w:caps w:val="0"/>
          <w:smallCaps w:val="0"/>
          <w:color w:val="auto"/>
          <w:spacing w:val="0"/>
          <w:w w:val="100"/>
          <w:kern w:val="2"/>
          <w:position w:val="0"/>
          <w:sz w:val="21"/>
          <w:szCs w:val="21"/>
          <w:highlight w:val="none"/>
          <w:lang w:val="en-US" w:eastAsia="zh-CN" w:bidi="ar-SA"/>
        </w:rPr>
        <w:t>2与招标人存在利害关系可能影响招标公正性的单位，不得参加投标。投标人具有下列情况之一的，不得同时参加本项目投标，否则其投标均无效。</w:t>
      </w:r>
    </w:p>
    <w:p>
      <w:pPr>
        <w:pStyle w:val="12"/>
        <w:widowControl w:val="0"/>
        <w:adjustRightInd w:val="0"/>
        <w:snapToGrid w:val="0"/>
        <w:spacing w:before="0" w:beforeAutospacing="0" w:after="0" w:afterAutospacing="0" w:line="360" w:lineRule="auto"/>
        <w:ind w:firstLine="420" w:firstLineChars="200"/>
        <w:rPr>
          <w:rFonts w:hint="eastAsia" w:ascii="宋体" w:hAnsi="宋体" w:eastAsia="宋体" w:cs="宋体"/>
          <w:caps w:val="0"/>
          <w:smallCaps w:val="0"/>
          <w:color w:val="auto"/>
          <w:spacing w:val="0"/>
          <w:w w:val="100"/>
          <w:kern w:val="2"/>
          <w:position w:val="0"/>
          <w:sz w:val="21"/>
          <w:szCs w:val="21"/>
          <w:highlight w:val="none"/>
          <w:lang w:val="en-US" w:eastAsia="zh-CN" w:bidi="ar-SA"/>
        </w:rPr>
      </w:pPr>
      <w:r>
        <w:rPr>
          <w:rFonts w:hint="eastAsia" w:eastAsia="宋体" w:cs="宋体"/>
          <w:caps w:val="0"/>
          <w:smallCaps w:val="0"/>
          <w:color w:val="auto"/>
          <w:spacing w:val="0"/>
          <w:w w:val="100"/>
          <w:kern w:val="2"/>
          <w:position w:val="0"/>
          <w:sz w:val="21"/>
          <w:szCs w:val="21"/>
          <w:highlight w:val="none"/>
          <w:lang w:val="en-US" w:eastAsia="zh-CN" w:bidi="ar-SA"/>
        </w:rPr>
        <w:t>2.</w:t>
      </w:r>
      <w:r>
        <w:rPr>
          <w:rFonts w:hint="eastAsia" w:ascii="宋体" w:hAnsi="宋体" w:eastAsia="宋体" w:cs="宋体"/>
          <w:caps w:val="0"/>
          <w:smallCaps w:val="0"/>
          <w:color w:val="auto"/>
          <w:spacing w:val="0"/>
          <w:w w:val="100"/>
          <w:kern w:val="2"/>
          <w:position w:val="0"/>
          <w:sz w:val="21"/>
          <w:szCs w:val="21"/>
          <w:highlight w:val="none"/>
          <w:lang w:val="en-US" w:eastAsia="zh-CN" w:bidi="ar-SA"/>
        </w:rPr>
        <w:t>2.1 单位负责人为同一人或者存在控股、管理关系的不同单位；</w:t>
      </w:r>
    </w:p>
    <w:p>
      <w:pPr>
        <w:pStyle w:val="12"/>
        <w:widowControl w:val="0"/>
        <w:adjustRightInd w:val="0"/>
        <w:snapToGrid w:val="0"/>
        <w:spacing w:before="0" w:beforeAutospacing="0" w:after="0" w:afterAutospacing="0" w:line="360" w:lineRule="auto"/>
        <w:ind w:firstLine="420" w:firstLineChars="200"/>
        <w:rPr>
          <w:rFonts w:hint="eastAsia" w:ascii="宋体" w:hAnsi="宋体" w:eastAsia="宋体" w:cs="宋体"/>
          <w:caps w:val="0"/>
          <w:smallCaps w:val="0"/>
          <w:color w:val="auto"/>
          <w:spacing w:val="0"/>
          <w:w w:val="100"/>
          <w:kern w:val="2"/>
          <w:position w:val="0"/>
          <w:sz w:val="21"/>
          <w:szCs w:val="21"/>
          <w:highlight w:val="none"/>
          <w:lang w:val="en-US" w:eastAsia="zh-CN" w:bidi="ar-SA"/>
        </w:rPr>
      </w:pPr>
      <w:r>
        <w:rPr>
          <w:rFonts w:hint="eastAsia" w:eastAsia="宋体" w:cs="宋体"/>
          <w:caps w:val="0"/>
          <w:smallCaps w:val="0"/>
          <w:color w:val="auto"/>
          <w:spacing w:val="0"/>
          <w:w w:val="100"/>
          <w:kern w:val="2"/>
          <w:position w:val="0"/>
          <w:sz w:val="21"/>
          <w:szCs w:val="21"/>
          <w:highlight w:val="none"/>
          <w:lang w:val="en-US" w:eastAsia="zh-CN" w:bidi="ar-SA"/>
        </w:rPr>
        <w:t>2.</w:t>
      </w:r>
      <w:r>
        <w:rPr>
          <w:rFonts w:hint="eastAsia" w:ascii="宋体" w:hAnsi="宋体" w:eastAsia="宋体" w:cs="宋体"/>
          <w:caps w:val="0"/>
          <w:smallCaps w:val="0"/>
          <w:color w:val="auto"/>
          <w:spacing w:val="0"/>
          <w:w w:val="100"/>
          <w:kern w:val="2"/>
          <w:position w:val="0"/>
          <w:sz w:val="21"/>
          <w:szCs w:val="21"/>
          <w:highlight w:val="none"/>
          <w:lang w:val="en-US" w:eastAsia="zh-CN" w:bidi="ar-SA"/>
        </w:rPr>
        <w:t>2.2 具有投资参股关系的关联企业；</w:t>
      </w:r>
    </w:p>
    <w:p>
      <w:pPr>
        <w:pStyle w:val="12"/>
        <w:widowControl w:val="0"/>
        <w:adjustRightInd w:val="0"/>
        <w:snapToGrid w:val="0"/>
        <w:spacing w:before="0" w:beforeAutospacing="0" w:after="0" w:afterAutospacing="0" w:line="360" w:lineRule="auto"/>
        <w:ind w:firstLine="420" w:firstLineChars="200"/>
        <w:rPr>
          <w:rFonts w:hint="eastAsia" w:ascii="宋体" w:hAnsi="宋体" w:eastAsia="宋体" w:cs="宋体"/>
          <w:caps w:val="0"/>
          <w:smallCaps w:val="0"/>
          <w:color w:val="auto"/>
          <w:spacing w:val="0"/>
          <w:w w:val="100"/>
          <w:kern w:val="2"/>
          <w:position w:val="0"/>
          <w:sz w:val="21"/>
          <w:szCs w:val="21"/>
          <w:highlight w:val="none"/>
          <w:lang w:val="en-US" w:eastAsia="zh-CN" w:bidi="ar-SA"/>
        </w:rPr>
      </w:pPr>
      <w:r>
        <w:rPr>
          <w:rFonts w:hint="eastAsia" w:eastAsia="宋体" w:cs="宋体"/>
          <w:caps w:val="0"/>
          <w:smallCaps w:val="0"/>
          <w:color w:val="auto"/>
          <w:spacing w:val="0"/>
          <w:w w:val="100"/>
          <w:kern w:val="2"/>
          <w:position w:val="0"/>
          <w:sz w:val="21"/>
          <w:szCs w:val="21"/>
          <w:highlight w:val="none"/>
          <w:lang w:val="en-US" w:eastAsia="zh-CN" w:bidi="ar-SA"/>
        </w:rPr>
        <w:t>2.</w:t>
      </w:r>
      <w:r>
        <w:rPr>
          <w:rFonts w:hint="eastAsia" w:ascii="宋体" w:hAnsi="宋体" w:eastAsia="宋体" w:cs="宋体"/>
          <w:caps w:val="0"/>
          <w:smallCaps w:val="0"/>
          <w:color w:val="auto"/>
          <w:spacing w:val="0"/>
          <w:w w:val="100"/>
          <w:kern w:val="2"/>
          <w:position w:val="0"/>
          <w:sz w:val="21"/>
          <w:szCs w:val="21"/>
          <w:highlight w:val="none"/>
          <w:lang w:val="en-US" w:eastAsia="zh-CN" w:bidi="ar-SA"/>
        </w:rPr>
        <w:t>2.3 董事、监事、总经理、副总经理和财务负责人相互兼职的关联企业。</w:t>
      </w:r>
    </w:p>
    <w:p>
      <w:pPr>
        <w:pStyle w:val="12"/>
        <w:widowControl w:val="0"/>
        <w:adjustRightInd w:val="0"/>
        <w:snapToGrid w:val="0"/>
        <w:spacing w:before="0" w:beforeAutospacing="0" w:after="0" w:afterAutospacing="0" w:line="360" w:lineRule="auto"/>
        <w:ind w:firstLine="420" w:firstLineChars="200"/>
        <w:rPr>
          <w:rFonts w:hint="eastAsia" w:ascii="宋体" w:hAnsi="宋体" w:eastAsia="宋体" w:cs="宋体"/>
          <w:caps w:val="0"/>
          <w:smallCaps w:val="0"/>
          <w:color w:val="auto"/>
          <w:spacing w:val="0"/>
          <w:w w:val="100"/>
          <w:kern w:val="2"/>
          <w:position w:val="0"/>
          <w:sz w:val="21"/>
          <w:szCs w:val="21"/>
          <w:highlight w:val="none"/>
          <w:lang w:val="en-US" w:eastAsia="zh-CN" w:bidi="ar-SA"/>
        </w:rPr>
      </w:pPr>
      <w:r>
        <w:rPr>
          <w:rFonts w:hint="eastAsia" w:eastAsia="宋体" w:cs="宋体"/>
          <w:caps w:val="0"/>
          <w:smallCaps w:val="0"/>
          <w:color w:val="auto"/>
          <w:spacing w:val="0"/>
          <w:w w:val="100"/>
          <w:kern w:val="2"/>
          <w:position w:val="0"/>
          <w:sz w:val="21"/>
          <w:szCs w:val="21"/>
          <w:highlight w:val="none"/>
          <w:lang w:val="en-US" w:eastAsia="zh-CN" w:bidi="ar-SA"/>
        </w:rPr>
        <w:t>2.</w:t>
      </w:r>
      <w:r>
        <w:rPr>
          <w:rFonts w:hint="eastAsia" w:ascii="宋体" w:hAnsi="宋体" w:eastAsia="宋体" w:cs="宋体"/>
          <w:caps w:val="0"/>
          <w:smallCaps w:val="0"/>
          <w:color w:val="auto"/>
          <w:spacing w:val="0"/>
          <w:w w:val="100"/>
          <w:kern w:val="2"/>
          <w:position w:val="0"/>
          <w:sz w:val="21"/>
          <w:szCs w:val="21"/>
          <w:highlight w:val="none"/>
          <w:lang w:val="en-US" w:eastAsia="zh-CN" w:bidi="ar-SA"/>
        </w:rPr>
        <w:t>3与本项目监理单位山西交通建设监理咨询集团有限公司具有关联关系的投标人不得参与本项目的投标。</w:t>
      </w:r>
    </w:p>
    <w:p>
      <w:pPr>
        <w:pStyle w:val="12"/>
        <w:widowControl w:val="0"/>
        <w:adjustRightInd w:val="0"/>
        <w:snapToGrid w:val="0"/>
        <w:spacing w:before="0" w:beforeAutospacing="0" w:after="0" w:afterAutospacing="0" w:line="360" w:lineRule="auto"/>
        <w:ind w:firstLine="420" w:firstLineChars="200"/>
        <w:rPr>
          <w:rFonts w:hint="eastAsia" w:ascii="宋体" w:hAnsi="宋体" w:eastAsia="宋体" w:cs="宋体"/>
          <w:caps w:val="0"/>
          <w:smallCaps w:val="0"/>
          <w:color w:val="auto"/>
          <w:spacing w:val="0"/>
          <w:w w:val="100"/>
          <w:kern w:val="2"/>
          <w:position w:val="0"/>
          <w:sz w:val="21"/>
          <w:szCs w:val="21"/>
          <w:highlight w:val="none"/>
          <w:lang w:val="en-US" w:eastAsia="zh-CN" w:bidi="ar-SA"/>
        </w:rPr>
      </w:pPr>
      <w:r>
        <w:rPr>
          <w:rFonts w:hint="eastAsia" w:eastAsia="宋体" w:cs="宋体"/>
          <w:caps w:val="0"/>
          <w:smallCaps w:val="0"/>
          <w:color w:val="auto"/>
          <w:spacing w:val="0"/>
          <w:w w:val="100"/>
          <w:kern w:val="2"/>
          <w:position w:val="0"/>
          <w:sz w:val="21"/>
          <w:szCs w:val="21"/>
          <w:highlight w:val="none"/>
          <w:lang w:val="en-US" w:eastAsia="zh-CN" w:bidi="ar-SA"/>
        </w:rPr>
        <w:t>2.</w:t>
      </w:r>
      <w:r>
        <w:rPr>
          <w:rFonts w:hint="eastAsia" w:ascii="宋体" w:hAnsi="宋体" w:eastAsia="宋体" w:cs="宋体"/>
          <w:caps w:val="0"/>
          <w:smallCaps w:val="0"/>
          <w:color w:val="auto"/>
          <w:spacing w:val="0"/>
          <w:w w:val="100"/>
          <w:kern w:val="2"/>
          <w:position w:val="0"/>
          <w:sz w:val="21"/>
          <w:szCs w:val="21"/>
          <w:highlight w:val="none"/>
          <w:lang w:val="en-US" w:eastAsia="zh-CN" w:bidi="ar-SA"/>
        </w:rPr>
        <w:t>4投标人的信誉信息在“信用中国”（https://www.creditchina.gov.cn/）或中国执行信息公开网（http://zxgk.court.gov.cn/shixin） 网站中未列入“严重失信主体名单”、“失信被执行人名单”等不良信用记录的。</w:t>
      </w:r>
    </w:p>
    <w:p>
      <w:pPr>
        <w:pStyle w:val="12"/>
        <w:widowControl w:val="0"/>
        <w:adjustRightInd w:val="0"/>
        <w:snapToGrid w:val="0"/>
        <w:spacing w:before="0" w:beforeAutospacing="0" w:after="0" w:afterAutospacing="0" w:line="360" w:lineRule="auto"/>
        <w:ind w:firstLine="420" w:firstLineChars="200"/>
        <w:rPr>
          <w:rFonts w:hint="eastAsia" w:ascii="宋体" w:hAnsi="宋体" w:eastAsia="宋体" w:cs="宋体"/>
          <w:caps w:val="0"/>
          <w:smallCaps w:val="0"/>
          <w:color w:val="auto"/>
          <w:spacing w:val="0"/>
          <w:w w:val="100"/>
          <w:kern w:val="2"/>
          <w:position w:val="0"/>
          <w:sz w:val="21"/>
          <w:szCs w:val="21"/>
          <w:highlight w:val="none"/>
          <w:lang w:val="en-US" w:eastAsia="zh-CN" w:bidi="ar-SA"/>
        </w:rPr>
      </w:pPr>
      <w:r>
        <w:rPr>
          <w:rFonts w:hint="eastAsia" w:eastAsia="宋体" w:cs="宋体"/>
          <w:caps w:val="0"/>
          <w:smallCaps w:val="0"/>
          <w:color w:val="auto"/>
          <w:spacing w:val="0"/>
          <w:w w:val="100"/>
          <w:kern w:val="2"/>
          <w:position w:val="0"/>
          <w:sz w:val="21"/>
          <w:szCs w:val="21"/>
          <w:highlight w:val="none"/>
          <w:lang w:val="en-US" w:eastAsia="zh-CN" w:bidi="ar-SA"/>
        </w:rPr>
        <w:t>2.</w:t>
      </w:r>
      <w:r>
        <w:rPr>
          <w:rFonts w:hint="eastAsia" w:ascii="宋体" w:hAnsi="宋体" w:eastAsia="宋体" w:cs="宋体"/>
          <w:caps w:val="0"/>
          <w:smallCaps w:val="0"/>
          <w:color w:val="auto"/>
          <w:spacing w:val="0"/>
          <w:w w:val="100"/>
          <w:kern w:val="2"/>
          <w:position w:val="0"/>
          <w:sz w:val="21"/>
          <w:szCs w:val="21"/>
          <w:highlight w:val="none"/>
          <w:lang w:val="en-US" w:eastAsia="zh-CN" w:bidi="ar-SA"/>
        </w:rPr>
        <w:t>5投标人的信誉信息在国家企业信用信息公示系统（http://www.gsxt.gov.cn/） 中未被列入严重违法失信企业名单的。</w:t>
      </w:r>
    </w:p>
    <w:p>
      <w:pPr>
        <w:pStyle w:val="12"/>
        <w:widowControl w:val="0"/>
        <w:adjustRightInd w:val="0"/>
        <w:snapToGrid w:val="0"/>
        <w:spacing w:before="0" w:beforeAutospacing="0" w:after="0" w:afterAutospacing="0" w:line="360" w:lineRule="auto"/>
        <w:ind w:firstLine="420" w:firstLineChars="200"/>
        <w:rPr>
          <w:rFonts w:hint="eastAsia" w:ascii="宋体" w:hAnsi="宋体" w:eastAsia="宋体" w:cs="宋体"/>
          <w:caps w:val="0"/>
          <w:smallCaps w:val="0"/>
          <w:color w:val="auto"/>
          <w:spacing w:val="0"/>
          <w:w w:val="100"/>
          <w:kern w:val="2"/>
          <w:position w:val="0"/>
          <w:sz w:val="21"/>
          <w:szCs w:val="21"/>
          <w:highlight w:val="none"/>
          <w:lang w:val="en-US" w:eastAsia="zh-CN" w:bidi="ar-SA"/>
        </w:rPr>
      </w:pPr>
      <w:r>
        <w:rPr>
          <w:rFonts w:hint="eastAsia" w:eastAsia="宋体" w:cs="宋体"/>
          <w:caps w:val="0"/>
          <w:smallCaps w:val="0"/>
          <w:color w:val="auto"/>
          <w:spacing w:val="0"/>
          <w:w w:val="100"/>
          <w:kern w:val="2"/>
          <w:position w:val="0"/>
          <w:sz w:val="21"/>
          <w:szCs w:val="21"/>
          <w:highlight w:val="none"/>
          <w:lang w:val="en-US" w:eastAsia="zh-CN" w:bidi="ar-SA"/>
        </w:rPr>
        <w:t>2.</w:t>
      </w:r>
      <w:r>
        <w:rPr>
          <w:rFonts w:hint="eastAsia" w:ascii="宋体" w:hAnsi="宋体" w:eastAsia="宋体" w:cs="宋体"/>
          <w:caps w:val="0"/>
          <w:smallCaps w:val="0"/>
          <w:color w:val="auto"/>
          <w:spacing w:val="0"/>
          <w:w w:val="100"/>
          <w:kern w:val="2"/>
          <w:position w:val="0"/>
          <w:sz w:val="21"/>
          <w:szCs w:val="21"/>
          <w:highlight w:val="none"/>
          <w:lang w:val="en-US" w:eastAsia="zh-CN" w:bidi="ar-SA"/>
        </w:rPr>
        <w:t>6投标人、法定代表人、拟委任的项目负责人在近三年（2019年11月1日至投标文件递交截止之日）无行贿犯罪行为。</w:t>
      </w:r>
    </w:p>
    <w:p>
      <w:pPr>
        <w:spacing w:line="360" w:lineRule="auto"/>
        <w:ind w:firstLine="420" w:firstLineChars="200"/>
        <w:rPr>
          <w:rFonts w:hint="eastAsia" w:ascii="宋体" w:hAnsi="宋体" w:eastAsia="宋体" w:cs="宋体"/>
          <w:caps w:val="0"/>
          <w:smallCaps w:val="0"/>
          <w:color w:val="auto"/>
          <w:spacing w:val="0"/>
          <w:w w:val="100"/>
          <w:kern w:val="2"/>
          <w:position w:val="0"/>
          <w:sz w:val="21"/>
          <w:szCs w:val="21"/>
          <w:highlight w:val="none"/>
          <w:lang w:val="en-US" w:eastAsia="zh-CN" w:bidi="ar-SA"/>
        </w:rPr>
      </w:pPr>
      <w:r>
        <w:rPr>
          <w:rFonts w:hint="eastAsia" w:ascii="宋体" w:hAnsi="宋体" w:eastAsia="宋体" w:cs="宋体"/>
          <w:caps w:val="0"/>
          <w:smallCaps w:val="0"/>
          <w:color w:val="auto"/>
          <w:spacing w:val="0"/>
          <w:w w:val="100"/>
          <w:kern w:val="2"/>
          <w:position w:val="0"/>
          <w:sz w:val="21"/>
          <w:szCs w:val="21"/>
          <w:highlight w:val="none"/>
          <w:lang w:val="en-US" w:eastAsia="zh-CN" w:bidi="ar-SA"/>
        </w:rPr>
        <w:t>2.7法律、法规规定的其他条件。</w:t>
      </w:r>
    </w:p>
    <w:p>
      <w:pPr>
        <w:pStyle w:val="12"/>
        <w:widowControl w:val="0"/>
        <w:adjustRightInd w:val="0"/>
        <w:snapToGrid w:val="0"/>
        <w:spacing w:before="0" w:beforeAutospacing="0" w:after="0" w:afterAutospacing="0" w:line="360" w:lineRule="auto"/>
        <w:ind w:firstLine="420" w:firstLineChars="200"/>
        <w:rPr>
          <w:rFonts w:hint="eastAsia" w:ascii="宋体" w:hAnsi="宋体" w:eastAsia="宋体" w:cs="宋体"/>
          <w:caps w:val="0"/>
          <w:smallCaps w:val="0"/>
          <w:color w:val="auto"/>
          <w:spacing w:val="0"/>
          <w:w w:val="100"/>
          <w:kern w:val="2"/>
          <w:position w:val="0"/>
          <w:sz w:val="21"/>
          <w:szCs w:val="21"/>
          <w:highlight w:val="none"/>
          <w:lang w:val="en-US" w:eastAsia="zh-CN" w:bidi="ar-SA"/>
        </w:rPr>
      </w:pPr>
      <w:r>
        <w:rPr>
          <w:rFonts w:hint="eastAsia" w:eastAsia="宋体" w:cs="宋体"/>
          <w:caps w:val="0"/>
          <w:smallCaps w:val="0"/>
          <w:color w:val="auto"/>
          <w:spacing w:val="0"/>
          <w:w w:val="100"/>
          <w:kern w:val="2"/>
          <w:position w:val="0"/>
          <w:sz w:val="21"/>
          <w:szCs w:val="21"/>
          <w:highlight w:val="none"/>
          <w:lang w:val="en-US" w:eastAsia="zh-CN" w:bidi="ar-SA"/>
        </w:rPr>
        <w:t>2.</w:t>
      </w:r>
      <w:r>
        <w:rPr>
          <w:rFonts w:hint="eastAsia" w:ascii="宋体" w:hAnsi="宋体" w:eastAsia="宋体" w:cs="宋体"/>
          <w:caps w:val="0"/>
          <w:smallCaps w:val="0"/>
          <w:color w:val="auto"/>
          <w:spacing w:val="0"/>
          <w:w w:val="100"/>
          <w:kern w:val="2"/>
          <w:position w:val="0"/>
          <w:sz w:val="21"/>
          <w:szCs w:val="21"/>
          <w:highlight w:val="none"/>
          <w:lang w:val="en-US" w:eastAsia="zh-CN" w:bidi="ar-SA"/>
        </w:rPr>
        <w:t>8本次招标不接受联合体投标。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bCs/>
          <w:color w:val="auto"/>
          <w:spacing w:val="0"/>
          <w:w w:val="100"/>
          <w:kern w:val="21"/>
          <w:position w:val="0"/>
          <w:sz w:val="24"/>
          <w:szCs w:val="24"/>
          <w:highlight w:val="none"/>
          <w:lang w:val="en-US" w:eastAsia="zh-CN"/>
        </w:rPr>
      </w:pPr>
      <w:r>
        <w:rPr>
          <w:rFonts w:hint="default" w:ascii="Times New Roman" w:hAnsi="Times New Roman" w:cs="Times New Roman"/>
          <w:b/>
          <w:bCs/>
          <w:color w:val="auto"/>
          <w:spacing w:val="0"/>
          <w:w w:val="100"/>
          <w:kern w:val="21"/>
          <w:position w:val="0"/>
          <w:sz w:val="24"/>
          <w:szCs w:val="24"/>
          <w:highlight w:val="none"/>
          <w:lang w:val="en-US" w:eastAsia="zh-CN"/>
        </w:rPr>
        <w:br w:type="page"/>
      </w:r>
    </w:p>
    <w:p>
      <w:pPr>
        <w:pStyle w:val="19"/>
        <w:pageBreakBefore w:val="0"/>
        <w:widowControl w:val="0"/>
        <w:kinsoku/>
        <w:wordWrap/>
        <w:overflowPunct/>
        <w:topLinePunct w:val="0"/>
        <w:autoSpaceDE/>
        <w:autoSpaceDN/>
        <w:bidi w:val="0"/>
        <w:spacing w:line="360" w:lineRule="auto"/>
        <w:jc w:val="left"/>
        <w:textAlignment w:val="auto"/>
        <w:rPr>
          <w:rFonts w:hint="eastAsia" w:asciiTheme="majorEastAsia" w:hAnsiTheme="majorEastAsia" w:eastAsiaTheme="majorEastAsia" w:cstheme="majorEastAsia"/>
          <w:b/>
          <w:highlight w:val="none"/>
        </w:rPr>
      </w:pPr>
      <w:r>
        <w:rPr>
          <w:rFonts w:hint="default" w:ascii="Times New Roman" w:hAnsi="Times New Roman" w:cs="Times New Roman"/>
          <w:b/>
          <w:bCs/>
          <w:color w:val="auto"/>
          <w:spacing w:val="0"/>
          <w:w w:val="100"/>
          <w:kern w:val="21"/>
          <w:position w:val="0"/>
          <w:sz w:val="24"/>
          <w:szCs w:val="24"/>
          <w:highlight w:val="none"/>
          <w:lang w:val="en-US" w:eastAsia="zh-CN"/>
        </w:rPr>
        <w:t>三、</w:t>
      </w:r>
      <w:r>
        <w:rPr>
          <w:rFonts w:hint="eastAsia" w:ascii="Times New Roman" w:hAnsi="Times New Roman" w:cs="Times New Roman"/>
          <w:b/>
          <w:bCs/>
          <w:color w:val="auto"/>
          <w:spacing w:val="0"/>
          <w:w w:val="100"/>
          <w:kern w:val="21"/>
          <w:position w:val="0"/>
          <w:sz w:val="24"/>
          <w:szCs w:val="24"/>
          <w:highlight w:val="none"/>
          <w:lang w:val="en-US" w:eastAsia="zh-CN"/>
        </w:rPr>
        <w:t>评标办法（综合评分法）</w:t>
      </w:r>
    </w:p>
    <w:tbl>
      <w:tblPr>
        <w:tblStyle w:val="13"/>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540"/>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1" w:type="dxa"/>
            <w:gridSpan w:val="2"/>
            <w:noWrap w:val="0"/>
            <w:vAlign w:val="center"/>
          </w:tcPr>
          <w:p>
            <w:pPr>
              <w:spacing w:line="340" w:lineRule="exact"/>
              <w:jc w:val="center"/>
              <w:rPr>
                <w:rFonts w:ascii="宋体"/>
                <w:color w:val="auto"/>
                <w:szCs w:val="21"/>
                <w:highlight w:val="none"/>
              </w:rPr>
            </w:pPr>
            <w:bookmarkStart w:id="2" w:name="_GoBack"/>
            <w:bookmarkEnd w:id="2"/>
            <w:r>
              <w:rPr>
                <w:rFonts w:hint="eastAsia" w:ascii="宋体" w:hAnsi="宋体"/>
                <w:color w:val="auto"/>
                <w:szCs w:val="21"/>
                <w:highlight w:val="none"/>
              </w:rPr>
              <w:t>条款号</w:t>
            </w:r>
          </w:p>
        </w:tc>
        <w:tc>
          <w:tcPr>
            <w:tcW w:w="7294" w:type="dxa"/>
            <w:noWrap w:val="0"/>
            <w:vAlign w:val="center"/>
          </w:tcPr>
          <w:p>
            <w:pPr>
              <w:spacing w:line="340" w:lineRule="exact"/>
              <w:jc w:val="center"/>
              <w:rPr>
                <w:rFonts w:ascii="宋体"/>
                <w:color w:val="auto"/>
                <w:szCs w:val="21"/>
                <w:highlight w:val="none"/>
              </w:rPr>
            </w:pPr>
            <w:r>
              <w:rPr>
                <w:rFonts w:hint="eastAsia" w:ascii="宋体" w:hAnsi="宋体"/>
                <w:color w:val="auto"/>
                <w:szCs w:val="21"/>
                <w:highlight w:val="none"/>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rPr>
        <w:tc>
          <w:tcPr>
            <w:tcW w:w="811" w:type="dxa"/>
            <w:noWrap w:val="0"/>
            <w:vAlign w:val="center"/>
          </w:tcPr>
          <w:p>
            <w:pPr>
              <w:spacing w:line="340" w:lineRule="exact"/>
              <w:jc w:val="center"/>
              <w:rPr>
                <w:rFonts w:ascii="宋体"/>
                <w:color w:val="auto"/>
                <w:szCs w:val="21"/>
                <w:highlight w:val="none"/>
              </w:rPr>
            </w:pPr>
            <w:r>
              <w:rPr>
                <w:rFonts w:ascii="宋体" w:hAnsi="宋体"/>
                <w:color w:val="auto"/>
                <w:szCs w:val="21"/>
                <w:highlight w:val="none"/>
              </w:rPr>
              <w:t>1</w:t>
            </w:r>
          </w:p>
        </w:tc>
        <w:tc>
          <w:tcPr>
            <w:tcW w:w="1540" w:type="dxa"/>
            <w:noWrap w:val="0"/>
            <w:vAlign w:val="center"/>
          </w:tcPr>
          <w:p>
            <w:pPr>
              <w:spacing w:line="340" w:lineRule="exact"/>
              <w:jc w:val="center"/>
              <w:rPr>
                <w:rFonts w:ascii="宋体"/>
                <w:color w:val="auto"/>
                <w:szCs w:val="21"/>
                <w:highlight w:val="none"/>
              </w:rPr>
            </w:pPr>
            <w:r>
              <w:rPr>
                <w:rFonts w:hint="eastAsia" w:ascii="宋体" w:hAnsi="宋体"/>
                <w:color w:val="auto"/>
                <w:szCs w:val="21"/>
                <w:highlight w:val="none"/>
              </w:rPr>
              <w:t>评标方法</w:t>
            </w:r>
          </w:p>
        </w:tc>
        <w:tc>
          <w:tcPr>
            <w:tcW w:w="7294" w:type="dxa"/>
            <w:noWrap w:val="0"/>
            <w:vAlign w:val="center"/>
          </w:tcPr>
          <w:p>
            <w:pPr>
              <w:spacing w:line="340" w:lineRule="exact"/>
              <w:rPr>
                <w:rFonts w:ascii="宋体"/>
                <w:color w:val="auto"/>
                <w:szCs w:val="21"/>
                <w:highlight w:val="none"/>
              </w:rPr>
            </w:pPr>
            <w:r>
              <w:rPr>
                <w:rFonts w:hint="eastAsia" w:ascii="宋体" w:hAnsi="宋体"/>
                <w:color w:val="auto"/>
                <w:szCs w:val="21"/>
                <w:highlight w:val="none"/>
              </w:rPr>
              <w:t>综合评分相等时，评标委员会依次按照以下优先顺序推荐中标候选人或确定中标人：</w:t>
            </w:r>
          </w:p>
          <w:p>
            <w:pPr>
              <w:spacing w:line="340" w:lineRule="exact"/>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）评标价低的投标人优先；</w:t>
            </w:r>
          </w:p>
          <w:p>
            <w:pPr>
              <w:spacing w:line="340" w:lineRule="exact"/>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）商务和技术得分较高的投标人优先；</w:t>
            </w:r>
          </w:p>
          <w:p>
            <w:pPr>
              <w:spacing w:line="340" w:lineRule="exact"/>
              <w:rPr>
                <w:rFonts w:ascii="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）递交投标文件较早的投标人优先。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noWrap w:val="0"/>
            <w:vAlign w:val="center"/>
          </w:tcPr>
          <w:p>
            <w:pPr>
              <w:spacing w:line="340" w:lineRule="exact"/>
              <w:jc w:val="center"/>
              <w:rPr>
                <w:rFonts w:ascii="宋体"/>
                <w:color w:val="auto"/>
                <w:szCs w:val="21"/>
                <w:highlight w:val="none"/>
              </w:rPr>
            </w:pPr>
            <w:r>
              <w:rPr>
                <w:rFonts w:ascii="宋体" w:hAnsi="宋体"/>
                <w:color w:val="auto"/>
                <w:szCs w:val="21"/>
                <w:highlight w:val="none"/>
              </w:rPr>
              <w:t>2.1.1</w:t>
            </w:r>
          </w:p>
          <w:p>
            <w:pPr>
              <w:spacing w:line="340" w:lineRule="exact"/>
              <w:jc w:val="center"/>
              <w:rPr>
                <w:rFonts w:ascii="宋体"/>
                <w:color w:val="auto"/>
                <w:szCs w:val="21"/>
                <w:highlight w:val="none"/>
              </w:rPr>
            </w:pPr>
            <w:r>
              <w:rPr>
                <w:rFonts w:ascii="宋体" w:hAnsi="宋体"/>
                <w:color w:val="auto"/>
                <w:szCs w:val="21"/>
                <w:highlight w:val="none"/>
              </w:rPr>
              <w:t>2.1.3</w:t>
            </w:r>
          </w:p>
        </w:tc>
        <w:tc>
          <w:tcPr>
            <w:tcW w:w="1540" w:type="dxa"/>
            <w:noWrap w:val="0"/>
            <w:vAlign w:val="center"/>
          </w:tcPr>
          <w:p>
            <w:pPr>
              <w:spacing w:line="340" w:lineRule="exact"/>
              <w:jc w:val="center"/>
              <w:rPr>
                <w:rFonts w:ascii="宋体"/>
                <w:color w:val="auto"/>
                <w:szCs w:val="21"/>
                <w:highlight w:val="none"/>
              </w:rPr>
            </w:pPr>
            <w:r>
              <w:rPr>
                <w:rFonts w:hint="eastAsia" w:ascii="宋体" w:hAnsi="宋体"/>
                <w:color w:val="auto"/>
                <w:szCs w:val="21"/>
                <w:highlight w:val="none"/>
              </w:rPr>
              <w:t>形式评审与响应性评审</w:t>
            </w:r>
          </w:p>
        </w:tc>
        <w:tc>
          <w:tcPr>
            <w:tcW w:w="7294" w:type="dxa"/>
            <w:noWrap w:val="0"/>
            <w:vAlign w:val="center"/>
          </w:tcPr>
          <w:p>
            <w:pPr>
              <w:spacing w:line="300" w:lineRule="exact"/>
              <w:ind w:left="527" w:leftChars="50" w:right="105" w:rightChars="50" w:hanging="422" w:hangingChars="200"/>
              <w:rPr>
                <w:rFonts w:ascii="宋体" w:cs="宋体"/>
                <w:b/>
                <w:color w:val="auto"/>
                <w:szCs w:val="21"/>
                <w:highlight w:val="none"/>
              </w:rPr>
            </w:pPr>
            <w:r>
              <w:rPr>
                <w:rFonts w:hint="eastAsia" w:ascii="宋体" w:hAnsi="宋体" w:cs="宋体"/>
                <w:b/>
                <w:color w:val="auto"/>
                <w:szCs w:val="21"/>
                <w:highlight w:val="none"/>
              </w:rPr>
              <w:t>第一个信封（商务及技术文件）评审标准：</w:t>
            </w:r>
          </w:p>
          <w:p>
            <w:pPr>
              <w:spacing w:line="300" w:lineRule="exact"/>
              <w:ind w:left="210" w:leftChars="50" w:right="105" w:rightChars="50" w:hanging="105" w:hangingChars="50"/>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）投标文件按照招标文件规定的格式、内容填写，字迹清晰可辩：</w:t>
            </w:r>
          </w:p>
          <w:p>
            <w:pPr>
              <w:spacing w:line="300" w:lineRule="exact"/>
              <w:ind w:left="105" w:leftChars="50" w:right="105" w:rightChars="50" w:firstLine="105" w:firstLineChars="50"/>
              <w:rPr>
                <w:rFonts w:ascii="宋体" w:cs="宋体"/>
                <w:color w:val="auto"/>
                <w:szCs w:val="21"/>
                <w:highlight w:val="none"/>
              </w:rPr>
            </w:pPr>
            <w:r>
              <w:rPr>
                <w:rFonts w:ascii="宋体" w:hAnsi="宋体" w:cs="宋体"/>
                <w:color w:val="auto"/>
                <w:szCs w:val="21"/>
                <w:highlight w:val="none"/>
              </w:rPr>
              <w:t>a.</w:t>
            </w:r>
            <w:r>
              <w:rPr>
                <w:rFonts w:hint="eastAsia" w:ascii="宋体" w:hAnsi="宋体" w:cs="宋体"/>
                <w:color w:val="auto"/>
                <w:szCs w:val="21"/>
                <w:highlight w:val="none"/>
              </w:rPr>
              <w:t>投标函按招标文件规定填报了项目名称、项目负责人、补遗书编号（如有）、服务周期、质量要求及安全目标；</w:t>
            </w:r>
          </w:p>
          <w:p>
            <w:pPr>
              <w:spacing w:line="300" w:lineRule="exact"/>
              <w:ind w:left="105" w:leftChars="50" w:right="105" w:rightChars="50" w:firstLine="105" w:firstLineChars="50"/>
              <w:rPr>
                <w:rFonts w:ascii="宋体" w:cs="宋体"/>
                <w:color w:val="auto"/>
                <w:szCs w:val="21"/>
                <w:highlight w:val="none"/>
              </w:rPr>
            </w:pPr>
            <w:r>
              <w:rPr>
                <w:rFonts w:ascii="宋体" w:hAnsi="宋体" w:cs="宋体"/>
                <w:color w:val="auto"/>
                <w:szCs w:val="21"/>
                <w:highlight w:val="none"/>
              </w:rPr>
              <w:t>b.</w:t>
            </w:r>
            <w:r>
              <w:rPr>
                <w:rFonts w:hint="eastAsia" w:ascii="宋体" w:hAnsi="宋体" w:cs="宋体"/>
                <w:color w:val="auto"/>
                <w:szCs w:val="21"/>
                <w:highlight w:val="none"/>
              </w:rPr>
              <w:t>投标文件组成齐全完整，内容均按规定填写。</w:t>
            </w:r>
          </w:p>
          <w:p>
            <w:pPr>
              <w:spacing w:line="300" w:lineRule="exact"/>
              <w:ind w:left="210" w:leftChars="50" w:right="105" w:rightChars="50" w:hanging="105" w:hangingChars="50"/>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）投标文件上法定代表人的</w:t>
            </w:r>
            <w:r>
              <w:rPr>
                <w:rFonts w:hint="eastAsia" w:ascii="宋体" w:hAnsi="宋体" w:cs="宋体"/>
                <w:color w:val="auto"/>
                <w:szCs w:val="21"/>
                <w:highlight w:val="none"/>
                <w:lang w:val="en-US" w:eastAsia="zh-CN"/>
              </w:rPr>
              <w:t>电子签名章</w:t>
            </w:r>
            <w:r>
              <w:rPr>
                <w:rFonts w:hint="eastAsia" w:ascii="宋体" w:hAnsi="宋体" w:cs="宋体"/>
                <w:color w:val="auto"/>
                <w:szCs w:val="21"/>
                <w:highlight w:val="none"/>
              </w:rPr>
              <w:t>、投标人的单位</w:t>
            </w:r>
            <w:r>
              <w:rPr>
                <w:rFonts w:hint="eastAsia" w:ascii="宋体" w:hAnsi="宋体" w:cs="宋体"/>
                <w:color w:val="auto"/>
                <w:szCs w:val="21"/>
                <w:highlight w:val="none"/>
                <w:lang w:val="en-US" w:eastAsia="zh-CN"/>
              </w:rPr>
              <w:t>电子公章加盖</w:t>
            </w:r>
            <w:r>
              <w:rPr>
                <w:rFonts w:hint="eastAsia" w:ascii="宋体" w:hAnsi="宋体" w:cs="宋体"/>
                <w:color w:val="auto"/>
                <w:szCs w:val="21"/>
                <w:highlight w:val="none"/>
              </w:rPr>
              <w:t>齐全，符合招标文件规定。</w:t>
            </w:r>
          </w:p>
          <w:p>
            <w:pPr>
              <w:autoSpaceDE w:val="0"/>
              <w:autoSpaceDN w:val="0"/>
              <w:adjustRightInd w:val="0"/>
              <w:spacing w:line="280" w:lineRule="exact"/>
              <w:ind w:left="105" w:leftChars="50" w:right="105" w:rightChars="50"/>
              <w:rPr>
                <w:rFonts w:ascii="宋体"/>
                <w:color w:val="auto"/>
                <w:highlight w:val="none"/>
                <w:lang w:val="zh-CN"/>
              </w:rPr>
            </w:pP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w:t>
            </w:r>
            <w:r>
              <w:rPr>
                <w:rFonts w:hint="eastAsia" w:ascii="宋体"/>
                <w:color w:val="auto"/>
                <w:highlight w:val="none"/>
                <w:lang w:val="zh-CN"/>
              </w:rPr>
              <w:t>投标人提供了法定代表人身份证明，且签字盖章符合招标文件要求。</w:t>
            </w:r>
          </w:p>
          <w:p>
            <w:pPr>
              <w:spacing w:line="300" w:lineRule="exact"/>
              <w:ind w:left="210" w:leftChars="50" w:right="105" w:rightChars="50" w:hanging="105" w:hangingChars="50"/>
              <w:rPr>
                <w:rFonts w:ascii="宋体" w:cs="宋体"/>
                <w:color w:val="auto"/>
                <w:szCs w:val="21"/>
                <w:highlight w:val="none"/>
              </w:rPr>
            </w:pPr>
            <w:r>
              <w:rPr>
                <w:rFonts w:hint="eastAsia" w:ascii="宋体" w:hAnsi="宋体" w:cs="宋体"/>
                <w:color w:val="auto"/>
                <w:szCs w:val="21"/>
                <w:highlight w:val="none"/>
              </w:rPr>
              <w:t>（4）投标人未以联合体形式投标。</w:t>
            </w:r>
          </w:p>
          <w:p>
            <w:pPr>
              <w:autoSpaceDE w:val="0"/>
              <w:autoSpaceDN w:val="0"/>
              <w:adjustRightInd w:val="0"/>
              <w:spacing w:line="300" w:lineRule="exact"/>
              <w:ind w:left="105" w:leftChars="50" w:right="105" w:rightChars="50"/>
              <w:rPr>
                <w:rFonts w:ascii="宋体" w:cs="宋体"/>
                <w:color w:val="auto"/>
                <w:szCs w:val="21"/>
                <w:highlight w:val="none"/>
              </w:rPr>
            </w:pPr>
            <w:r>
              <w:rPr>
                <w:rFonts w:hint="eastAsia" w:ascii="宋体" w:hAnsi="宋体" w:cs="宋体"/>
                <w:color w:val="auto"/>
                <w:szCs w:val="21"/>
                <w:highlight w:val="none"/>
              </w:rPr>
              <w:t>（5）投标文件中未出现有关投标报价的内容。</w:t>
            </w:r>
          </w:p>
          <w:p>
            <w:pPr>
              <w:autoSpaceDE w:val="0"/>
              <w:autoSpaceDN w:val="0"/>
              <w:adjustRightInd w:val="0"/>
              <w:spacing w:line="300" w:lineRule="exact"/>
              <w:ind w:left="105" w:leftChars="50" w:right="105" w:rightChars="50"/>
              <w:rPr>
                <w:rFonts w:ascii="宋体" w:cs="宋体"/>
                <w:color w:val="auto"/>
                <w:szCs w:val="21"/>
                <w:highlight w:val="none"/>
              </w:rPr>
            </w:pPr>
            <w:r>
              <w:rPr>
                <w:rFonts w:hint="eastAsia" w:ascii="宋体" w:hAnsi="宋体" w:cs="宋体"/>
                <w:color w:val="auto"/>
                <w:szCs w:val="21"/>
                <w:highlight w:val="none"/>
              </w:rPr>
              <w:t>（6）投标文件载明的招标项目完成期限未超过招标文件规定的时限。</w:t>
            </w:r>
          </w:p>
          <w:p>
            <w:pPr>
              <w:autoSpaceDE w:val="0"/>
              <w:autoSpaceDN w:val="0"/>
              <w:adjustRightInd w:val="0"/>
              <w:spacing w:line="300" w:lineRule="exact"/>
              <w:ind w:left="105" w:leftChars="50" w:right="105" w:rightChars="50"/>
              <w:rPr>
                <w:rFonts w:ascii="宋体" w:cs="宋体"/>
                <w:color w:val="auto"/>
                <w:szCs w:val="21"/>
                <w:highlight w:val="none"/>
              </w:rPr>
            </w:pPr>
            <w:r>
              <w:rPr>
                <w:rFonts w:hint="eastAsia" w:ascii="宋体" w:hAnsi="宋体" w:cs="宋体"/>
                <w:color w:val="auto"/>
                <w:szCs w:val="21"/>
                <w:highlight w:val="none"/>
              </w:rPr>
              <w:t>（7）投标文件对招标文件的实质性要求和条件作出响应。</w:t>
            </w:r>
          </w:p>
          <w:p>
            <w:pPr>
              <w:autoSpaceDE w:val="0"/>
              <w:autoSpaceDN w:val="0"/>
              <w:adjustRightInd w:val="0"/>
              <w:spacing w:line="300" w:lineRule="exact"/>
              <w:ind w:left="105" w:leftChars="50" w:right="105" w:rightChars="50"/>
              <w:rPr>
                <w:rFonts w:ascii="宋体" w:cs="宋体"/>
                <w:color w:val="auto"/>
                <w:szCs w:val="21"/>
                <w:highlight w:val="none"/>
              </w:rPr>
            </w:pPr>
            <w:r>
              <w:rPr>
                <w:rFonts w:hint="eastAsia" w:ascii="宋体" w:hAnsi="宋体" w:cs="宋体"/>
                <w:color w:val="auto"/>
                <w:szCs w:val="21"/>
                <w:highlight w:val="none"/>
              </w:rPr>
              <w:t>（8）权利义务符合招标文件规定：</w:t>
            </w:r>
          </w:p>
          <w:p>
            <w:pPr>
              <w:spacing w:line="300" w:lineRule="exact"/>
              <w:ind w:left="105" w:leftChars="50" w:right="105" w:rightChars="50" w:firstLine="105" w:firstLineChars="50"/>
              <w:rPr>
                <w:rFonts w:ascii="宋体" w:cs="宋体"/>
                <w:color w:val="auto"/>
                <w:szCs w:val="21"/>
                <w:highlight w:val="none"/>
              </w:rPr>
            </w:pPr>
            <w:r>
              <w:rPr>
                <w:rFonts w:ascii="宋体" w:hAnsi="宋体" w:cs="宋体"/>
                <w:color w:val="auto"/>
                <w:szCs w:val="21"/>
                <w:highlight w:val="none"/>
              </w:rPr>
              <w:t>a.</w:t>
            </w:r>
            <w:r>
              <w:rPr>
                <w:rFonts w:hint="eastAsia" w:ascii="宋体" w:hAnsi="宋体" w:cs="宋体"/>
                <w:color w:val="auto"/>
                <w:szCs w:val="21"/>
                <w:highlight w:val="none"/>
              </w:rPr>
              <w:t>投标人应接受招标文件规定的风险划分原则，未提出新的风险划分办法；</w:t>
            </w:r>
          </w:p>
          <w:p>
            <w:pPr>
              <w:spacing w:line="300" w:lineRule="exact"/>
              <w:ind w:left="105" w:leftChars="50" w:right="105" w:rightChars="50" w:firstLine="105" w:firstLineChars="50"/>
              <w:rPr>
                <w:rFonts w:ascii="宋体" w:cs="宋体"/>
                <w:color w:val="auto"/>
                <w:szCs w:val="21"/>
                <w:highlight w:val="none"/>
              </w:rPr>
            </w:pPr>
            <w:r>
              <w:rPr>
                <w:rFonts w:ascii="宋体" w:hAnsi="宋体" w:cs="宋体"/>
                <w:color w:val="auto"/>
                <w:szCs w:val="21"/>
                <w:highlight w:val="none"/>
              </w:rPr>
              <w:t>b.</w:t>
            </w:r>
            <w:r>
              <w:rPr>
                <w:rFonts w:hint="eastAsia" w:ascii="宋体" w:hAnsi="宋体" w:cs="宋体"/>
                <w:color w:val="auto"/>
                <w:szCs w:val="21"/>
                <w:highlight w:val="none"/>
              </w:rPr>
              <w:t>投标人未增加发包人的责任范围，或减少投标人义务；</w:t>
            </w:r>
          </w:p>
          <w:p>
            <w:pPr>
              <w:spacing w:line="300" w:lineRule="exact"/>
              <w:ind w:left="105" w:leftChars="50" w:right="105" w:rightChars="50" w:firstLine="105" w:firstLineChars="50"/>
              <w:rPr>
                <w:rFonts w:ascii="宋体" w:cs="宋体"/>
                <w:color w:val="auto"/>
                <w:szCs w:val="21"/>
                <w:highlight w:val="none"/>
              </w:rPr>
            </w:pPr>
            <w:r>
              <w:rPr>
                <w:rFonts w:ascii="宋体" w:hAnsi="宋体" w:cs="宋体"/>
                <w:color w:val="auto"/>
                <w:szCs w:val="21"/>
                <w:highlight w:val="none"/>
              </w:rPr>
              <w:t>c.</w:t>
            </w:r>
            <w:r>
              <w:rPr>
                <w:rFonts w:hint="eastAsia" w:ascii="宋体" w:hAnsi="宋体" w:cs="宋体"/>
                <w:color w:val="auto"/>
                <w:szCs w:val="21"/>
                <w:highlight w:val="none"/>
              </w:rPr>
              <w:t>投标人未提出不同的验收、计量、支付办法；</w:t>
            </w:r>
          </w:p>
          <w:p>
            <w:pPr>
              <w:spacing w:line="300" w:lineRule="exact"/>
              <w:ind w:left="105" w:leftChars="50" w:right="105" w:rightChars="50" w:firstLine="105" w:firstLineChars="50"/>
              <w:rPr>
                <w:rFonts w:ascii="宋体" w:cs="宋体"/>
                <w:color w:val="auto"/>
                <w:szCs w:val="21"/>
                <w:highlight w:val="none"/>
              </w:rPr>
            </w:pPr>
            <w:r>
              <w:rPr>
                <w:rFonts w:ascii="宋体" w:hAnsi="宋体" w:cs="宋体"/>
                <w:color w:val="auto"/>
                <w:szCs w:val="21"/>
                <w:highlight w:val="none"/>
              </w:rPr>
              <w:t>d.</w:t>
            </w:r>
            <w:r>
              <w:rPr>
                <w:rFonts w:hint="eastAsia" w:ascii="宋体" w:hAnsi="宋体" w:cs="宋体"/>
                <w:color w:val="auto"/>
                <w:szCs w:val="21"/>
                <w:highlight w:val="none"/>
              </w:rPr>
              <w:t>投标人对合同纠纷、事故处理办法未提出异议；</w:t>
            </w:r>
          </w:p>
          <w:p>
            <w:pPr>
              <w:spacing w:line="300" w:lineRule="exact"/>
              <w:ind w:left="105" w:leftChars="50" w:right="105" w:rightChars="50" w:firstLine="105" w:firstLineChars="50"/>
              <w:rPr>
                <w:rFonts w:ascii="宋体" w:cs="宋体"/>
                <w:color w:val="auto"/>
                <w:szCs w:val="21"/>
                <w:highlight w:val="none"/>
              </w:rPr>
            </w:pPr>
            <w:r>
              <w:rPr>
                <w:rFonts w:ascii="宋体" w:hAnsi="宋体" w:cs="宋体"/>
                <w:color w:val="auto"/>
                <w:szCs w:val="21"/>
                <w:highlight w:val="none"/>
              </w:rPr>
              <w:t>e.</w:t>
            </w:r>
            <w:r>
              <w:rPr>
                <w:rFonts w:hint="eastAsia" w:ascii="宋体" w:hAnsi="宋体" w:cs="宋体"/>
                <w:color w:val="auto"/>
                <w:szCs w:val="21"/>
                <w:highlight w:val="none"/>
              </w:rPr>
              <w:t>投标人在投标活动中无欺诈行为；</w:t>
            </w:r>
          </w:p>
          <w:p>
            <w:pPr>
              <w:spacing w:line="300" w:lineRule="exact"/>
              <w:ind w:left="105" w:leftChars="50" w:right="105" w:rightChars="50" w:firstLine="105" w:firstLineChars="50"/>
              <w:rPr>
                <w:rFonts w:ascii="宋体" w:cs="宋体"/>
                <w:color w:val="auto"/>
                <w:szCs w:val="21"/>
                <w:highlight w:val="none"/>
              </w:rPr>
            </w:pPr>
            <w:r>
              <w:rPr>
                <w:rFonts w:ascii="宋体" w:hAnsi="宋体" w:cs="宋体"/>
                <w:color w:val="auto"/>
                <w:szCs w:val="21"/>
                <w:highlight w:val="none"/>
              </w:rPr>
              <w:t>f.</w:t>
            </w:r>
            <w:r>
              <w:rPr>
                <w:rFonts w:hint="eastAsia" w:ascii="宋体" w:hAnsi="宋体" w:cs="宋体"/>
                <w:color w:val="auto"/>
                <w:szCs w:val="21"/>
                <w:highlight w:val="none"/>
              </w:rPr>
              <w:t>投标人未对合同条款有重要保留。</w:t>
            </w:r>
          </w:p>
          <w:p>
            <w:pPr>
              <w:spacing w:line="340" w:lineRule="exact"/>
              <w:rPr>
                <w:rFonts w:hint="eastAsia" w:ascii="宋体" w:hAnsi="宋体" w:cs="宋体"/>
                <w:color w:val="auto"/>
                <w:szCs w:val="21"/>
                <w:highlight w:val="none"/>
              </w:rPr>
            </w:pPr>
            <w:r>
              <w:rPr>
                <w:rFonts w:hint="eastAsia" w:ascii="宋体" w:hAnsi="宋体" w:cs="宋体"/>
                <w:color w:val="auto"/>
                <w:szCs w:val="21"/>
                <w:highlight w:val="none"/>
              </w:rPr>
              <w:t>（9）电子投标文件符合招标文件规定且不存在投标人须知第10.</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款第（1）条规定的情形。</w:t>
            </w:r>
          </w:p>
          <w:p>
            <w:pPr>
              <w:spacing w:line="340" w:lineRule="exact"/>
              <w:rPr>
                <w:rFonts w:ascii="宋体"/>
                <w:color w:val="auto"/>
                <w:highlight w:val="none"/>
                <w:lang w:val="zh-CN"/>
              </w:rPr>
            </w:pPr>
            <w:r>
              <w:rPr>
                <w:rFonts w:hint="eastAsia" w:ascii="宋体" w:hAnsi="宋体" w:cs="宋体"/>
                <w:color w:val="auto"/>
                <w:szCs w:val="21"/>
                <w:highlight w:val="none"/>
              </w:rPr>
              <w:t>（10） 投标文件没有附有招标人不能接受的其它条件。</w:t>
            </w:r>
          </w:p>
          <w:p>
            <w:pPr>
              <w:autoSpaceDE w:val="0"/>
              <w:spacing w:line="360" w:lineRule="exact"/>
              <w:ind w:left="105" w:leftChars="50" w:right="105" w:rightChars="50"/>
              <w:rPr>
                <w:rFonts w:ascii="宋体" w:cs="宋体"/>
                <w:b/>
                <w:color w:val="auto"/>
                <w:szCs w:val="21"/>
                <w:highlight w:val="none"/>
              </w:rPr>
            </w:pPr>
            <w:r>
              <w:rPr>
                <w:rFonts w:hint="eastAsia" w:ascii="宋体" w:hAnsi="宋体" w:cs="宋体"/>
                <w:b/>
                <w:color w:val="auto"/>
                <w:szCs w:val="21"/>
                <w:highlight w:val="none"/>
              </w:rPr>
              <w:t>第二个信封（报价文件）评审标准：</w:t>
            </w:r>
          </w:p>
          <w:p>
            <w:pPr>
              <w:autoSpaceDE w:val="0"/>
              <w:spacing w:line="360" w:lineRule="exact"/>
              <w:ind w:left="105" w:leftChars="50" w:right="105" w:rightChars="50"/>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）投标文件按照招标文件规定的格式、内容填写，字迹清晰可辨，内容齐全完整：</w:t>
            </w:r>
          </w:p>
          <w:p>
            <w:pPr>
              <w:autoSpaceDE w:val="0"/>
              <w:spacing w:line="360" w:lineRule="exact"/>
              <w:ind w:left="105" w:leftChars="50" w:right="105" w:rightChars="50"/>
              <w:rPr>
                <w:rFonts w:ascii="宋体" w:cs="宋体"/>
                <w:color w:val="auto"/>
                <w:szCs w:val="21"/>
                <w:highlight w:val="none"/>
              </w:rPr>
            </w:pPr>
            <w:r>
              <w:rPr>
                <w:rFonts w:ascii="宋体" w:hAnsi="宋体" w:cs="宋体"/>
                <w:color w:val="auto"/>
                <w:szCs w:val="21"/>
                <w:highlight w:val="none"/>
              </w:rPr>
              <w:t>a.</w:t>
            </w:r>
            <w:r>
              <w:rPr>
                <w:rFonts w:hint="eastAsia" w:ascii="宋体" w:hAnsi="宋体" w:cs="宋体"/>
                <w:color w:val="auto"/>
                <w:szCs w:val="21"/>
                <w:highlight w:val="none"/>
              </w:rPr>
              <w:t>投标函按招标文件规定填报了项目名称、标段号、补遗书编号（如有）、投标价（包括大写金额和小写金额）；</w:t>
            </w:r>
          </w:p>
          <w:p>
            <w:pPr>
              <w:autoSpaceDE w:val="0"/>
              <w:spacing w:line="360" w:lineRule="exact"/>
              <w:ind w:left="105" w:leftChars="50" w:right="105" w:rightChars="50"/>
              <w:rPr>
                <w:rFonts w:ascii="宋体" w:cs="宋体"/>
                <w:color w:val="auto"/>
                <w:szCs w:val="21"/>
                <w:highlight w:val="none"/>
              </w:rPr>
            </w:pPr>
            <w:r>
              <w:rPr>
                <w:rFonts w:ascii="宋体" w:hAnsi="宋体" w:cs="宋体"/>
                <w:color w:val="auto"/>
                <w:szCs w:val="21"/>
                <w:highlight w:val="none"/>
              </w:rPr>
              <w:t>b.</w:t>
            </w:r>
            <w:r>
              <w:rPr>
                <w:rFonts w:hint="eastAsia" w:ascii="宋体" w:hAnsi="宋体" w:cs="宋体"/>
                <w:color w:val="auto"/>
                <w:szCs w:val="21"/>
                <w:highlight w:val="none"/>
              </w:rPr>
              <w:t>投标文件组成齐全完整，内容均按规定填写。</w:t>
            </w:r>
          </w:p>
          <w:p>
            <w:pPr>
              <w:autoSpaceDE w:val="0"/>
              <w:spacing w:line="360" w:lineRule="exact"/>
              <w:ind w:left="105" w:leftChars="50" w:right="105" w:rightChars="50"/>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）投标文件上法定代表人的签字、投标人的单位章盖章齐全，符合招标文件规定。</w:t>
            </w:r>
          </w:p>
          <w:p>
            <w:pPr>
              <w:autoSpaceDE w:val="0"/>
              <w:spacing w:line="360" w:lineRule="exact"/>
              <w:ind w:left="105" w:leftChars="50" w:right="105" w:rightChars="50"/>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）投标报价中的报价未超过招标文件设定的最高投标限价。</w:t>
            </w:r>
          </w:p>
          <w:p>
            <w:pPr>
              <w:autoSpaceDE w:val="0"/>
              <w:spacing w:line="360" w:lineRule="exact"/>
              <w:ind w:left="105" w:leftChars="50" w:right="105" w:rightChars="50"/>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4</w:t>
            </w:r>
            <w:r>
              <w:rPr>
                <w:rFonts w:hint="eastAsia" w:ascii="宋体" w:hAnsi="宋体" w:cs="宋体"/>
                <w:color w:val="auto"/>
                <w:szCs w:val="21"/>
                <w:highlight w:val="none"/>
              </w:rPr>
              <w:t>）投标报价中报价的大写金额能够确定具体数值。</w:t>
            </w:r>
          </w:p>
          <w:p>
            <w:pPr>
              <w:autoSpaceDE w:val="0"/>
              <w:spacing w:line="360" w:lineRule="exact"/>
              <w:ind w:left="105" w:leftChars="50" w:right="105" w:rightChars="50"/>
              <w:rPr>
                <w:rFonts w:asci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5</w:t>
            </w:r>
            <w:r>
              <w:rPr>
                <w:rFonts w:hint="eastAsia" w:ascii="宋体" w:hAnsi="宋体" w:cs="宋体"/>
                <w:color w:val="auto"/>
                <w:szCs w:val="21"/>
                <w:highlight w:val="none"/>
              </w:rPr>
              <w:t>）同一投标人未提交两个以上不同的投标报价，但招标文件要求提交备选投标的除外。</w:t>
            </w:r>
          </w:p>
          <w:p>
            <w:pPr>
              <w:spacing w:line="240" w:lineRule="atLeast"/>
              <w:ind w:left="105" w:leftChars="50" w:right="105" w:rightChars="50"/>
              <w:rPr>
                <w:rFonts w:hint="eastAsia" w:ascii="宋体" w:hAnsi="宋体" w:cs="宋体"/>
                <w:color w:val="auto"/>
                <w:highlight w:val="none"/>
              </w:rPr>
            </w:pPr>
            <w:r>
              <w:rPr>
                <w:rFonts w:hint="eastAsia" w:ascii="宋体" w:hAnsi="宋体" w:cs="宋体"/>
                <w:color w:val="auto"/>
                <w:highlight w:val="none"/>
              </w:rPr>
              <w:t>（6）</w:t>
            </w:r>
            <w:r>
              <w:rPr>
                <w:rFonts w:hint="eastAsia"/>
                <w:color w:val="auto"/>
                <w:highlight w:val="none"/>
              </w:rPr>
              <w:t>电子投标文件符合招标文件规定且不存在投标人须知第10.</w:t>
            </w:r>
            <w:r>
              <w:rPr>
                <w:rFonts w:hint="eastAsia"/>
                <w:color w:val="auto"/>
                <w:highlight w:val="none"/>
                <w:lang w:val="en-US" w:eastAsia="zh-CN"/>
              </w:rPr>
              <w:t>6</w:t>
            </w:r>
            <w:r>
              <w:rPr>
                <w:rFonts w:hint="eastAsia"/>
                <w:color w:val="auto"/>
                <w:highlight w:val="none"/>
              </w:rPr>
              <w:t>款第（1）条规定的情形。</w:t>
            </w:r>
          </w:p>
          <w:p>
            <w:pPr>
              <w:spacing w:line="340" w:lineRule="exact"/>
              <w:rPr>
                <w:rFonts w:ascii="宋体"/>
                <w:color w:val="auto"/>
                <w:szCs w:val="21"/>
                <w:highlight w:val="none"/>
              </w:rPr>
            </w:pPr>
            <w:r>
              <w:rPr>
                <w:rFonts w:hint="eastAsia" w:ascii="宋体" w:hAnsi="宋体" w:cs="宋体"/>
                <w:color w:val="auto"/>
                <w:highlight w:val="none"/>
              </w:rPr>
              <w:t xml:space="preserve">（7）投标文件没有附有招标人不能接受的其它条件。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noWrap w:val="0"/>
            <w:vAlign w:val="center"/>
          </w:tcPr>
          <w:p>
            <w:pPr>
              <w:spacing w:line="340" w:lineRule="exact"/>
              <w:jc w:val="center"/>
              <w:rPr>
                <w:rFonts w:ascii="宋体"/>
                <w:color w:val="auto"/>
                <w:szCs w:val="21"/>
                <w:highlight w:val="none"/>
              </w:rPr>
            </w:pPr>
            <w:r>
              <w:rPr>
                <w:rFonts w:ascii="宋体" w:hAnsi="宋体"/>
                <w:color w:val="auto"/>
                <w:szCs w:val="21"/>
                <w:highlight w:val="none"/>
              </w:rPr>
              <w:t>2.1.2</w:t>
            </w:r>
          </w:p>
        </w:tc>
        <w:tc>
          <w:tcPr>
            <w:tcW w:w="1540" w:type="dxa"/>
            <w:noWrap w:val="0"/>
            <w:vAlign w:val="center"/>
          </w:tcPr>
          <w:p>
            <w:pPr>
              <w:spacing w:line="340" w:lineRule="exact"/>
              <w:jc w:val="center"/>
              <w:rPr>
                <w:rFonts w:ascii="宋体"/>
                <w:color w:val="auto"/>
                <w:szCs w:val="21"/>
                <w:highlight w:val="none"/>
              </w:rPr>
            </w:pPr>
            <w:r>
              <w:rPr>
                <w:rFonts w:hint="eastAsia" w:ascii="宋体" w:hAnsi="宋体"/>
                <w:color w:val="auto"/>
                <w:szCs w:val="21"/>
                <w:highlight w:val="none"/>
              </w:rPr>
              <w:t>资格评审标准</w:t>
            </w:r>
          </w:p>
        </w:tc>
        <w:tc>
          <w:tcPr>
            <w:tcW w:w="7294" w:type="dxa"/>
            <w:noWrap w:val="0"/>
            <w:vAlign w:val="center"/>
          </w:tcPr>
          <w:p>
            <w:pPr>
              <w:autoSpaceDE w:val="0"/>
              <w:spacing w:line="360" w:lineRule="exact"/>
              <w:ind w:left="105" w:leftChars="50" w:right="105" w:rightChars="50"/>
              <w:rPr>
                <w:rFonts w:hint="eastAsia"/>
                <w:color w:val="auto"/>
                <w:highlight w:val="none"/>
              </w:rPr>
            </w:pPr>
            <w:r>
              <w:rPr>
                <w:rFonts w:hint="eastAsia"/>
                <w:color w:val="auto"/>
                <w:highlight w:val="none"/>
              </w:rPr>
              <w:t>（1）投标人具备有效的企业法人营业执照和基本账户开户许可证或基本存款账户信息、资质证书。</w:t>
            </w:r>
          </w:p>
          <w:p>
            <w:pPr>
              <w:autoSpaceDE w:val="0"/>
              <w:spacing w:line="360" w:lineRule="exact"/>
              <w:ind w:left="105" w:leftChars="50" w:right="105" w:rightChars="50"/>
              <w:rPr>
                <w:rFonts w:hint="eastAsia"/>
                <w:color w:val="auto"/>
                <w:highlight w:val="none"/>
              </w:rPr>
            </w:pPr>
            <w:r>
              <w:rPr>
                <w:rFonts w:hint="eastAsia"/>
                <w:color w:val="auto"/>
                <w:highlight w:val="none"/>
              </w:rPr>
              <w:t>（2）投标人的类似项目业绩符合招标文件规定。</w:t>
            </w:r>
          </w:p>
          <w:p>
            <w:pPr>
              <w:autoSpaceDE w:val="0"/>
              <w:spacing w:line="360" w:lineRule="exact"/>
              <w:ind w:left="105" w:leftChars="50" w:right="105" w:rightChars="50"/>
              <w:rPr>
                <w:rFonts w:hint="eastAsia"/>
                <w:color w:val="auto"/>
                <w:highlight w:val="none"/>
              </w:rPr>
            </w:pPr>
            <w:r>
              <w:rPr>
                <w:rFonts w:hint="eastAsia"/>
                <w:color w:val="auto"/>
                <w:highlight w:val="none"/>
              </w:rPr>
              <w:t>（3）投标人的信誉符合招标文件规定。</w:t>
            </w:r>
          </w:p>
          <w:p>
            <w:pPr>
              <w:autoSpaceDE w:val="0"/>
              <w:spacing w:line="360" w:lineRule="exact"/>
              <w:ind w:left="105" w:leftChars="50" w:right="105" w:rightChars="50"/>
              <w:rPr>
                <w:rFonts w:hint="eastAsia"/>
                <w:color w:val="auto"/>
                <w:highlight w:val="none"/>
              </w:rPr>
            </w:pPr>
            <w:r>
              <w:rPr>
                <w:rFonts w:hint="eastAsia"/>
                <w:color w:val="auto"/>
                <w:highlight w:val="none"/>
              </w:rPr>
              <w:t>（4）投标人的财务状况符合招标文件规定。</w:t>
            </w:r>
          </w:p>
          <w:p>
            <w:pPr>
              <w:autoSpaceDE w:val="0"/>
              <w:spacing w:line="360" w:lineRule="exact"/>
              <w:ind w:left="105" w:leftChars="50" w:right="105" w:rightChars="50"/>
              <w:rPr>
                <w:rFonts w:hint="eastAsia"/>
                <w:color w:val="auto"/>
                <w:highlight w:val="none"/>
              </w:rPr>
            </w:pPr>
            <w:r>
              <w:rPr>
                <w:rFonts w:hint="eastAsia"/>
                <w:color w:val="auto"/>
                <w:highlight w:val="none"/>
              </w:rPr>
              <w:t>（5）投标人的项目负责人资格、在岗情况符合招标文件规定；</w:t>
            </w:r>
          </w:p>
          <w:p>
            <w:pPr>
              <w:autoSpaceDE w:val="0"/>
              <w:spacing w:line="360" w:lineRule="exact"/>
              <w:ind w:left="105" w:leftChars="50" w:right="105" w:rightChars="50"/>
              <w:rPr>
                <w:color w:val="auto"/>
                <w:highlight w:val="none"/>
              </w:rPr>
            </w:pPr>
            <w:r>
              <w:rPr>
                <w:rFonts w:hint="eastAsia"/>
                <w:color w:val="auto"/>
                <w:highlight w:val="none"/>
              </w:rPr>
              <w:t>（6）投标人不存在第二章“投标人须知”第1.4.3项或第1.4.4项规定的任何一种情形。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noWrap w:val="0"/>
            <w:vAlign w:val="center"/>
          </w:tcPr>
          <w:p>
            <w:pPr>
              <w:spacing w:line="340" w:lineRule="exact"/>
              <w:jc w:val="center"/>
              <w:rPr>
                <w:rFonts w:ascii="宋体"/>
                <w:color w:val="auto"/>
                <w:szCs w:val="21"/>
                <w:highlight w:val="none"/>
              </w:rPr>
            </w:pPr>
            <w:r>
              <w:rPr>
                <w:rFonts w:ascii="宋体" w:hAnsi="宋体"/>
                <w:color w:val="auto"/>
                <w:szCs w:val="21"/>
                <w:highlight w:val="none"/>
              </w:rPr>
              <w:t>2.2.1</w:t>
            </w:r>
          </w:p>
        </w:tc>
        <w:tc>
          <w:tcPr>
            <w:tcW w:w="1540" w:type="dxa"/>
            <w:noWrap w:val="0"/>
            <w:vAlign w:val="center"/>
          </w:tcPr>
          <w:p>
            <w:pPr>
              <w:spacing w:line="340" w:lineRule="exact"/>
              <w:jc w:val="center"/>
              <w:rPr>
                <w:rFonts w:ascii="宋体"/>
                <w:color w:val="auto"/>
                <w:szCs w:val="21"/>
                <w:highlight w:val="none"/>
              </w:rPr>
            </w:pPr>
            <w:r>
              <w:rPr>
                <w:rFonts w:hint="eastAsia" w:ascii="宋体" w:hAnsi="宋体"/>
                <w:color w:val="auto"/>
                <w:szCs w:val="21"/>
                <w:highlight w:val="none"/>
              </w:rPr>
              <w:t>分值构成</w:t>
            </w:r>
          </w:p>
          <w:p>
            <w:pPr>
              <w:spacing w:line="340" w:lineRule="exact"/>
              <w:jc w:val="center"/>
              <w:rPr>
                <w:rFonts w:ascii="宋体"/>
                <w:color w:val="auto"/>
                <w:szCs w:val="21"/>
                <w:highlight w:val="none"/>
              </w:rPr>
            </w:pPr>
            <w:r>
              <w:rPr>
                <w:rFonts w:hint="eastAsia" w:ascii="宋体" w:hAnsi="宋体"/>
                <w:color w:val="auto"/>
                <w:szCs w:val="21"/>
                <w:highlight w:val="none"/>
              </w:rPr>
              <w:t>（总分</w:t>
            </w:r>
            <w:r>
              <w:rPr>
                <w:rFonts w:ascii="宋体" w:hAnsi="宋体"/>
                <w:color w:val="auto"/>
                <w:szCs w:val="21"/>
                <w:highlight w:val="none"/>
              </w:rPr>
              <w:t>100</w:t>
            </w:r>
            <w:r>
              <w:rPr>
                <w:rFonts w:hint="eastAsia" w:ascii="宋体" w:hAnsi="宋体"/>
                <w:color w:val="auto"/>
                <w:szCs w:val="21"/>
                <w:highlight w:val="none"/>
              </w:rPr>
              <w:t>分）</w:t>
            </w:r>
          </w:p>
        </w:tc>
        <w:tc>
          <w:tcPr>
            <w:tcW w:w="7294" w:type="dxa"/>
            <w:noWrap w:val="0"/>
            <w:vAlign w:val="center"/>
          </w:tcPr>
          <w:p>
            <w:pPr>
              <w:spacing w:line="340" w:lineRule="exact"/>
              <w:rPr>
                <w:rFonts w:ascii="宋体"/>
                <w:b/>
                <w:color w:val="auto"/>
                <w:szCs w:val="21"/>
                <w:highlight w:val="none"/>
              </w:rPr>
            </w:pPr>
            <w:r>
              <w:rPr>
                <w:rFonts w:hint="eastAsia" w:ascii="宋体" w:hAnsi="宋体"/>
                <w:b/>
                <w:color w:val="auto"/>
                <w:szCs w:val="21"/>
                <w:highlight w:val="none"/>
              </w:rPr>
              <w:t>第一个信封（商务及技术文件）评分分值构成：</w:t>
            </w:r>
          </w:p>
          <w:p>
            <w:pPr>
              <w:spacing w:line="340" w:lineRule="exact"/>
              <w:rPr>
                <w:rFonts w:ascii="宋体"/>
                <w:color w:val="auto"/>
                <w:szCs w:val="21"/>
                <w:highlight w:val="none"/>
              </w:rPr>
            </w:pPr>
            <w:r>
              <w:rPr>
                <w:rFonts w:hint="eastAsia" w:ascii="宋体" w:hAnsi="宋体"/>
                <w:color w:val="auto"/>
                <w:szCs w:val="21"/>
                <w:highlight w:val="none"/>
              </w:rPr>
              <w:t>技术部分：</w:t>
            </w:r>
            <w:r>
              <w:rPr>
                <w:rFonts w:hint="eastAsia" w:ascii="宋体" w:hAnsi="宋体"/>
                <w:color w:val="auto"/>
                <w:szCs w:val="21"/>
                <w:highlight w:val="none"/>
                <w:u w:val="single"/>
              </w:rPr>
              <w:t>4</w:t>
            </w:r>
            <w:r>
              <w:rPr>
                <w:rFonts w:ascii="宋体"/>
                <w:color w:val="auto"/>
                <w:szCs w:val="21"/>
                <w:highlight w:val="none"/>
                <w:u w:val="single"/>
              </w:rPr>
              <w:t>0</w:t>
            </w:r>
            <w:r>
              <w:rPr>
                <w:rFonts w:hint="eastAsia" w:ascii="宋体" w:hAnsi="宋体"/>
                <w:color w:val="auto"/>
                <w:szCs w:val="21"/>
                <w:highlight w:val="none"/>
              </w:rPr>
              <w:t>分</w:t>
            </w:r>
          </w:p>
          <w:p>
            <w:pPr>
              <w:spacing w:line="340" w:lineRule="exact"/>
              <w:rPr>
                <w:rFonts w:hint="eastAsia" w:ascii="宋体" w:hAnsi="宋体"/>
                <w:color w:val="auto"/>
                <w:szCs w:val="21"/>
                <w:highlight w:val="none"/>
              </w:rPr>
            </w:pPr>
            <w:r>
              <w:rPr>
                <w:rFonts w:hint="eastAsia" w:ascii="宋体" w:hAnsi="宋体"/>
                <w:color w:val="auto"/>
                <w:szCs w:val="21"/>
                <w:highlight w:val="none"/>
              </w:rPr>
              <w:t>商务部分：</w:t>
            </w:r>
            <w:r>
              <w:rPr>
                <w:rFonts w:hint="eastAsia" w:ascii="宋体" w:hAnsi="宋体"/>
                <w:color w:val="auto"/>
                <w:szCs w:val="21"/>
                <w:highlight w:val="none"/>
                <w:u w:val="single"/>
              </w:rPr>
              <w:t>4</w:t>
            </w:r>
            <w:r>
              <w:rPr>
                <w:rFonts w:ascii="宋体" w:hAnsi="宋体"/>
                <w:color w:val="auto"/>
                <w:szCs w:val="21"/>
                <w:highlight w:val="none"/>
                <w:u w:val="single"/>
              </w:rPr>
              <w:t>0</w:t>
            </w:r>
            <w:r>
              <w:rPr>
                <w:rFonts w:hint="eastAsia" w:ascii="宋体" w:hAnsi="宋体"/>
                <w:color w:val="auto"/>
                <w:szCs w:val="21"/>
                <w:highlight w:val="none"/>
              </w:rPr>
              <w:t>分</w:t>
            </w:r>
          </w:p>
          <w:p>
            <w:pPr>
              <w:pStyle w:val="2"/>
              <w:rPr>
                <w:color w:val="auto"/>
                <w:highlight w:val="none"/>
              </w:rPr>
            </w:pPr>
            <w:r>
              <w:rPr>
                <w:rFonts w:hint="eastAsia"/>
                <w:color w:val="auto"/>
                <w:highlight w:val="none"/>
              </w:rPr>
              <w:t>履约信誉：</w:t>
            </w:r>
            <w:r>
              <w:rPr>
                <w:rFonts w:hint="eastAsia" w:ascii="宋体" w:hAnsi="宋体"/>
                <w:color w:val="auto"/>
                <w:szCs w:val="21"/>
                <w:highlight w:val="none"/>
                <w:u w:val="single"/>
              </w:rPr>
              <w:t>10</w:t>
            </w:r>
            <w:r>
              <w:rPr>
                <w:rFonts w:hint="eastAsia"/>
                <w:color w:val="auto"/>
                <w:highlight w:val="none"/>
              </w:rPr>
              <w:t>分</w:t>
            </w:r>
          </w:p>
          <w:p>
            <w:pPr>
              <w:spacing w:line="340" w:lineRule="exact"/>
              <w:rPr>
                <w:rFonts w:ascii="宋体"/>
                <w:b/>
                <w:color w:val="auto"/>
                <w:szCs w:val="21"/>
                <w:highlight w:val="none"/>
              </w:rPr>
            </w:pPr>
            <w:r>
              <w:rPr>
                <w:rFonts w:hint="eastAsia" w:ascii="宋体" w:hAnsi="宋体"/>
                <w:b/>
                <w:color w:val="auto"/>
                <w:szCs w:val="21"/>
                <w:highlight w:val="none"/>
              </w:rPr>
              <w:t>第二个信封（报价文件）评分分值构成：</w:t>
            </w:r>
          </w:p>
          <w:p>
            <w:pPr>
              <w:spacing w:line="340" w:lineRule="exact"/>
              <w:rPr>
                <w:rFonts w:ascii="宋体"/>
                <w:color w:val="auto"/>
                <w:szCs w:val="21"/>
                <w:highlight w:val="none"/>
              </w:rPr>
            </w:pPr>
            <w:r>
              <w:rPr>
                <w:rFonts w:hint="eastAsia" w:ascii="宋体" w:hAnsi="宋体"/>
                <w:color w:val="auto"/>
                <w:szCs w:val="21"/>
                <w:highlight w:val="none"/>
              </w:rPr>
              <w:t>评标价</w:t>
            </w:r>
            <w:r>
              <w:rPr>
                <w:rFonts w:ascii="宋体" w:hAnsi="宋体"/>
                <w:color w:val="auto"/>
                <w:szCs w:val="21"/>
                <w:highlight w:val="none"/>
              </w:rPr>
              <w:t xml:space="preserve"> </w:t>
            </w:r>
            <w:r>
              <w:rPr>
                <w:rFonts w:hint="eastAsia" w:ascii="宋体" w:hAnsi="宋体"/>
                <w:color w:val="auto"/>
                <w:szCs w:val="21"/>
                <w:highlight w:val="none"/>
              </w:rPr>
              <w:t>：</w:t>
            </w:r>
            <w:r>
              <w:rPr>
                <w:rFonts w:hint="eastAsia" w:ascii="宋体" w:hAnsi="宋体"/>
                <w:color w:val="auto"/>
                <w:szCs w:val="21"/>
                <w:highlight w:val="none"/>
                <w:u w:val="single"/>
              </w:rPr>
              <w:t>1</w:t>
            </w:r>
            <w:r>
              <w:rPr>
                <w:rFonts w:ascii="宋体" w:hAnsi="宋体"/>
                <w:color w:val="auto"/>
                <w:szCs w:val="21"/>
                <w:highlight w:val="none"/>
                <w:u w:val="single"/>
              </w:rPr>
              <w:t>0</w:t>
            </w:r>
            <w:r>
              <w:rPr>
                <w:rFonts w:hint="eastAsia" w:ascii="宋体" w:hAnsi="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noWrap w:val="0"/>
            <w:vAlign w:val="center"/>
          </w:tcPr>
          <w:p>
            <w:pPr>
              <w:spacing w:line="340" w:lineRule="exact"/>
              <w:jc w:val="center"/>
              <w:rPr>
                <w:rFonts w:ascii="宋体"/>
                <w:color w:val="auto"/>
                <w:szCs w:val="21"/>
                <w:highlight w:val="none"/>
              </w:rPr>
            </w:pPr>
            <w:r>
              <w:rPr>
                <w:rFonts w:ascii="宋体" w:hAnsi="宋体"/>
                <w:color w:val="auto"/>
                <w:szCs w:val="21"/>
                <w:highlight w:val="none"/>
              </w:rPr>
              <w:t>2.2.2</w:t>
            </w:r>
          </w:p>
        </w:tc>
        <w:tc>
          <w:tcPr>
            <w:tcW w:w="1540" w:type="dxa"/>
            <w:noWrap w:val="0"/>
            <w:vAlign w:val="center"/>
          </w:tcPr>
          <w:p>
            <w:pPr>
              <w:spacing w:line="340" w:lineRule="exact"/>
              <w:jc w:val="center"/>
              <w:rPr>
                <w:rFonts w:ascii="宋体"/>
                <w:color w:val="auto"/>
                <w:szCs w:val="21"/>
                <w:highlight w:val="none"/>
              </w:rPr>
            </w:pPr>
            <w:r>
              <w:rPr>
                <w:rFonts w:hint="eastAsia" w:ascii="宋体" w:hAnsi="宋体"/>
                <w:color w:val="auto"/>
                <w:szCs w:val="21"/>
                <w:highlight w:val="none"/>
              </w:rPr>
              <w:t>评标基准价计算方法</w:t>
            </w:r>
          </w:p>
        </w:tc>
        <w:tc>
          <w:tcPr>
            <w:tcW w:w="7294" w:type="dxa"/>
            <w:noWrap w:val="0"/>
            <w:vAlign w:val="center"/>
          </w:tcPr>
          <w:p>
            <w:pPr>
              <w:autoSpaceDE w:val="0"/>
              <w:autoSpaceDN w:val="0"/>
              <w:adjustRightInd w:val="0"/>
              <w:spacing w:line="300" w:lineRule="atLeast"/>
              <w:ind w:right="105" w:rightChars="50"/>
              <w:rPr>
                <w:color w:val="auto"/>
                <w:highlight w:val="none"/>
              </w:rPr>
            </w:pPr>
            <w:r>
              <w:rPr>
                <w:rFonts w:hint="eastAsia"/>
                <w:color w:val="auto"/>
                <w:highlight w:val="none"/>
              </w:rPr>
              <w:t>评标基准价的计算：</w:t>
            </w:r>
          </w:p>
          <w:p>
            <w:pPr>
              <w:autoSpaceDE w:val="0"/>
              <w:autoSpaceDN w:val="0"/>
              <w:adjustRightInd w:val="0"/>
              <w:spacing w:line="300" w:lineRule="atLeast"/>
              <w:ind w:right="105" w:rightChars="50"/>
              <w:rPr>
                <w:color w:val="auto"/>
                <w:highlight w:val="none"/>
              </w:rPr>
            </w:pPr>
            <w:r>
              <w:rPr>
                <w:rFonts w:hint="eastAsia"/>
                <w:color w:val="auto"/>
                <w:highlight w:val="none"/>
              </w:rPr>
              <w:t>（</w:t>
            </w:r>
            <w:r>
              <w:rPr>
                <w:color w:val="auto"/>
                <w:highlight w:val="none"/>
              </w:rPr>
              <w:t>1</w:t>
            </w:r>
            <w:r>
              <w:rPr>
                <w:rFonts w:hint="eastAsia"/>
                <w:color w:val="auto"/>
                <w:highlight w:val="none"/>
              </w:rPr>
              <w:t>）评标价的确定：评标价</w:t>
            </w:r>
            <w:r>
              <w:rPr>
                <w:color w:val="auto"/>
                <w:highlight w:val="none"/>
              </w:rPr>
              <w:t>=</w:t>
            </w:r>
            <w:r>
              <w:rPr>
                <w:rFonts w:hint="eastAsia"/>
                <w:color w:val="auto"/>
                <w:highlight w:val="none"/>
              </w:rPr>
              <w:t>投标报价</w:t>
            </w:r>
          </w:p>
          <w:p>
            <w:pPr>
              <w:autoSpaceDE w:val="0"/>
              <w:autoSpaceDN w:val="0"/>
              <w:adjustRightInd w:val="0"/>
              <w:spacing w:line="300" w:lineRule="atLeast"/>
              <w:ind w:right="105" w:rightChars="50"/>
              <w:rPr>
                <w:color w:val="auto"/>
                <w:highlight w:val="none"/>
              </w:rPr>
            </w:pPr>
            <w:r>
              <w:rPr>
                <w:rFonts w:hint="eastAsia"/>
                <w:color w:val="auto"/>
                <w:highlight w:val="none"/>
              </w:rPr>
              <w:t>（</w:t>
            </w:r>
            <w:r>
              <w:rPr>
                <w:color w:val="auto"/>
                <w:highlight w:val="none"/>
              </w:rPr>
              <w:t>2</w:t>
            </w:r>
            <w:r>
              <w:rPr>
                <w:rFonts w:hint="eastAsia"/>
                <w:color w:val="auto"/>
                <w:highlight w:val="none"/>
              </w:rPr>
              <w:t>）如投标人报价高于最高限价，则视其为报价无效</w:t>
            </w:r>
            <w:r>
              <w:rPr>
                <w:color w:val="auto"/>
                <w:highlight w:val="none"/>
              </w:rPr>
              <w:t>,</w:t>
            </w:r>
            <w:r>
              <w:rPr>
                <w:rFonts w:hint="eastAsia"/>
                <w:color w:val="auto"/>
                <w:highlight w:val="none"/>
              </w:rPr>
              <w:t>不参与后续计算。</w:t>
            </w:r>
          </w:p>
          <w:p>
            <w:pPr>
              <w:autoSpaceDE w:val="0"/>
              <w:autoSpaceDN w:val="0"/>
              <w:adjustRightInd w:val="0"/>
              <w:spacing w:line="300" w:lineRule="atLeast"/>
              <w:ind w:right="105" w:rightChars="50"/>
              <w:rPr>
                <w:color w:val="auto"/>
                <w:highlight w:val="none"/>
              </w:rPr>
            </w:pPr>
            <w:r>
              <w:rPr>
                <w:rFonts w:hint="eastAsia"/>
                <w:color w:val="auto"/>
                <w:highlight w:val="none"/>
              </w:rPr>
              <w:t>（</w:t>
            </w:r>
            <w:r>
              <w:rPr>
                <w:color w:val="auto"/>
                <w:highlight w:val="none"/>
              </w:rPr>
              <w:t>3</w:t>
            </w:r>
            <w:r>
              <w:rPr>
                <w:rFonts w:hint="eastAsia"/>
                <w:color w:val="auto"/>
                <w:highlight w:val="none"/>
              </w:rPr>
              <w:t>）有效报价的算术平均值为评标基准价。如果有效报价人数量≥</w:t>
            </w:r>
            <w:r>
              <w:rPr>
                <w:color w:val="auto"/>
                <w:highlight w:val="none"/>
              </w:rPr>
              <w:t>5</w:t>
            </w:r>
            <w:r>
              <w:rPr>
                <w:rFonts w:hint="eastAsia"/>
                <w:color w:val="auto"/>
                <w:highlight w:val="none"/>
              </w:rPr>
              <w:t>，则去掉最高报价和最低报价后计算算术平均值，如果有效报价人数量＜</w:t>
            </w:r>
            <w:r>
              <w:rPr>
                <w:color w:val="auto"/>
                <w:highlight w:val="none"/>
              </w:rPr>
              <w:t>5</w:t>
            </w:r>
            <w:r>
              <w:rPr>
                <w:rFonts w:hint="eastAsia"/>
                <w:color w:val="auto"/>
                <w:highlight w:val="none"/>
              </w:rPr>
              <w:t>，则所有报价进行计算算数平均值。</w:t>
            </w:r>
          </w:p>
          <w:p>
            <w:pPr>
              <w:autoSpaceDE w:val="0"/>
              <w:autoSpaceDN w:val="0"/>
              <w:adjustRightInd w:val="0"/>
              <w:spacing w:line="300" w:lineRule="atLeast"/>
              <w:ind w:right="105" w:rightChars="50"/>
              <w:rPr>
                <w:color w:val="auto"/>
                <w:highlight w:val="none"/>
              </w:rPr>
            </w:pPr>
            <w:r>
              <w:rPr>
                <w:rFonts w:hint="eastAsia"/>
                <w:color w:val="auto"/>
                <w:highlight w:val="none"/>
              </w:rPr>
              <w:t>（</w:t>
            </w:r>
            <w:r>
              <w:rPr>
                <w:color w:val="auto"/>
                <w:highlight w:val="none"/>
              </w:rPr>
              <w:t>4</w:t>
            </w:r>
            <w:r>
              <w:rPr>
                <w:rFonts w:hint="eastAsia"/>
                <w:color w:val="auto"/>
                <w:highlight w:val="none"/>
              </w:rPr>
              <w:t>）确认后的评标基准价在整个评标期间保持不变。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noWrap w:val="0"/>
            <w:vAlign w:val="center"/>
          </w:tcPr>
          <w:p>
            <w:pPr>
              <w:spacing w:line="340" w:lineRule="exact"/>
              <w:jc w:val="center"/>
              <w:rPr>
                <w:rFonts w:ascii="宋体"/>
                <w:color w:val="auto"/>
                <w:szCs w:val="21"/>
                <w:highlight w:val="none"/>
              </w:rPr>
            </w:pPr>
            <w:r>
              <w:rPr>
                <w:rFonts w:ascii="宋体" w:hAnsi="宋体"/>
                <w:color w:val="auto"/>
                <w:szCs w:val="21"/>
                <w:highlight w:val="none"/>
              </w:rPr>
              <w:t>2.2.3</w:t>
            </w:r>
          </w:p>
        </w:tc>
        <w:tc>
          <w:tcPr>
            <w:tcW w:w="1540" w:type="dxa"/>
            <w:noWrap w:val="0"/>
            <w:vAlign w:val="center"/>
          </w:tcPr>
          <w:p>
            <w:pPr>
              <w:spacing w:line="340" w:lineRule="exact"/>
              <w:jc w:val="center"/>
              <w:rPr>
                <w:rFonts w:ascii="宋体"/>
                <w:color w:val="auto"/>
                <w:szCs w:val="21"/>
                <w:highlight w:val="none"/>
              </w:rPr>
            </w:pPr>
            <w:r>
              <w:rPr>
                <w:rFonts w:hint="eastAsia" w:ascii="宋体" w:hAnsi="宋体" w:cs="宋体"/>
                <w:color w:val="auto"/>
                <w:kern w:val="0"/>
                <w:szCs w:val="21"/>
                <w:highlight w:val="none"/>
              </w:rPr>
              <w:t>评标价的偏差率计算公式</w:t>
            </w:r>
          </w:p>
        </w:tc>
        <w:tc>
          <w:tcPr>
            <w:tcW w:w="7294" w:type="dxa"/>
            <w:noWrap w:val="0"/>
            <w:vAlign w:val="center"/>
          </w:tcPr>
          <w:p>
            <w:pPr>
              <w:spacing w:line="340" w:lineRule="exact"/>
              <w:rPr>
                <w:rFonts w:ascii="宋体"/>
                <w:color w:val="auto"/>
                <w:szCs w:val="21"/>
                <w:highlight w:val="none"/>
              </w:rPr>
            </w:pPr>
            <w:r>
              <w:rPr>
                <w:rFonts w:hint="eastAsia" w:ascii="宋体" w:hAnsi="宋体"/>
                <w:color w:val="auto"/>
                <w:szCs w:val="21"/>
                <w:highlight w:val="none"/>
              </w:rPr>
              <w:t>偏差率</w:t>
            </w:r>
            <w:r>
              <w:rPr>
                <w:rFonts w:ascii="宋体" w:hAnsi="宋体"/>
                <w:color w:val="auto"/>
                <w:szCs w:val="21"/>
                <w:highlight w:val="none"/>
              </w:rPr>
              <w:t xml:space="preserve">=100% </w:t>
            </w:r>
            <w:r>
              <w:rPr>
                <w:rFonts w:hint="eastAsia" w:ascii="宋体" w:hAnsi="宋体"/>
                <w:color w:val="auto"/>
                <w:szCs w:val="21"/>
                <w:highlight w:val="none"/>
              </w:rPr>
              <w:t>×（投标人评标价－评标基准价）</w:t>
            </w:r>
            <w:r>
              <w:rPr>
                <w:rFonts w:ascii="宋体" w:hAnsi="宋体"/>
                <w:color w:val="auto"/>
                <w:szCs w:val="21"/>
                <w:highlight w:val="none"/>
              </w:rPr>
              <w:t>/</w:t>
            </w:r>
            <w:r>
              <w:rPr>
                <w:rFonts w:hint="eastAsia" w:ascii="宋体" w:hAnsi="宋体"/>
                <w:color w:val="auto"/>
                <w:szCs w:val="21"/>
                <w:highlight w:val="none"/>
              </w:rPr>
              <w:t>评标基准价</w:t>
            </w:r>
          </w:p>
          <w:p>
            <w:pPr>
              <w:spacing w:line="340" w:lineRule="exact"/>
              <w:rPr>
                <w:rFonts w:ascii="宋体"/>
                <w:color w:val="auto"/>
                <w:szCs w:val="21"/>
                <w:highlight w:val="none"/>
              </w:rPr>
            </w:pPr>
            <w:r>
              <w:rPr>
                <w:rFonts w:hint="eastAsia" w:ascii="宋体" w:hAnsi="宋体"/>
                <w:color w:val="auto"/>
                <w:szCs w:val="21"/>
                <w:highlight w:val="none"/>
              </w:rPr>
              <w:t>（偏差率保留</w:t>
            </w:r>
            <w:r>
              <w:rPr>
                <w:rFonts w:ascii="宋体" w:hAnsi="宋体"/>
                <w:color w:val="auto"/>
                <w:szCs w:val="21"/>
                <w:highlight w:val="none"/>
              </w:rPr>
              <w:t xml:space="preserve"> 2</w:t>
            </w:r>
            <w:r>
              <w:rPr>
                <w:rFonts w:hint="eastAsia" w:ascii="宋体" w:hAnsi="宋体"/>
                <w:color w:val="auto"/>
                <w:szCs w:val="21"/>
                <w:highlight w:val="none"/>
              </w:rPr>
              <w:t>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noWrap w:val="0"/>
            <w:vAlign w:val="center"/>
          </w:tcPr>
          <w:p>
            <w:pPr>
              <w:spacing w:line="340" w:lineRule="exact"/>
              <w:jc w:val="center"/>
              <w:rPr>
                <w:rFonts w:ascii="宋体"/>
                <w:color w:val="auto"/>
                <w:szCs w:val="21"/>
                <w:highlight w:val="none"/>
              </w:rPr>
            </w:pPr>
            <w:r>
              <w:rPr>
                <w:rFonts w:ascii="宋体" w:hAnsi="宋体"/>
                <w:color w:val="auto"/>
                <w:szCs w:val="21"/>
                <w:highlight w:val="none"/>
              </w:rPr>
              <w:t>2.2.4</w:t>
            </w:r>
          </w:p>
          <w:p>
            <w:pPr>
              <w:spacing w:line="340" w:lineRule="exact"/>
              <w:jc w:val="center"/>
              <w:rPr>
                <w:rFonts w:asci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w:t>
            </w:r>
          </w:p>
        </w:tc>
        <w:tc>
          <w:tcPr>
            <w:tcW w:w="1540" w:type="dxa"/>
            <w:noWrap w:val="0"/>
            <w:vAlign w:val="center"/>
          </w:tcPr>
          <w:p>
            <w:pPr>
              <w:spacing w:line="340" w:lineRule="exact"/>
              <w:jc w:val="center"/>
              <w:rPr>
                <w:rFonts w:ascii="宋体" w:cs="宋体"/>
                <w:color w:val="auto"/>
                <w:kern w:val="0"/>
                <w:szCs w:val="21"/>
                <w:highlight w:val="none"/>
              </w:rPr>
            </w:pPr>
            <w:r>
              <w:rPr>
                <w:rFonts w:hint="eastAsia" w:ascii="宋体" w:hAnsi="宋体"/>
                <w:color w:val="auto"/>
                <w:szCs w:val="21"/>
                <w:highlight w:val="none"/>
              </w:rPr>
              <w:t>评标价</w:t>
            </w:r>
          </w:p>
        </w:tc>
        <w:tc>
          <w:tcPr>
            <w:tcW w:w="7294" w:type="dxa"/>
            <w:noWrap w:val="0"/>
            <w:vAlign w:val="center"/>
          </w:tcPr>
          <w:p>
            <w:pPr>
              <w:widowControl/>
              <w:autoSpaceDE w:val="0"/>
              <w:autoSpaceDN w:val="0"/>
              <w:adjustRightInd w:val="0"/>
              <w:spacing w:line="340" w:lineRule="exact"/>
              <w:rPr>
                <w:rFonts w:ascii="宋体" w:cs="宋体"/>
                <w:color w:val="auto"/>
                <w:kern w:val="0"/>
                <w:szCs w:val="21"/>
                <w:highlight w:val="none"/>
              </w:rPr>
            </w:pPr>
            <w:r>
              <w:rPr>
                <w:rFonts w:hint="eastAsia" w:ascii="宋体" w:hAnsi="宋体" w:cs="宋体"/>
                <w:color w:val="auto"/>
                <w:kern w:val="0"/>
                <w:szCs w:val="21"/>
                <w:highlight w:val="none"/>
              </w:rPr>
              <w:t>1</w:t>
            </w:r>
            <w:r>
              <w:rPr>
                <w:rFonts w:ascii="宋体" w:hAnsi="宋体" w:cs="宋体"/>
                <w:color w:val="auto"/>
                <w:kern w:val="0"/>
                <w:szCs w:val="21"/>
                <w:highlight w:val="none"/>
              </w:rPr>
              <w:t>0</w:t>
            </w:r>
            <w:r>
              <w:rPr>
                <w:rFonts w:hint="eastAsia" w:ascii="宋体" w:hAnsi="宋体" w:cs="宋体"/>
                <w:color w:val="auto"/>
                <w:kern w:val="0"/>
                <w:szCs w:val="21"/>
                <w:highlight w:val="none"/>
              </w:rPr>
              <w:t>分</w:t>
            </w:r>
          </w:p>
          <w:p>
            <w:pPr>
              <w:widowControl/>
              <w:autoSpaceDE w:val="0"/>
              <w:autoSpaceDN w:val="0"/>
              <w:adjustRightInd w:val="0"/>
              <w:spacing w:line="340" w:lineRule="exact"/>
              <w:rPr>
                <w:rFonts w:ascii="宋体" w:cs="宋体"/>
                <w:color w:val="auto"/>
                <w:kern w:val="0"/>
                <w:szCs w:val="21"/>
                <w:highlight w:val="none"/>
              </w:rPr>
            </w:pPr>
            <w:r>
              <w:rPr>
                <w:rFonts w:hint="eastAsia" w:ascii="宋体" w:hAnsi="宋体" w:cs="宋体"/>
                <w:color w:val="auto"/>
                <w:kern w:val="0"/>
                <w:szCs w:val="21"/>
                <w:highlight w:val="none"/>
              </w:rPr>
              <w:t>评标价得分计算公式示例：</w:t>
            </w:r>
          </w:p>
          <w:p>
            <w:pPr>
              <w:widowControl/>
              <w:autoSpaceDE w:val="0"/>
              <w:autoSpaceDN w:val="0"/>
              <w:adjustRightInd w:val="0"/>
              <w:spacing w:line="340" w:lineRule="exact"/>
              <w:rPr>
                <w:rFonts w:asci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1</w:t>
            </w:r>
            <w:r>
              <w:rPr>
                <w:rFonts w:hint="eastAsia" w:ascii="宋体" w:hAnsi="宋体" w:cs="宋体"/>
                <w:color w:val="auto"/>
                <w:kern w:val="0"/>
                <w:szCs w:val="21"/>
                <w:highlight w:val="none"/>
              </w:rPr>
              <w:t>）如果投标人的评标价＞评标基准价，则评标价得分</w:t>
            </w:r>
            <w:r>
              <w:rPr>
                <w:rFonts w:ascii="宋体" w:hAnsi="宋体" w:cs="宋体"/>
                <w:color w:val="auto"/>
                <w:kern w:val="0"/>
                <w:szCs w:val="21"/>
                <w:highlight w:val="none"/>
              </w:rPr>
              <w:t>=</w:t>
            </w:r>
            <w:r>
              <w:rPr>
                <w:rFonts w:hint="eastAsia" w:ascii="宋体" w:hAnsi="宋体" w:cs="宋体"/>
                <w:color w:val="auto"/>
                <w:kern w:val="0"/>
                <w:szCs w:val="21"/>
                <w:highlight w:val="none"/>
              </w:rPr>
              <w:t>1</w:t>
            </w:r>
            <w:r>
              <w:rPr>
                <w:rFonts w:ascii="宋体" w:hAnsi="宋体" w:cs="宋体"/>
                <w:color w:val="auto"/>
                <w:kern w:val="0"/>
                <w:szCs w:val="21"/>
                <w:highlight w:val="none"/>
              </w:rPr>
              <w:t>0-</w:t>
            </w:r>
            <w:r>
              <w:rPr>
                <w:rFonts w:hint="eastAsia" w:ascii="宋体" w:hAnsi="宋体" w:cs="宋体"/>
                <w:color w:val="auto"/>
                <w:kern w:val="0"/>
                <w:szCs w:val="21"/>
                <w:highlight w:val="none"/>
              </w:rPr>
              <w:t>偏差率×</w:t>
            </w:r>
            <w:r>
              <w:rPr>
                <w:rFonts w:ascii="宋体" w:hAnsi="宋体" w:cs="宋体"/>
                <w:color w:val="auto"/>
                <w:kern w:val="0"/>
                <w:szCs w:val="21"/>
                <w:highlight w:val="none"/>
              </w:rPr>
              <w:t>100</w:t>
            </w:r>
            <w:r>
              <w:rPr>
                <w:rFonts w:hint="eastAsia" w:ascii="宋体" w:hAnsi="宋体" w:cs="宋体"/>
                <w:color w:val="auto"/>
                <w:kern w:val="0"/>
                <w:szCs w:val="21"/>
                <w:highlight w:val="none"/>
              </w:rPr>
              <w:t>×</w:t>
            </w:r>
            <w:r>
              <w:rPr>
                <w:rFonts w:ascii="宋体" w:hAnsi="宋体" w:cs="宋体"/>
                <w:color w:val="auto"/>
                <w:kern w:val="0"/>
                <w:szCs w:val="21"/>
                <w:highlight w:val="none"/>
              </w:rPr>
              <w:t>E1</w:t>
            </w:r>
            <w:r>
              <w:rPr>
                <w:rFonts w:hint="eastAsia" w:ascii="宋体" w:hAnsi="宋体" w:cs="宋体"/>
                <w:color w:val="auto"/>
                <w:kern w:val="0"/>
                <w:szCs w:val="21"/>
                <w:highlight w:val="none"/>
              </w:rPr>
              <w:t>；</w:t>
            </w:r>
          </w:p>
          <w:p>
            <w:pPr>
              <w:widowControl/>
              <w:autoSpaceDE w:val="0"/>
              <w:autoSpaceDN w:val="0"/>
              <w:adjustRightInd w:val="0"/>
              <w:spacing w:line="340" w:lineRule="exact"/>
              <w:rPr>
                <w:rFonts w:ascii="宋体" w:cs="宋体"/>
                <w:color w:val="auto"/>
                <w:kern w:val="0"/>
                <w:szCs w:val="21"/>
                <w:highlight w:val="none"/>
              </w:rPr>
            </w:pPr>
            <w:r>
              <w:rPr>
                <w:rFonts w:hint="eastAsia" w:ascii="宋体" w:hAnsi="宋体" w:cs="宋体"/>
                <w:color w:val="auto"/>
                <w:kern w:val="0"/>
                <w:szCs w:val="21"/>
                <w:highlight w:val="none"/>
              </w:rPr>
              <w:t>（</w:t>
            </w:r>
            <w:r>
              <w:rPr>
                <w:rFonts w:ascii="宋体" w:hAnsi="宋体" w:cs="宋体"/>
                <w:color w:val="auto"/>
                <w:kern w:val="0"/>
                <w:szCs w:val="21"/>
                <w:highlight w:val="none"/>
              </w:rPr>
              <w:t>2</w:t>
            </w:r>
            <w:r>
              <w:rPr>
                <w:rFonts w:hint="eastAsia" w:ascii="宋体" w:hAnsi="宋体" w:cs="宋体"/>
                <w:color w:val="auto"/>
                <w:kern w:val="0"/>
                <w:szCs w:val="21"/>
                <w:highlight w:val="none"/>
              </w:rPr>
              <w:t>）如果投标人的评标价≤评标基准价，则评标价得分</w:t>
            </w:r>
            <w:r>
              <w:rPr>
                <w:rFonts w:ascii="宋体" w:hAnsi="宋体" w:cs="宋体"/>
                <w:color w:val="auto"/>
                <w:kern w:val="0"/>
                <w:szCs w:val="21"/>
                <w:highlight w:val="none"/>
              </w:rPr>
              <w:t>=</w:t>
            </w:r>
            <w:r>
              <w:rPr>
                <w:rFonts w:hint="eastAsia" w:ascii="宋体" w:hAnsi="宋体" w:cs="宋体"/>
                <w:color w:val="auto"/>
                <w:kern w:val="0"/>
                <w:szCs w:val="21"/>
                <w:highlight w:val="none"/>
              </w:rPr>
              <w:t>1</w:t>
            </w:r>
            <w:r>
              <w:rPr>
                <w:rFonts w:ascii="宋体" w:hAnsi="宋体" w:cs="宋体"/>
                <w:color w:val="auto"/>
                <w:kern w:val="0"/>
                <w:szCs w:val="21"/>
                <w:highlight w:val="none"/>
              </w:rPr>
              <w:t>0</w:t>
            </w:r>
            <w:r>
              <w:rPr>
                <w:rFonts w:hint="eastAsia" w:ascii="宋体" w:hAnsi="宋体" w:cs="宋体"/>
                <w:color w:val="auto"/>
                <w:kern w:val="0"/>
                <w:szCs w:val="21"/>
                <w:highlight w:val="none"/>
              </w:rPr>
              <w:t>+偏差率×</w:t>
            </w:r>
            <w:r>
              <w:rPr>
                <w:rFonts w:ascii="宋体" w:hAnsi="宋体" w:cs="宋体"/>
                <w:color w:val="auto"/>
                <w:kern w:val="0"/>
                <w:szCs w:val="21"/>
                <w:highlight w:val="none"/>
              </w:rPr>
              <w:t>100</w:t>
            </w:r>
            <w:r>
              <w:rPr>
                <w:rFonts w:hint="eastAsia" w:ascii="宋体" w:hAnsi="宋体" w:cs="宋体"/>
                <w:color w:val="auto"/>
                <w:kern w:val="0"/>
                <w:szCs w:val="21"/>
                <w:highlight w:val="none"/>
              </w:rPr>
              <w:t>×</w:t>
            </w:r>
            <w:r>
              <w:rPr>
                <w:rFonts w:ascii="宋体" w:hAnsi="宋体" w:cs="宋体"/>
                <w:color w:val="auto"/>
                <w:kern w:val="0"/>
                <w:szCs w:val="21"/>
                <w:highlight w:val="none"/>
              </w:rPr>
              <w:t>E2</w:t>
            </w:r>
            <w:r>
              <w:rPr>
                <w:rFonts w:hint="eastAsia" w:ascii="宋体" w:hAnsi="宋体" w:cs="宋体"/>
                <w:color w:val="auto"/>
                <w:kern w:val="0"/>
                <w:szCs w:val="21"/>
                <w:highlight w:val="none"/>
              </w:rPr>
              <w:t>；</w:t>
            </w:r>
          </w:p>
          <w:p>
            <w:pPr>
              <w:widowControl/>
              <w:autoSpaceDE w:val="0"/>
              <w:autoSpaceDN w:val="0"/>
              <w:adjustRightInd w:val="0"/>
              <w:spacing w:line="340" w:lineRule="exact"/>
              <w:ind w:left="14" w:firstLine="315" w:firstLineChars="150"/>
              <w:rPr>
                <w:rFonts w:ascii="宋体" w:cs="宋体"/>
                <w:color w:val="auto"/>
                <w:kern w:val="0"/>
                <w:szCs w:val="21"/>
                <w:highlight w:val="none"/>
              </w:rPr>
            </w:pPr>
            <w:r>
              <w:rPr>
                <w:rFonts w:hint="eastAsia" w:ascii="宋体" w:hAnsi="宋体" w:cs="宋体"/>
                <w:color w:val="auto"/>
                <w:kern w:val="0"/>
                <w:szCs w:val="21"/>
                <w:highlight w:val="none"/>
              </w:rPr>
              <w:t>其中：</w:t>
            </w:r>
            <w:r>
              <w:rPr>
                <w:rFonts w:ascii="宋体" w:hAnsi="宋体" w:cs="宋体"/>
                <w:color w:val="auto"/>
                <w:kern w:val="0"/>
                <w:szCs w:val="21"/>
                <w:highlight w:val="none"/>
              </w:rPr>
              <w:t>E1=0.5</w:t>
            </w:r>
            <w:r>
              <w:rPr>
                <w:rFonts w:hint="eastAsia" w:ascii="宋体" w:hAnsi="宋体" w:cs="宋体"/>
                <w:color w:val="auto"/>
                <w:kern w:val="0"/>
                <w:szCs w:val="21"/>
                <w:highlight w:val="none"/>
              </w:rPr>
              <w:t>；</w:t>
            </w:r>
            <w:r>
              <w:rPr>
                <w:rFonts w:ascii="宋体" w:hAnsi="宋体" w:cs="宋体"/>
                <w:color w:val="auto"/>
                <w:kern w:val="0"/>
                <w:szCs w:val="21"/>
                <w:highlight w:val="none"/>
              </w:rPr>
              <w:t>E2=0.2</w:t>
            </w:r>
          </w:p>
          <w:p>
            <w:pPr>
              <w:widowControl/>
              <w:autoSpaceDE w:val="0"/>
              <w:autoSpaceDN w:val="0"/>
              <w:adjustRightInd w:val="0"/>
              <w:spacing w:line="340" w:lineRule="exact"/>
              <w:ind w:left="14" w:firstLine="315" w:firstLineChars="150"/>
              <w:rPr>
                <w:rFonts w:ascii="宋体" w:cs="宋体"/>
                <w:color w:val="auto"/>
                <w:kern w:val="0"/>
                <w:szCs w:val="21"/>
                <w:highlight w:val="none"/>
              </w:rPr>
            </w:pPr>
            <w:r>
              <w:rPr>
                <w:rFonts w:ascii="宋体" w:hAnsi="宋体" w:cs="宋体"/>
                <w:color w:val="auto"/>
                <w:kern w:val="0"/>
                <w:szCs w:val="21"/>
                <w:highlight w:val="none"/>
              </w:rPr>
              <w:t>E1</w:t>
            </w:r>
            <w:r>
              <w:rPr>
                <w:rFonts w:hint="eastAsia" w:ascii="宋体" w:hAnsi="宋体" w:cs="宋体"/>
                <w:color w:val="auto"/>
                <w:kern w:val="0"/>
                <w:szCs w:val="21"/>
                <w:highlight w:val="none"/>
              </w:rPr>
              <w:t>是评标价每高于评标基准价一个百分点的扣分值；</w:t>
            </w:r>
            <w:r>
              <w:rPr>
                <w:rFonts w:ascii="宋体" w:hAnsi="宋体" w:cs="宋体"/>
                <w:color w:val="auto"/>
                <w:kern w:val="0"/>
                <w:szCs w:val="21"/>
                <w:highlight w:val="none"/>
              </w:rPr>
              <w:t>E2</w:t>
            </w:r>
            <w:r>
              <w:rPr>
                <w:rFonts w:hint="eastAsia" w:ascii="宋体" w:hAnsi="宋体" w:cs="宋体"/>
                <w:color w:val="auto"/>
                <w:kern w:val="0"/>
                <w:szCs w:val="21"/>
                <w:highlight w:val="none"/>
              </w:rPr>
              <w:t>是评标价每低于评标基准价一个百分点的扣分值。</w:t>
            </w:r>
          </w:p>
          <w:p>
            <w:pPr>
              <w:widowControl/>
              <w:autoSpaceDE w:val="0"/>
              <w:autoSpaceDN w:val="0"/>
              <w:adjustRightInd w:val="0"/>
              <w:spacing w:line="340" w:lineRule="exact"/>
              <w:rPr>
                <w:rFonts w:ascii="宋体"/>
                <w:b/>
                <w:color w:val="auto"/>
                <w:szCs w:val="21"/>
                <w:highlight w:val="none"/>
              </w:rPr>
            </w:pPr>
            <w:r>
              <w:rPr>
                <w:rFonts w:hint="eastAsia" w:ascii="宋体" w:hAnsi="宋体" w:cs="宋体"/>
                <w:b/>
                <w:color w:val="auto"/>
                <w:kern w:val="0"/>
                <w:szCs w:val="21"/>
                <w:highlight w:val="none"/>
              </w:rPr>
              <w:t>不足一个百分点按比例内插计算，得分保留三位小数。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noWrap w:val="0"/>
            <w:vAlign w:val="center"/>
          </w:tcPr>
          <w:p>
            <w:pPr>
              <w:spacing w:line="340" w:lineRule="exact"/>
              <w:jc w:val="center"/>
              <w:rPr>
                <w:rFonts w:ascii="宋体"/>
                <w:color w:val="auto"/>
                <w:szCs w:val="21"/>
                <w:highlight w:val="none"/>
              </w:rPr>
            </w:pPr>
            <w:r>
              <w:rPr>
                <w:rFonts w:ascii="宋体" w:hAnsi="宋体" w:cs="宋体"/>
                <w:color w:val="auto"/>
                <w:szCs w:val="21"/>
                <w:highlight w:val="none"/>
              </w:rPr>
              <w:t>3.4.2</w:t>
            </w:r>
          </w:p>
        </w:tc>
        <w:tc>
          <w:tcPr>
            <w:tcW w:w="1540" w:type="dxa"/>
            <w:noWrap w:val="0"/>
            <w:vAlign w:val="center"/>
          </w:tcPr>
          <w:p>
            <w:pPr>
              <w:spacing w:line="340" w:lineRule="exact"/>
              <w:jc w:val="center"/>
              <w:rPr>
                <w:rFonts w:ascii="宋体"/>
                <w:color w:val="auto"/>
                <w:szCs w:val="21"/>
                <w:highlight w:val="none"/>
              </w:rPr>
            </w:pPr>
            <w:r>
              <w:rPr>
                <w:rFonts w:hint="eastAsia" w:ascii="宋体" w:hAnsi="宋体" w:cs="宋体"/>
                <w:color w:val="auto"/>
                <w:szCs w:val="21"/>
                <w:highlight w:val="none"/>
              </w:rPr>
              <w:t>算术性修正</w:t>
            </w:r>
          </w:p>
        </w:tc>
        <w:tc>
          <w:tcPr>
            <w:tcW w:w="7294" w:type="dxa"/>
            <w:noWrap w:val="0"/>
            <w:vAlign w:val="center"/>
          </w:tcPr>
          <w:p>
            <w:pPr>
              <w:pStyle w:val="12"/>
              <w:autoSpaceDE w:val="0"/>
              <w:spacing w:before="0" w:beforeAutospacing="0" w:after="0" w:afterAutospacing="0" w:line="280" w:lineRule="exact"/>
              <w:ind w:left="38" w:right="105" w:rightChars="50" w:firstLine="105" w:firstLineChars="50"/>
              <w:jc w:val="both"/>
              <w:rPr>
                <w:color w:val="auto"/>
                <w:sz w:val="21"/>
                <w:szCs w:val="21"/>
                <w:highlight w:val="none"/>
              </w:rPr>
            </w:pPr>
            <w:r>
              <w:rPr>
                <w:rFonts w:hint="eastAsia"/>
                <w:color w:val="auto"/>
                <w:sz w:val="21"/>
                <w:szCs w:val="21"/>
                <w:highlight w:val="none"/>
              </w:rPr>
              <w:t>（</w:t>
            </w:r>
            <w:r>
              <w:rPr>
                <w:color w:val="auto"/>
                <w:sz w:val="21"/>
                <w:szCs w:val="21"/>
                <w:highlight w:val="none"/>
              </w:rPr>
              <w:t>1</w:t>
            </w:r>
            <w:r>
              <w:rPr>
                <w:rFonts w:hint="eastAsia"/>
                <w:color w:val="auto"/>
                <w:sz w:val="21"/>
                <w:szCs w:val="21"/>
                <w:highlight w:val="none"/>
              </w:rPr>
              <w:t>）投标文件中的大写金额与小写金额不一致的，以大写金额为准；</w:t>
            </w:r>
          </w:p>
          <w:p>
            <w:pPr>
              <w:pStyle w:val="12"/>
              <w:autoSpaceDE w:val="0"/>
              <w:spacing w:before="0" w:beforeAutospacing="0" w:after="0" w:afterAutospacing="0" w:line="280" w:lineRule="exact"/>
              <w:ind w:right="105" w:rightChars="50" w:firstLine="105" w:firstLineChars="50"/>
              <w:jc w:val="both"/>
              <w:rPr>
                <w:color w:val="auto"/>
                <w:sz w:val="21"/>
                <w:szCs w:val="21"/>
                <w:highlight w:val="none"/>
              </w:rPr>
            </w:pPr>
            <w:r>
              <w:rPr>
                <w:rFonts w:hint="eastAsia"/>
                <w:color w:val="auto"/>
                <w:sz w:val="21"/>
                <w:szCs w:val="21"/>
                <w:highlight w:val="none"/>
              </w:rPr>
              <w:t>（</w:t>
            </w:r>
            <w:r>
              <w:rPr>
                <w:color w:val="auto"/>
                <w:sz w:val="21"/>
                <w:szCs w:val="21"/>
                <w:highlight w:val="none"/>
              </w:rPr>
              <w:t>2</w:t>
            </w:r>
            <w:r>
              <w:rPr>
                <w:rFonts w:hint="eastAsia"/>
                <w:color w:val="auto"/>
                <w:sz w:val="21"/>
                <w:szCs w:val="21"/>
                <w:highlight w:val="none"/>
              </w:rPr>
              <w:t>）合价金额累计与总价金额不一致的，以总价金额为准，修正合价金额；</w:t>
            </w:r>
          </w:p>
          <w:p>
            <w:pPr>
              <w:widowControl/>
              <w:autoSpaceDE w:val="0"/>
              <w:autoSpaceDN w:val="0"/>
              <w:adjustRightInd w:val="0"/>
              <w:spacing w:line="340" w:lineRule="exact"/>
              <w:ind w:firstLine="105" w:firstLineChars="50"/>
              <w:rPr>
                <w:rFonts w:ascii="宋体" w:cs="宋体"/>
                <w:color w:val="auto"/>
                <w:kern w:val="0"/>
                <w:szCs w:val="21"/>
                <w:highlight w:val="none"/>
              </w:rPr>
            </w:pPr>
            <w:r>
              <w:rPr>
                <w:rFonts w:hint="eastAsia" w:cs="宋体"/>
                <w:color w:val="auto"/>
                <w:kern w:val="0"/>
                <w:szCs w:val="21"/>
                <w:highlight w:val="none"/>
              </w:rPr>
              <w:t>（</w:t>
            </w:r>
            <w:r>
              <w:rPr>
                <w:rFonts w:cs="宋体"/>
                <w:color w:val="auto"/>
                <w:kern w:val="0"/>
                <w:szCs w:val="21"/>
                <w:highlight w:val="none"/>
              </w:rPr>
              <w:t>3</w:t>
            </w:r>
            <w:r>
              <w:rPr>
                <w:rFonts w:hint="eastAsia" w:cs="宋体"/>
                <w:color w:val="auto"/>
                <w:kern w:val="0"/>
                <w:szCs w:val="21"/>
                <w:highlight w:val="none"/>
              </w:rPr>
              <w:t>）总价金额与依据单价计算出的结果不一致的，以总价金额为准修正单价。</w:t>
            </w:r>
          </w:p>
        </w:tc>
      </w:tr>
    </w:tbl>
    <w:p>
      <w:pPr>
        <w:spacing w:line="420" w:lineRule="exact"/>
        <w:jc w:val="center"/>
        <w:rPr>
          <w:rFonts w:ascii="宋体"/>
          <w:b/>
          <w:color w:val="auto"/>
          <w:sz w:val="24"/>
          <w:highlight w:val="none"/>
        </w:rPr>
      </w:pPr>
      <w:r>
        <w:rPr>
          <w:rFonts w:hint="eastAsia" w:ascii="宋体" w:hAnsi="宋体"/>
          <w:b/>
          <w:color w:val="auto"/>
          <w:sz w:val="24"/>
          <w:highlight w:val="none"/>
        </w:rPr>
        <w:br w:type="page"/>
      </w:r>
      <w:r>
        <w:rPr>
          <w:rFonts w:hint="eastAsia" w:ascii="宋体" w:hAnsi="宋体"/>
          <w:b/>
          <w:color w:val="auto"/>
          <w:sz w:val="24"/>
          <w:highlight w:val="none"/>
        </w:rPr>
        <w:t>评分因素与权重分值</w:t>
      </w:r>
    </w:p>
    <w:tbl>
      <w:tblPr>
        <w:tblStyle w:val="13"/>
        <w:tblW w:w="10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683"/>
        <w:gridCol w:w="1200"/>
        <w:gridCol w:w="1318"/>
        <w:gridCol w:w="690"/>
        <w:gridCol w:w="5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46" w:type="dxa"/>
            <w:vMerge w:val="restart"/>
            <w:noWrap w:val="0"/>
            <w:vAlign w:val="center"/>
          </w:tcPr>
          <w:p>
            <w:pPr>
              <w:spacing w:line="420" w:lineRule="exact"/>
              <w:jc w:val="center"/>
              <w:rPr>
                <w:rFonts w:ascii="宋体"/>
                <w:color w:val="auto"/>
                <w:szCs w:val="21"/>
                <w:highlight w:val="none"/>
              </w:rPr>
            </w:pPr>
            <w:r>
              <w:rPr>
                <w:rFonts w:hint="eastAsia" w:ascii="宋体" w:hAnsi="宋体"/>
                <w:color w:val="auto"/>
                <w:szCs w:val="21"/>
                <w:highlight w:val="none"/>
              </w:rPr>
              <w:t>条款号</w:t>
            </w:r>
          </w:p>
        </w:tc>
        <w:tc>
          <w:tcPr>
            <w:tcW w:w="3201" w:type="dxa"/>
            <w:gridSpan w:val="3"/>
            <w:noWrap w:val="0"/>
            <w:vAlign w:val="center"/>
          </w:tcPr>
          <w:p>
            <w:pPr>
              <w:spacing w:line="420" w:lineRule="exact"/>
              <w:jc w:val="center"/>
              <w:rPr>
                <w:rFonts w:ascii="宋体"/>
                <w:color w:val="auto"/>
                <w:szCs w:val="21"/>
                <w:highlight w:val="none"/>
              </w:rPr>
            </w:pPr>
            <w:r>
              <w:rPr>
                <w:rFonts w:hint="eastAsia" w:ascii="宋体" w:hAnsi="宋体"/>
                <w:color w:val="auto"/>
                <w:szCs w:val="21"/>
                <w:highlight w:val="none"/>
              </w:rPr>
              <w:t>评分因素与权重分值</w:t>
            </w:r>
          </w:p>
        </w:tc>
        <w:tc>
          <w:tcPr>
            <w:tcW w:w="6222" w:type="dxa"/>
            <w:gridSpan w:val="2"/>
            <w:noWrap w:val="0"/>
            <w:vAlign w:val="center"/>
          </w:tcPr>
          <w:p>
            <w:pPr>
              <w:spacing w:line="420" w:lineRule="exact"/>
              <w:jc w:val="center"/>
              <w:rPr>
                <w:rFonts w:ascii="宋体"/>
                <w:color w:val="auto"/>
                <w:szCs w:val="21"/>
                <w:highlight w:val="none"/>
              </w:rPr>
            </w:pPr>
            <w:r>
              <w:rPr>
                <w:rFonts w:hint="eastAsia" w:ascii="宋体" w:hAnsi="宋体"/>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46" w:type="dxa"/>
            <w:vMerge w:val="continue"/>
            <w:noWrap w:val="0"/>
            <w:vAlign w:val="center"/>
          </w:tcPr>
          <w:p>
            <w:pPr>
              <w:spacing w:line="420" w:lineRule="exact"/>
              <w:jc w:val="center"/>
              <w:rPr>
                <w:rFonts w:ascii="宋体"/>
                <w:color w:val="auto"/>
                <w:szCs w:val="21"/>
                <w:highlight w:val="none"/>
              </w:rPr>
            </w:pPr>
          </w:p>
        </w:tc>
        <w:tc>
          <w:tcPr>
            <w:tcW w:w="683" w:type="dxa"/>
            <w:noWrap w:val="0"/>
            <w:vAlign w:val="center"/>
          </w:tcPr>
          <w:p>
            <w:pPr>
              <w:spacing w:line="420" w:lineRule="exact"/>
              <w:jc w:val="center"/>
              <w:rPr>
                <w:rFonts w:ascii="宋体"/>
                <w:color w:val="auto"/>
                <w:szCs w:val="21"/>
                <w:highlight w:val="none"/>
              </w:rPr>
            </w:pPr>
            <w:r>
              <w:rPr>
                <w:rFonts w:hint="eastAsia" w:ascii="宋体" w:hAnsi="宋体"/>
                <w:color w:val="auto"/>
                <w:szCs w:val="21"/>
                <w:highlight w:val="none"/>
              </w:rPr>
              <w:t>评分因素</w:t>
            </w:r>
          </w:p>
        </w:tc>
        <w:tc>
          <w:tcPr>
            <w:tcW w:w="1200" w:type="dxa"/>
            <w:noWrap w:val="0"/>
            <w:vAlign w:val="center"/>
          </w:tcPr>
          <w:p>
            <w:pPr>
              <w:spacing w:line="420" w:lineRule="exact"/>
              <w:jc w:val="center"/>
              <w:rPr>
                <w:rFonts w:ascii="宋体"/>
                <w:color w:val="auto"/>
                <w:szCs w:val="21"/>
                <w:highlight w:val="none"/>
              </w:rPr>
            </w:pPr>
            <w:r>
              <w:rPr>
                <w:rFonts w:hint="eastAsia" w:ascii="宋体" w:hAnsi="宋体"/>
                <w:color w:val="auto"/>
                <w:szCs w:val="21"/>
                <w:highlight w:val="none"/>
              </w:rPr>
              <w:t>评审因素权重分值</w:t>
            </w:r>
          </w:p>
        </w:tc>
        <w:tc>
          <w:tcPr>
            <w:tcW w:w="1318" w:type="dxa"/>
            <w:noWrap w:val="0"/>
            <w:vAlign w:val="center"/>
          </w:tcPr>
          <w:p>
            <w:pPr>
              <w:spacing w:line="420" w:lineRule="exact"/>
              <w:jc w:val="center"/>
              <w:rPr>
                <w:rFonts w:ascii="宋体"/>
                <w:color w:val="auto"/>
                <w:szCs w:val="21"/>
                <w:highlight w:val="none"/>
              </w:rPr>
            </w:pPr>
            <w:r>
              <w:rPr>
                <w:rFonts w:hint="eastAsia" w:ascii="宋体" w:hAnsi="宋体"/>
                <w:color w:val="auto"/>
                <w:szCs w:val="21"/>
                <w:highlight w:val="none"/>
              </w:rPr>
              <w:t>各评分因素细化项</w:t>
            </w:r>
          </w:p>
        </w:tc>
        <w:tc>
          <w:tcPr>
            <w:tcW w:w="690" w:type="dxa"/>
            <w:noWrap w:val="0"/>
            <w:vAlign w:val="center"/>
          </w:tcPr>
          <w:p>
            <w:pPr>
              <w:spacing w:line="420" w:lineRule="exact"/>
              <w:jc w:val="center"/>
              <w:rPr>
                <w:rFonts w:ascii="宋体"/>
                <w:color w:val="auto"/>
                <w:szCs w:val="21"/>
                <w:highlight w:val="none"/>
              </w:rPr>
            </w:pPr>
            <w:r>
              <w:rPr>
                <w:rFonts w:hint="eastAsia" w:ascii="宋体" w:hAnsi="宋体"/>
                <w:color w:val="auto"/>
                <w:szCs w:val="21"/>
                <w:highlight w:val="none"/>
              </w:rPr>
              <w:t>分值</w:t>
            </w:r>
          </w:p>
        </w:tc>
        <w:tc>
          <w:tcPr>
            <w:tcW w:w="5532" w:type="dxa"/>
            <w:noWrap w:val="0"/>
            <w:vAlign w:val="center"/>
          </w:tcPr>
          <w:p>
            <w:pPr>
              <w:spacing w:line="420" w:lineRule="exact"/>
              <w:jc w:val="center"/>
              <w:rPr>
                <w:rFonts w:ascii="宋体"/>
                <w:color w:val="auto"/>
                <w:szCs w:val="21"/>
                <w:highlight w:val="none"/>
              </w:rPr>
            </w:pPr>
            <w:r>
              <w:rPr>
                <w:rFonts w:hint="eastAsia" w:ascii="宋体" w:hAnsi="宋体"/>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746" w:type="dxa"/>
            <w:vMerge w:val="restart"/>
            <w:noWrap w:val="0"/>
            <w:vAlign w:val="center"/>
          </w:tcPr>
          <w:p>
            <w:pPr>
              <w:spacing w:line="420" w:lineRule="exact"/>
              <w:jc w:val="center"/>
              <w:rPr>
                <w:rFonts w:ascii="宋体"/>
                <w:color w:val="auto"/>
                <w:szCs w:val="21"/>
                <w:highlight w:val="none"/>
              </w:rPr>
            </w:pPr>
            <w:r>
              <w:rPr>
                <w:rFonts w:ascii="宋体" w:hAnsi="宋体"/>
                <w:color w:val="auto"/>
                <w:szCs w:val="21"/>
                <w:highlight w:val="none"/>
              </w:rPr>
              <w:t>2.2.4(1)</w:t>
            </w:r>
          </w:p>
        </w:tc>
        <w:tc>
          <w:tcPr>
            <w:tcW w:w="683" w:type="dxa"/>
            <w:vMerge w:val="restart"/>
            <w:noWrap w:val="0"/>
            <w:vAlign w:val="center"/>
          </w:tcPr>
          <w:p>
            <w:pPr>
              <w:spacing w:line="420" w:lineRule="exact"/>
              <w:jc w:val="center"/>
              <w:rPr>
                <w:rFonts w:hint="eastAsia" w:ascii="宋体"/>
                <w:color w:val="auto"/>
                <w:szCs w:val="21"/>
                <w:highlight w:val="none"/>
              </w:rPr>
            </w:pPr>
            <w:r>
              <w:rPr>
                <w:rFonts w:hint="eastAsia" w:ascii="宋体" w:hAnsi="宋体"/>
                <w:color w:val="auto"/>
                <w:szCs w:val="21"/>
                <w:highlight w:val="none"/>
              </w:rPr>
              <w:t>技术部分</w:t>
            </w:r>
          </w:p>
        </w:tc>
        <w:tc>
          <w:tcPr>
            <w:tcW w:w="1200" w:type="dxa"/>
            <w:vMerge w:val="restart"/>
            <w:noWrap w:val="0"/>
            <w:vAlign w:val="center"/>
          </w:tcPr>
          <w:p>
            <w:pPr>
              <w:spacing w:line="420" w:lineRule="exact"/>
              <w:jc w:val="center"/>
              <w:rPr>
                <w:rFonts w:ascii="宋体"/>
                <w:color w:val="auto"/>
                <w:szCs w:val="21"/>
                <w:highlight w:val="none"/>
              </w:rPr>
            </w:pPr>
            <w:r>
              <w:rPr>
                <w:rFonts w:hint="eastAsia" w:ascii="宋体" w:hAnsi="宋体"/>
                <w:color w:val="auto"/>
                <w:szCs w:val="21"/>
                <w:highlight w:val="none"/>
              </w:rPr>
              <w:t>40分</w:t>
            </w:r>
          </w:p>
        </w:tc>
        <w:tc>
          <w:tcPr>
            <w:tcW w:w="1318" w:type="dxa"/>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总体实施方案</w:t>
            </w:r>
          </w:p>
        </w:tc>
        <w:tc>
          <w:tcPr>
            <w:tcW w:w="690" w:type="dxa"/>
            <w:noWrap w:val="0"/>
            <w:vAlign w:val="center"/>
          </w:tcPr>
          <w:p>
            <w:pPr>
              <w:jc w:val="center"/>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15</w:t>
            </w:r>
            <w:r>
              <w:rPr>
                <w:rFonts w:hint="eastAsia" w:ascii="宋体" w:hAnsi="宋体" w:cs="宋体"/>
                <w:color w:val="auto"/>
                <w:kern w:val="0"/>
                <w:szCs w:val="21"/>
                <w:highlight w:val="none"/>
              </w:rPr>
              <w:t>分</w:t>
            </w:r>
          </w:p>
        </w:tc>
        <w:tc>
          <w:tcPr>
            <w:tcW w:w="5532" w:type="dxa"/>
            <w:noWrap w:val="0"/>
            <w:vAlign w:val="center"/>
          </w:tcPr>
          <w:p>
            <w:pPr>
              <w:widowControl/>
              <w:spacing w:line="240" w:lineRule="auto"/>
              <w:jc w:val="left"/>
              <w:rPr>
                <w:rFonts w:hint="eastAsia" w:ascii="宋体" w:hAnsi="宋体" w:cs="宋体"/>
                <w:color w:val="auto"/>
                <w:szCs w:val="21"/>
                <w:highlight w:val="none"/>
              </w:rPr>
            </w:pPr>
            <w:r>
              <w:rPr>
                <w:rFonts w:hint="eastAsia" w:ascii="宋体" w:hAnsi="宋体" w:cs="宋体"/>
                <w:color w:val="auto"/>
                <w:szCs w:val="21"/>
                <w:highlight w:val="none"/>
              </w:rPr>
              <w:t>根据投标人</w:t>
            </w:r>
            <w:r>
              <w:rPr>
                <w:rFonts w:hint="eastAsia" w:ascii="宋体" w:hAnsi="宋体" w:cs="宋体"/>
                <w:color w:val="auto"/>
                <w:szCs w:val="21"/>
                <w:highlight w:val="none"/>
                <w:lang w:val="en-US" w:eastAsia="zh-CN"/>
              </w:rPr>
              <w:t>对本项目</w:t>
            </w:r>
            <w:r>
              <w:rPr>
                <w:rFonts w:hint="eastAsia" w:ascii="宋体" w:hAnsi="宋体" w:eastAsia="宋体" w:cs="宋体"/>
                <w:color w:val="auto"/>
                <w:kern w:val="0"/>
                <w:sz w:val="22"/>
                <w:szCs w:val="22"/>
                <w:highlight w:val="none"/>
                <w:lang w:val="en-US" w:eastAsia="zh-CN" w:bidi="ar"/>
              </w:rPr>
              <w:t>的理解提出对</w:t>
            </w:r>
            <w:r>
              <w:rPr>
                <w:rFonts w:hint="eastAsia" w:ascii="宋体" w:hAnsi="宋体" w:cs="宋体"/>
                <w:color w:val="auto"/>
                <w:szCs w:val="21"/>
                <w:highlight w:val="none"/>
              </w:rPr>
              <w:t>桥梁监测系统建设项目的内容、系统</w:t>
            </w:r>
            <w:r>
              <w:rPr>
                <w:rFonts w:hint="eastAsia" w:ascii="宋体" w:hAnsi="宋体" w:cs="宋体"/>
                <w:color w:val="auto"/>
                <w:szCs w:val="21"/>
                <w:highlight w:val="none"/>
                <w:lang w:val="en-US" w:eastAsia="zh-CN"/>
              </w:rPr>
              <w:t>构成</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硬件与软件系统</w:t>
            </w:r>
            <w:r>
              <w:rPr>
                <w:rFonts w:hint="eastAsia" w:ascii="宋体" w:hAnsi="宋体" w:cs="宋体"/>
                <w:color w:val="auto"/>
                <w:szCs w:val="21"/>
                <w:highlight w:val="none"/>
              </w:rPr>
              <w:t>、测点布设等方面的全面性、合理性、针对性各投标文件横向对比后酌情打分，得</w:t>
            </w:r>
            <w:r>
              <w:rPr>
                <w:rFonts w:hint="eastAsia" w:ascii="宋体" w:hAnsi="宋体" w:cs="宋体"/>
                <w:color w:val="auto"/>
                <w:szCs w:val="21"/>
                <w:highlight w:val="none"/>
                <w:lang w:eastAsia="zh-CN"/>
              </w:rPr>
              <w:t>9</w:t>
            </w:r>
            <w:r>
              <w:rPr>
                <w:rFonts w:hint="eastAsia" w:ascii="宋体" w:hAnsi="宋体" w:cs="宋体"/>
                <w:color w:val="auto"/>
                <w:szCs w:val="21"/>
                <w:highlight w:val="none"/>
              </w:rPr>
              <w:t>-</w:t>
            </w:r>
            <w:r>
              <w:rPr>
                <w:rFonts w:hint="eastAsia" w:ascii="宋体" w:hAnsi="宋体" w:cs="宋体"/>
                <w:color w:val="auto"/>
                <w:szCs w:val="21"/>
                <w:highlight w:val="none"/>
                <w:lang w:eastAsia="zh-CN"/>
              </w:rPr>
              <w:t>1</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jc w:val="center"/>
        </w:trPr>
        <w:tc>
          <w:tcPr>
            <w:tcW w:w="746" w:type="dxa"/>
            <w:vMerge w:val="continue"/>
            <w:noWrap w:val="0"/>
            <w:vAlign w:val="center"/>
          </w:tcPr>
          <w:p>
            <w:pPr>
              <w:spacing w:line="420" w:lineRule="exact"/>
              <w:jc w:val="center"/>
              <w:rPr>
                <w:rFonts w:ascii="宋体"/>
                <w:color w:val="auto"/>
                <w:szCs w:val="21"/>
                <w:highlight w:val="none"/>
              </w:rPr>
            </w:pPr>
          </w:p>
        </w:tc>
        <w:tc>
          <w:tcPr>
            <w:tcW w:w="683" w:type="dxa"/>
            <w:vMerge w:val="continue"/>
            <w:noWrap w:val="0"/>
            <w:vAlign w:val="center"/>
          </w:tcPr>
          <w:p>
            <w:pPr>
              <w:spacing w:line="420" w:lineRule="exact"/>
              <w:jc w:val="center"/>
              <w:rPr>
                <w:rFonts w:ascii="宋体"/>
                <w:color w:val="auto"/>
                <w:szCs w:val="21"/>
                <w:highlight w:val="none"/>
              </w:rPr>
            </w:pPr>
          </w:p>
        </w:tc>
        <w:tc>
          <w:tcPr>
            <w:tcW w:w="1200" w:type="dxa"/>
            <w:vMerge w:val="continue"/>
            <w:noWrap w:val="0"/>
            <w:vAlign w:val="center"/>
          </w:tcPr>
          <w:p>
            <w:pPr>
              <w:spacing w:line="420" w:lineRule="exact"/>
              <w:jc w:val="center"/>
              <w:rPr>
                <w:rFonts w:ascii="宋体"/>
                <w:color w:val="auto"/>
                <w:szCs w:val="21"/>
                <w:highlight w:val="none"/>
              </w:rPr>
            </w:pPr>
          </w:p>
        </w:tc>
        <w:tc>
          <w:tcPr>
            <w:tcW w:w="1318" w:type="dxa"/>
            <w:noWrap w:val="0"/>
            <w:vAlign w:val="center"/>
          </w:tcPr>
          <w:p>
            <w:pPr>
              <w:keepNext w:val="0"/>
              <w:keepLines w:val="0"/>
              <w:widowControl/>
              <w:suppressLineNumbers w:val="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21"/>
                <w:szCs w:val="21"/>
                <w:highlight w:val="none"/>
                <w:lang w:val="en-US" w:eastAsia="zh-CN" w:bidi="ar"/>
              </w:rPr>
              <w:t xml:space="preserve">对招标项目的难点、关 </w:t>
            </w:r>
          </w:p>
          <w:p>
            <w:pPr>
              <w:widowControl/>
              <w:jc w:val="center"/>
              <w:rPr>
                <w:rFonts w:hint="eastAsia" w:ascii="宋体" w:hAnsi="宋体" w:cs="宋体"/>
                <w:color w:val="auto"/>
                <w:kern w:val="0"/>
                <w:szCs w:val="21"/>
                <w:highlight w:val="none"/>
              </w:rPr>
            </w:pPr>
            <w:r>
              <w:rPr>
                <w:rFonts w:hint="eastAsia" w:ascii="宋体" w:hAnsi="宋体" w:eastAsia="宋体" w:cs="宋体"/>
                <w:color w:val="auto"/>
                <w:kern w:val="0"/>
                <w:sz w:val="21"/>
                <w:szCs w:val="21"/>
                <w:highlight w:val="none"/>
                <w:lang w:val="en-US" w:eastAsia="zh-CN" w:bidi="ar"/>
              </w:rPr>
              <w:t>键技术问题的认识及其对策措施</w:t>
            </w:r>
          </w:p>
        </w:tc>
        <w:tc>
          <w:tcPr>
            <w:tcW w:w="690" w:type="dxa"/>
            <w:noWrap w:val="0"/>
            <w:vAlign w:val="center"/>
          </w:tcPr>
          <w:p>
            <w:pPr>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10分</w:t>
            </w:r>
          </w:p>
        </w:tc>
        <w:tc>
          <w:tcPr>
            <w:tcW w:w="5532" w:type="dxa"/>
            <w:noWrap w:val="0"/>
            <w:vAlign w:val="center"/>
          </w:tcPr>
          <w:p>
            <w:pPr>
              <w:widowControl/>
              <w:spacing w:line="240" w:lineRule="auto"/>
              <w:jc w:val="both"/>
              <w:rPr>
                <w:rFonts w:hint="eastAsia" w:ascii="宋体" w:hAnsi="宋体" w:cs="宋体"/>
                <w:color w:val="auto"/>
                <w:szCs w:val="21"/>
                <w:highlight w:val="none"/>
              </w:rPr>
            </w:pPr>
            <w:r>
              <w:rPr>
                <w:rFonts w:hint="eastAsia" w:ascii="宋体" w:hAnsi="宋体" w:eastAsia="宋体" w:cs="宋体"/>
                <w:color w:val="auto"/>
                <w:kern w:val="0"/>
                <w:sz w:val="21"/>
                <w:szCs w:val="21"/>
                <w:highlight w:val="none"/>
                <w:lang w:val="en-US" w:eastAsia="zh-CN" w:bidi="ar"/>
              </w:rPr>
              <w:t>对招标项目的难点、关键技术问题提出认识及其对策措施，对合</w:t>
            </w:r>
            <w:r>
              <w:rPr>
                <w:rFonts w:hint="eastAsia" w:ascii="宋体" w:hAnsi="宋体" w:cs="宋体"/>
                <w:color w:val="auto"/>
                <w:szCs w:val="21"/>
                <w:highlight w:val="none"/>
              </w:rPr>
              <w:t>理性、针对性各投标文件横向对比后酌情打分，得</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746" w:type="dxa"/>
            <w:vMerge w:val="continue"/>
            <w:noWrap w:val="0"/>
            <w:vAlign w:val="center"/>
          </w:tcPr>
          <w:p>
            <w:pPr>
              <w:spacing w:line="420" w:lineRule="exact"/>
              <w:jc w:val="center"/>
              <w:rPr>
                <w:rFonts w:ascii="宋体"/>
                <w:color w:val="auto"/>
                <w:szCs w:val="21"/>
                <w:highlight w:val="none"/>
              </w:rPr>
            </w:pPr>
          </w:p>
        </w:tc>
        <w:tc>
          <w:tcPr>
            <w:tcW w:w="683" w:type="dxa"/>
            <w:vMerge w:val="continue"/>
            <w:noWrap w:val="0"/>
            <w:vAlign w:val="center"/>
          </w:tcPr>
          <w:p>
            <w:pPr>
              <w:spacing w:line="420" w:lineRule="exact"/>
              <w:jc w:val="center"/>
              <w:rPr>
                <w:rFonts w:ascii="宋体"/>
                <w:color w:val="auto"/>
                <w:szCs w:val="21"/>
                <w:highlight w:val="none"/>
              </w:rPr>
            </w:pPr>
          </w:p>
        </w:tc>
        <w:tc>
          <w:tcPr>
            <w:tcW w:w="1200" w:type="dxa"/>
            <w:vMerge w:val="continue"/>
            <w:noWrap w:val="0"/>
            <w:vAlign w:val="center"/>
          </w:tcPr>
          <w:p>
            <w:pPr>
              <w:spacing w:line="420" w:lineRule="exact"/>
              <w:jc w:val="center"/>
              <w:rPr>
                <w:rFonts w:ascii="宋体"/>
                <w:color w:val="auto"/>
                <w:szCs w:val="21"/>
                <w:highlight w:val="none"/>
              </w:rPr>
            </w:pPr>
          </w:p>
        </w:tc>
        <w:tc>
          <w:tcPr>
            <w:tcW w:w="1318" w:type="dxa"/>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项目组织机构及主要人员安排</w:t>
            </w:r>
          </w:p>
        </w:tc>
        <w:tc>
          <w:tcPr>
            <w:tcW w:w="690" w:type="dxa"/>
            <w:noWrap w:val="0"/>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10分</w:t>
            </w:r>
          </w:p>
        </w:tc>
        <w:tc>
          <w:tcPr>
            <w:tcW w:w="5532" w:type="dxa"/>
            <w:noWrap w:val="0"/>
            <w:vAlign w:val="center"/>
          </w:tcPr>
          <w:p>
            <w:pPr>
              <w:spacing w:line="420" w:lineRule="exact"/>
              <w:jc w:val="left"/>
              <w:rPr>
                <w:rFonts w:hint="eastAsia" w:ascii="宋体" w:hAnsi="宋体" w:cs="宋体"/>
                <w:color w:val="auto"/>
                <w:szCs w:val="21"/>
                <w:highlight w:val="none"/>
              </w:rPr>
            </w:pPr>
            <w:r>
              <w:rPr>
                <w:rFonts w:hint="eastAsia" w:ascii="宋体" w:hAnsi="宋体" w:cs="宋体"/>
                <w:color w:val="auto"/>
                <w:szCs w:val="21"/>
                <w:highlight w:val="none"/>
              </w:rPr>
              <w:t>根据投标人针对本项目拟定的组织机构及主要人员安排的合理性各投标文件横向对比后酌情打分，得6-10分。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746" w:type="dxa"/>
            <w:vMerge w:val="continue"/>
            <w:noWrap w:val="0"/>
            <w:vAlign w:val="center"/>
          </w:tcPr>
          <w:p>
            <w:pPr>
              <w:spacing w:line="420" w:lineRule="exact"/>
              <w:jc w:val="center"/>
              <w:rPr>
                <w:rFonts w:ascii="宋体"/>
                <w:color w:val="auto"/>
                <w:szCs w:val="21"/>
                <w:highlight w:val="none"/>
              </w:rPr>
            </w:pPr>
          </w:p>
        </w:tc>
        <w:tc>
          <w:tcPr>
            <w:tcW w:w="683" w:type="dxa"/>
            <w:vMerge w:val="continue"/>
            <w:noWrap w:val="0"/>
            <w:vAlign w:val="center"/>
          </w:tcPr>
          <w:p>
            <w:pPr>
              <w:spacing w:line="420" w:lineRule="exact"/>
              <w:jc w:val="center"/>
              <w:rPr>
                <w:rFonts w:ascii="宋体"/>
                <w:color w:val="auto"/>
                <w:szCs w:val="21"/>
                <w:highlight w:val="none"/>
              </w:rPr>
            </w:pPr>
          </w:p>
        </w:tc>
        <w:tc>
          <w:tcPr>
            <w:tcW w:w="1200" w:type="dxa"/>
            <w:vMerge w:val="continue"/>
            <w:noWrap w:val="0"/>
            <w:vAlign w:val="center"/>
          </w:tcPr>
          <w:p>
            <w:pPr>
              <w:spacing w:line="420" w:lineRule="exact"/>
              <w:jc w:val="center"/>
              <w:rPr>
                <w:rFonts w:ascii="宋体"/>
                <w:color w:val="auto"/>
                <w:szCs w:val="21"/>
                <w:highlight w:val="none"/>
              </w:rPr>
            </w:pPr>
          </w:p>
        </w:tc>
        <w:tc>
          <w:tcPr>
            <w:tcW w:w="1318" w:type="dxa"/>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highlight w:val="none"/>
              </w:rPr>
              <w:t>质量保证措施、进度保证措施、安全保证措施</w:t>
            </w:r>
          </w:p>
        </w:tc>
        <w:tc>
          <w:tcPr>
            <w:tcW w:w="690" w:type="dxa"/>
            <w:noWrap w:val="0"/>
            <w:vAlign w:val="center"/>
          </w:tcPr>
          <w:p>
            <w:pPr>
              <w:jc w:val="center"/>
              <w:rPr>
                <w:rFonts w:hint="eastAsia" w:ascii="宋体" w:hAnsi="宋体" w:cs="宋体"/>
                <w:color w:val="auto"/>
                <w:kern w:val="0"/>
                <w:szCs w:val="21"/>
                <w:highlight w:val="none"/>
              </w:rPr>
            </w:pP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w:t>
            </w:r>
          </w:p>
        </w:tc>
        <w:tc>
          <w:tcPr>
            <w:tcW w:w="5532" w:type="dxa"/>
            <w:noWrap w:val="0"/>
            <w:vAlign w:val="center"/>
          </w:tcPr>
          <w:p>
            <w:pPr>
              <w:spacing w:line="420" w:lineRule="exact"/>
              <w:jc w:val="left"/>
              <w:rPr>
                <w:rFonts w:hint="eastAsia" w:ascii="宋体" w:hAnsi="宋体" w:cs="宋体"/>
                <w:color w:val="auto"/>
                <w:szCs w:val="21"/>
                <w:highlight w:val="none"/>
              </w:rPr>
            </w:pPr>
            <w:r>
              <w:rPr>
                <w:rFonts w:hint="eastAsia" w:ascii="宋体" w:hAnsi="宋体" w:cs="宋体"/>
                <w:color w:val="auto"/>
                <w:szCs w:val="21"/>
                <w:highlight w:val="none"/>
              </w:rPr>
              <w:t>根据投标人针对本项目拟定的质量保证措施、</w:t>
            </w:r>
            <w:r>
              <w:rPr>
                <w:rFonts w:hint="eastAsia" w:ascii="宋体" w:hAnsi="宋体" w:cs="宋体"/>
                <w:color w:val="auto"/>
                <w:highlight w:val="none"/>
              </w:rPr>
              <w:t>进度保证措施、安全保证措施</w:t>
            </w:r>
            <w:r>
              <w:rPr>
                <w:rFonts w:hint="eastAsia" w:ascii="宋体" w:hAnsi="宋体" w:cs="宋体"/>
                <w:color w:val="auto"/>
                <w:szCs w:val="21"/>
                <w:highlight w:val="none"/>
              </w:rPr>
              <w:t>的合理性、可行性各投标文件横向对比后酌情打分，得</w:t>
            </w:r>
            <w:r>
              <w:rPr>
                <w:rFonts w:hint="eastAsia" w:ascii="宋体" w:hAnsi="宋体" w:cs="宋体"/>
                <w:color w:val="auto"/>
                <w:szCs w:val="21"/>
                <w:highlight w:val="none"/>
                <w:lang w:val="en-US" w:eastAsia="zh-CN"/>
              </w:rPr>
              <w:t>1.8</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746" w:type="dxa"/>
            <w:vMerge w:val="continue"/>
            <w:noWrap w:val="0"/>
            <w:vAlign w:val="center"/>
          </w:tcPr>
          <w:p>
            <w:pPr>
              <w:spacing w:line="420" w:lineRule="exact"/>
              <w:jc w:val="center"/>
              <w:rPr>
                <w:rFonts w:ascii="宋体"/>
                <w:color w:val="auto"/>
                <w:szCs w:val="21"/>
                <w:highlight w:val="none"/>
              </w:rPr>
            </w:pPr>
          </w:p>
        </w:tc>
        <w:tc>
          <w:tcPr>
            <w:tcW w:w="683" w:type="dxa"/>
            <w:vMerge w:val="continue"/>
            <w:noWrap w:val="0"/>
            <w:vAlign w:val="center"/>
          </w:tcPr>
          <w:p>
            <w:pPr>
              <w:spacing w:line="420" w:lineRule="exact"/>
              <w:jc w:val="center"/>
              <w:rPr>
                <w:rFonts w:ascii="宋体"/>
                <w:color w:val="auto"/>
                <w:szCs w:val="21"/>
                <w:highlight w:val="none"/>
              </w:rPr>
            </w:pPr>
          </w:p>
        </w:tc>
        <w:tc>
          <w:tcPr>
            <w:tcW w:w="1200" w:type="dxa"/>
            <w:vMerge w:val="continue"/>
            <w:noWrap w:val="0"/>
            <w:vAlign w:val="center"/>
          </w:tcPr>
          <w:p>
            <w:pPr>
              <w:spacing w:line="420" w:lineRule="exact"/>
              <w:jc w:val="center"/>
              <w:rPr>
                <w:rFonts w:ascii="宋体"/>
                <w:color w:val="auto"/>
                <w:szCs w:val="21"/>
                <w:highlight w:val="none"/>
              </w:rPr>
            </w:pPr>
          </w:p>
        </w:tc>
        <w:tc>
          <w:tcPr>
            <w:tcW w:w="1318" w:type="dxa"/>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highlight w:val="none"/>
              </w:rPr>
              <w:t>后续服务的安排、保证措施及疫情防控措施</w:t>
            </w:r>
          </w:p>
        </w:tc>
        <w:tc>
          <w:tcPr>
            <w:tcW w:w="690" w:type="dxa"/>
            <w:noWrap w:val="0"/>
            <w:vAlign w:val="center"/>
          </w:tcPr>
          <w:p>
            <w:pPr>
              <w:jc w:val="center"/>
              <w:rPr>
                <w:rFonts w:hint="eastAsia" w:ascii="宋体" w:hAnsi="宋体" w:cs="宋体"/>
                <w:color w:val="auto"/>
                <w:kern w:val="0"/>
                <w:szCs w:val="21"/>
                <w:highlight w:val="none"/>
              </w:rPr>
            </w:pP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w:t>
            </w:r>
          </w:p>
        </w:tc>
        <w:tc>
          <w:tcPr>
            <w:tcW w:w="5532" w:type="dxa"/>
            <w:noWrap w:val="0"/>
            <w:vAlign w:val="center"/>
          </w:tcPr>
          <w:p>
            <w:pPr>
              <w:spacing w:line="420" w:lineRule="exact"/>
              <w:jc w:val="left"/>
              <w:rPr>
                <w:rFonts w:hint="eastAsia" w:ascii="宋体" w:hAnsi="宋体" w:cs="宋体"/>
                <w:color w:val="auto"/>
                <w:szCs w:val="21"/>
                <w:highlight w:val="none"/>
              </w:rPr>
            </w:pPr>
            <w:r>
              <w:rPr>
                <w:rFonts w:hint="eastAsia" w:ascii="宋体" w:hAnsi="宋体" w:cs="宋体"/>
                <w:color w:val="auto"/>
                <w:szCs w:val="21"/>
                <w:highlight w:val="none"/>
              </w:rPr>
              <w:t>根据投标人针对本项目拟定的后续服务的安排、保证措施及疫情防控措施的合理性、可行性各投标文件横向对比后酌情打分，得</w:t>
            </w:r>
            <w:r>
              <w:rPr>
                <w:rFonts w:hint="eastAsia" w:ascii="宋体" w:hAnsi="宋体" w:cs="宋体"/>
                <w:color w:val="auto"/>
                <w:szCs w:val="21"/>
                <w:highlight w:val="none"/>
                <w:lang w:val="en-US" w:eastAsia="zh-CN"/>
              </w:rPr>
              <w:t>1.2</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746" w:type="dxa"/>
            <w:vMerge w:val="restart"/>
            <w:noWrap w:val="0"/>
            <w:vAlign w:val="center"/>
          </w:tcPr>
          <w:p>
            <w:pPr>
              <w:spacing w:line="420" w:lineRule="exact"/>
              <w:jc w:val="center"/>
              <w:rPr>
                <w:rFonts w:ascii="宋体"/>
                <w:color w:val="auto"/>
                <w:szCs w:val="21"/>
                <w:highlight w:val="none"/>
              </w:rPr>
            </w:pPr>
            <w:r>
              <w:rPr>
                <w:rFonts w:ascii="宋体" w:hAnsi="宋体"/>
                <w:color w:val="auto"/>
                <w:szCs w:val="21"/>
                <w:highlight w:val="none"/>
              </w:rPr>
              <w:t>2.2.4(2)</w:t>
            </w:r>
          </w:p>
        </w:tc>
        <w:tc>
          <w:tcPr>
            <w:tcW w:w="683" w:type="dxa"/>
            <w:vMerge w:val="restart"/>
            <w:noWrap w:val="0"/>
            <w:vAlign w:val="center"/>
          </w:tcPr>
          <w:p>
            <w:pPr>
              <w:spacing w:line="420" w:lineRule="exact"/>
              <w:jc w:val="center"/>
              <w:rPr>
                <w:rFonts w:ascii="宋体"/>
                <w:color w:val="auto"/>
                <w:szCs w:val="21"/>
                <w:highlight w:val="none"/>
              </w:rPr>
            </w:pPr>
            <w:r>
              <w:rPr>
                <w:rFonts w:hint="eastAsia" w:ascii="宋体" w:hAnsi="宋体"/>
                <w:color w:val="auto"/>
                <w:szCs w:val="21"/>
                <w:highlight w:val="none"/>
              </w:rPr>
              <w:t>商务部分</w:t>
            </w:r>
          </w:p>
        </w:tc>
        <w:tc>
          <w:tcPr>
            <w:tcW w:w="1200" w:type="dxa"/>
            <w:vMerge w:val="restart"/>
            <w:noWrap w:val="0"/>
            <w:vAlign w:val="center"/>
          </w:tcPr>
          <w:p>
            <w:pPr>
              <w:spacing w:line="420" w:lineRule="exact"/>
              <w:jc w:val="center"/>
              <w:rPr>
                <w:rFonts w:ascii="宋体" w:hAnsi="宋体"/>
                <w:color w:val="auto"/>
                <w:szCs w:val="21"/>
                <w:highlight w:val="none"/>
              </w:rPr>
            </w:pPr>
          </w:p>
          <w:p>
            <w:pPr>
              <w:spacing w:line="420" w:lineRule="exact"/>
              <w:jc w:val="center"/>
              <w:rPr>
                <w:rFonts w:ascii="宋体" w:hAnsi="宋体"/>
                <w:color w:val="auto"/>
                <w:szCs w:val="21"/>
                <w:highlight w:val="none"/>
              </w:rPr>
            </w:pPr>
          </w:p>
          <w:p>
            <w:pPr>
              <w:spacing w:line="420" w:lineRule="exact"/>
              <w:jc w:val="center"/>
              <w:rPr>
                <w:rFonts w:ascii="宋体"/>
                <w:color w:val="auto"/>
                <w:szCs w:val="21"/>
                <w:highlight w:val="none"/>
              </w:rPr>
            </w:pPr>
            <w:r>
              <w:rPr>
                <w:rFonts w:hint="eastAsia" w:ascii="宋体" w:hAnsi="宋体"/>
                <w:color w:val="auto"/>
                <w:szCs w:val="21"/>
                <w:highlight w:val="none"/>
              </w:rPr>
              <w:t>4</w:t>
            </w:r>
            <w:r>
              <w:rPr>
                <w:rFonts w:ascii="宋体" w:hAnsi="宋体"/>
                <w:color w:val="auto"/>
                <w:szCs w:val="21"/>
                <w:highlight w:val="none"/>
              </w:rPr>
              <w:t>0</w:t>
            </w:r>
            <w:r>
              <w:rPr>
                <w:rFonts w:hint="eastAsia" w:ascii="宋体" w:hAnsi="宋体"/>
                <w:color w:val="auto"/>
                <w:szCs w:val="21"/>
                <w:highlight w:val="none"/>
              </w:rPr>
              <w:t>分</w:t>
            </w:r>
          </w:p>
        </w:tc>
        <w:tc>
          <w:tcPr>
            <w:tcW w:w="1318" w:type="dxa"/>
            <w:noWrap w:val="0"/>
            <w:vAlign w:val="center"/>
          </w:tcPr>
          <w:p>
            <w:pPr>
              <w:spacing w:line="420" w:lineRule="exact"/>
              <w:jc w:val="center"/>
              <w:rPr>
                <w:rFonts w:hint="eastAsia" w:ascii="宋体" w:hAnsi="宋体" w:cs="宋体"/>
                <w:color w:val="auto"/>
                <w:szCs w:val="21"/>
                <w:highlight w:val="none"/>
              </w:rPr>
            </w:pPr>
            <w:r>
              <w:rPr>
                <w:rFonts w:hint="eastAsia" w:ascii="宋体" w:hAnsi="宋体" w:cs="宋体"/>
                <w:color w:val="auto"/>
                <w:szCs w:val="21"/>
                <w:highlight w:val="none"/>
              </w:rPr>
              <w:t>类似业绩</w:t>
            </w:r>
          </w:p>
        </w:tc>
        <w:tc>
          <w:tcPr>
            <w:tcW w:w="690" w:type="dxa"/>
            <w:noWrap w:val="0"/>
            <w:vAlign w:val="center"/>
          </w:tcPr>
          <w:p>
            <w:pPr>
              <w:spacing w:line="420" w:lineRule="exact"/>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25</w:t>
            </w:r>
            <w:r>
              <w:rPr>
                <w:rFonts w:hint="eastAsia" w:ascii="宋体" w:hAnsi="宋体" w:cs="宋体"/>
                <w:color w:val="auto"/>
                <w:szCs w:val="21"/>
                <w:highlight w:val="none"/>
              </w:rPr>
              <w:t>分</w:t>
            </w:r>
          </w:p>
        </w:tc>
        <w:tc>
          <w:tcPr>
            <w:tcW w:w="5532" w:type="dxa"/>
            <w:noWrap w:val="0"/>
            <w:vAlign w:val="center"/>
          </w:tcPr>
          <w:p>
            <w:pPr>
              <w:widowControl/>
              <w:spacing w:line="240" w:lineRule="auto"/>
              <w:jc w:val="left"/>
              <w:rPr>
                <w:rFonts w:hint="eastAsia"/>
                <w:color w:val="auto"/>
                <w:highlight w:val="none"/>
              </w:rPr>
            </w:pPr>
            <w:r>
              <w:rPr>
                <w:rFonts w:hint="eastAsia"/>
                <w:color w:val="auto"/>
                <w:highlight w:val="none"/>
              </w:rPr>
              <w:t>满足招标文件要求得</w:t>
            </w:r>
            <w:r>
              <w:rPr>
                <w:rFonts w:hint="eastAsia"/>
                <w:color w:val="auto"/>
                <w:highlight w:val="none"/>
                <w:lang w:val="en-US" w:eastAsia="zh-CN"/>
              </w:rPr>
              <w:t>15</w:t>
            </w:r>
            <w:r>
              <w:rPr>
                <w:rFonts w:hint="eastAsia"/>
                <w:color w:val="auto"/>
                <w:highlight w:val="none"/>
              </w:rPr>
              <w:t>分；</w:t>
            </w:r>
          </w:p>
          <w:p>
            <w:pPr>
              <w:keepNext w:val="0"/>
              <w:keepLines w:val="0"/>
              <w:widowControl/>
              <w:suppressLineNumbers w:val="0"/>
              <w:jc w:val="left"/>
              <w:rPr>
                <w:rFonts w:hint="eastAsia"/>
                <w:color w:val="auto"/>
                <w:highlight w:val="none"/>
              </w:rPr>
            </w:pPr>
            <w:r>
              <w:rPr>
                <w:rFonts w:hint="eastAsia"/>
                <w:color w:val="auto"/>
                <w:highlight w:val="none"/>
              </w:rPr>
              <w:t>近</w:t>
            </w:r>
            <w:r>
              <w:rPr>
                <w:rFonts w:hint="eastAsia"/>
                <w:color w:val="auto"/>
                <w:highlight w:val="none"/>
                <w:lang w:val="en-US" w:eastAsia="zh-CN"/>
              </w:rPr>
              <w:t>五</w:t>
            </w:r>
            <w:r>
              <w:rPr>
                <w:rFonts w:hint="eastAsia"/>
                <w:color w:val="auto"/>
                <w:highlight w:val="none"/>
              </w:rPr>
              <w:t>年来（201</w:t>
            </w:r>
            <w:r>
              <w:rPr>
                <w:rFonts w:hint="eastAsia"/>
                <w:color w:val="auto"/>
                <w:highlight w:val="none"/>
                <w:lang w:val="en-US" w:eastAsia="zh-CN"/>
              </w:rPr>
              <w:t>7</w:t>
            </w:r>
            <w:r>
              <w:rPr>
                <w:rFonts w:hint="eastAsia"/>
                <w:color w:val="auto"/>
                <w:highlight w:val="none"/>
              </w:rPr>
              <w:t>年11月1日至投标文件递交截止之日，以合同签订时间为准）每增加1项</w:t>
            </w:r>
            <w:r>
              <w:rPr>
                <w:rFonts w:hint="eastAsia"/>
                <w:color w:val="auto"/>
                <w:highlight w:val="none"/>
                <w:lang w:val="en-US" w:eastAsia="zh-CN"/>
              </w:rPr>
              <w:t>合同金额不小于300万元的</w:t>
            </w:r>
            <w:r>
              <w:rPr>
                <w:rFonts w:hint="eastAsia"/>
                <w:color w:val="auto"/>
                <w:highlight w:val="none"/>
                <w:lang w:eastAsia="zh-CN"/>
              </w:rPr>
              <w:t>高速公路桥梁监测业绩</w:t>
            </w:r>
            <w:r>
              <w:rPr>
                <w:rFonts w:hint="eastAsia"/>
                <w:color w:val="auto"/>
                <w:highlight w:val="none"/>
              </w:rPr>
              <w:t>加</w:t>
            </w:r>
            <w:r>
              <w:rPr>
                <w:rFonts w:hint="eastAsia"/>
                <w:color w:val="auto"/>
                <w:highlight w:val="none"/>
                <w:lang w:val="en-US" w:eastAsia="zh-CN"/>
              </w:rPr>
              <w:t>5</w:t>
            </w:r>
            <w:r>
              <w:rPr>
                <w:rFonts w:hint="eastAsia"/>
                <w:color w:val="auto"/>
                <w:highlight w:val="none"/>
              </w:rPr>
              <w:t>分</w:t>
            </w:r>
            <w:r>
              <w:rPr>
                <w:rFonts w:hint="eastAsia" w:cs="宋体"/>
                <w:color w:val="auto"/>
                <w:szCs w:val="21"/>
                <w:highlight w:val="none"/>
              </w:rPr>
              <w:t>，</w:t>
            </w:r>
            <w:r>
              <w:rPr>
                <w:rFonts w:hint="eastAsia"/>
                <w:color w:val="auto"/>
                <w:highlight w:val="none"/>
              </w:rPr>
              <w:t xml:space="preserve">最高加10分。 </w:t>
            </w:r>
          </w:p>
          <w:p>
            <w:pPr>
              <w:widowControl/>
              <w:spacing w:line="240" w:lineRule="auto"/>
              <w:jc w:val="left"/>
              <w:rPr>
                <w:rFonts w:hint="eastAsia"/>
                <w:color w:val="auto"/>
                <w:highlight w:val="none"/>
              </w:rPr>
            </w:pPr>
            <w:r>
              <w:rPr>
                <w:rFonts w:hint="default" w:ascii="Times New Roman" w:hAnsi="Times New Roman" w:eastAsia="宋体" w:cs="Times New Roman"/>
                <w:color w:val="auto"/>
                <w:kern w:val="2"/>
                <w:sz w:val="21"/>
                <w:szCs w:val="24"/>
                <w:highlight w:val="none"/>
                <w:lang w:val="en-US" w:eastAsia="zh-CN" w:bidi="ar"/>
              </w:rPr>
              <w:t>当多项业绩同时满足要求时，以多种组合中最高得分计算。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746" w:type="dxa"/>
            <w:vMerge w:val="continue"/>
            <w:noWrap w:val="0"/>
            <w:vAlign w:val="center"/>
          </w:tcPr>
          <w:p>
            <w:pPr>
              <w:spacing w:line="420" w:lineRule="exact"/>
              <w:jc w:val="center"/>
              <w:rPr>
                <w:rFonts w:ascii="宋体" w:hAnsi="宋体"/>
                <w:color w:val="auto"/>
                <w:szCs w:val="21"/>
                <w:highlight w:val="none"/>
              </w:rPr>
            </w:pPr>
          </w:p>
        </w:tc>
        <w:tc>
          <w:tcPr>
            <w:tcW w:w="683" w:type="dxa"/>
            <w:vMerge w:val="continue"/>
            <w:noWrap w:val="0"/>
            <w:vAlign w:val="center"/>
          </w:tcPr>
          <w:p>
            <w:pPr>
              <w:spacing w:line="420" w:lineRule="exact"/>
              <w:jc w:val="center"/>
              <w:rPr>
                <w:rFonts w:hint="eastAsia" w:ascii="宋体" w:hAnsi="宋体"/>
                <w:color w:val="auto"/>
                <w:szCs w:val="21"/>
                <w:highlight w:val="none"/>
              </w:rPr>
            </w:pPr>
          </w:p>
        </w:tc>
        <w:tc>
          <w:tcPr>
            <w:tcW w:w="1200" w:type="dxa"/>
            <w:vMerge w:val="continue"/>
            <w:noWrap w:val="0"/>
            <w:vAlign w:val="center"/>
          </w:tcPr>
          <w:p>
            <w:pPr>
              <w:spacing w:line="420" w:lineRule="exact"/>
              <w:jc w:val="center"/>
              <w:rPr>
                <w:rFonts w:hint="eastAsia" w:ascii="宋体" w:hAnsi="宋体"/>
                <w:color w:val="auto"/>
                <w:szCs w:val="21"/>
                <w:highlight w:val="none"/>
              </w:rPr>
            </w:pPr>
          </w:p>
        </w:tc>
        <w:tc>
          <w:tcPr>
            <w:tcW w:w="1318" w:type="dxa"/>
            <w:noWrap w:val="0"/>
            <w:vAlign w:val="center"/>
          </w:tcPr>
          <w:p>
            <w:pPr>
              <w:widowControl/>
              <w:spacing w:line="420" w:lineRule="exact"/>
              <w:jc w:val="center"/>
              <w:rPr>
                <w:rFonts w:hint="eastAsia" w:ascii="宋体" w:hAnsi="宋体" w:cs="宋体"/>
                <w:color w:val="auto"/>
                <w:szCs w:val="21"/>
                <w:highlight w:val="none"/>
              </w:rPr>
            </w:pPr>
            <w:r>
              <w:rPr>
                <w:rFonts w:hint="eastAsia" w:ascii="宋体" w:hAnsi="宋体" w:eastAsia="宋体" w:cs="宋体"/>
                <w:color w:val="auto"/>
                <w:kern w:val="2"/>
                <w:sz w:val="21"/>
                <w:szCs w:val="21"/>
                <w:highlight w:val="none"/>
                <w:lang w:val="en-US" w:eastAsia="zh-CN" w:bidi="ar"/>
              </w:rPr>
              <w:t>项目负责人任职资格</w:t>
            </w:r>
          </w:p>
        </w:tc>
        <w:tc>
          <w:tcPr>
            <w:tcW w:w="690" w:type="dxa"/>
            <w:noWrap w:val="0"/>
            <w:vAlign w:val="center"/>
          </w:tcPr>
          <w:p>
            <w:pPr>
              <w:spacing w:line="420" w:lineRule="exact"/>
              <w:jc w:val="center"/>
              <w:rPr>
                <w:rFonts w:hint="eastAsia"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w:t>
            </w:r>
          </w:p>
        </w:tc>
        <w:tc>
          <w:tcPr>
            <w:tcW w:w="5532" w:type="dxa"/>
            <w:noWrap w:val="0"/>
            <w:vAlign w:val="center"/>
          </w:tcPr>
          <w:p>
            <w:pPr>
              <w:keepNext w:val="0"/>
              <w:keepLines w:val="0"/>
              <w:widowControl/>
              <w:suppressLineNumbers w:val="0"/>
              <w:spacing w:line="420" w:lineRule="exact"/>
              <w:jc w:val="left"/>
              <w:rPr>
                <w:rFonts w:hint="eastAsia" w:ascii="Times New Roman" w:hAnsi="Times New Roman" w:eastAsia="宋体" w:cs="Times New Roman"/>
                <w:color w:val="auto"/>
                <w:highlight w:val="none"/>
              </w:rPr>
            </w:pPr>
            <w:r>
              <w:rPr>
                <w:rFonts w:hint="eastAsia"/>
                <w:color w:val="auto"/>
                <w:highlight w:val="none"/>
              </w:rPr>
              <w:t>满足招标文件要求</w:t>
            </w:r>
            <w:r>
              <w:rPr>
                <w:rFonts w:hint="eastAsia" w:ascii="Times New Roman" w:hAnsi="Times New Roman" w:eastAsia="宋体" w:cs="Times New Roman"/>
                <w:color w:val="auto"/>
                <w:kern w:val="2"/>
                <w:sz w:val="21"/>
                <w:szCs w:val="24"/>
                <w:highlight w:val="none"/>
                <w:lang w:val="en-US" w:eastAsia="zh-CN" w:bidi="ar"/>
              </w:rPr>
              <w:t xml:space="preserve">得3分； </w:t>
            </w:r>
          </w:p>
          <w:p>
            <w:pPr>
              <w:widowControl/>
              <w:spacing w:line="420" w:lineRule="exact"/>
              <w:jc w:val="left"/>
              <w:rPr>
                <w:rFonts w:hint="eastAsia"/>
                <w:color w:val="auto"/>
                <w:highlight w:val="none"/>
              </w:rPr>
            </w:pPr>
            <w:r>
              <w:rPr>
                <w:rFonts w:hint="eastAsia" w:ascii="Times New Roman" w:hAnsi="Times New Roman" w:eastAsia="宋体" w:cs="Times New Roman"/>
                <w:color w:val="auto"/>
                <w:kern w:val="2"/>
                <w:sz w:val="21"/>
                <w:szCs w:val="24"/>
                <w:highlight w:val="none"/>
                <w:lang w:val="en-US" w:eastAsia="zh-CN" w:bidi="ar"/>
              </w:rPr>
              <w:t>项目负责人具有正高级职称加2分，最高加2分。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46" w:type="dxa"/>
            <w:vMerge w:val="continue"/>
            <w:noWrap w:val="0"/>
            <w:vAlign w:val="center"/>
          </w:tcPr>
          <w:p>
            <w:pPr>
              <w:spacing w:line="420" w:lineRule="exact"/>
              <w:jc w:val="center"/>
              <w:rPr>
                <w:rFonts w:ascii="宋体"/>
                <w:color w:val="auto"/>
                <w:szCs w:val="21"/>
                <w:highlight w:val="none"/>
              </w:rPr>
            </w:pPr>
          </w:p>
        </w:tc>
        <w:tc>
          <w:tcPr>
            <w:tcW w:w="683" w:type="dxa"/>
            <w:vMerge w:val="continue"/>
            <w:noWrap w:val="0"/>
            <w:vAlign w:val="center"/>
          </w:tcPr>
          <w:p>
            <w:pPr>
              <w:spacing w:line="420" w:lineRule="exact"/>
              <w:jc w:val="center"/>
              <w:rPr>
                <w:rFonts w:ascii="宋体"/>
                <w:color w:val="auto"/>
                <w:szCs w:val="21"/>
                <w:highlight w:val="none"/>
              </w:rPr>
            </w:pPr>
          </w:p>
        </w:tc>
        <w:tc>
          <w:tcPr>
            <w:tcW w:w="1200" w:type="dxa"/>
            <w:vMerge w:val="continue"/>
            <w:noWrap w:val="0"/>
            <w:vAlign w:val="center"/>
          </w:tcPr>
          <w:p>
            <w:pPr>
              <w:spacing w:line="420" w:lineRule="exact"/>
              <w:jc w:val="center"/>
              <w:rPr>
                <w:rFonts w:ascii="宋体"/>
                <w:color w:val="auto"/>
                <w:szCs w:val="21"/>
                <w:highlight w:val="none"/>
              </w:rPr>
            </w:pPr>
          </w:p>
        </w:tc>
        <w:tc>
          <w:tcPr>
            <w:tcW w:w="1318" w:type="dxa"/>
            <w:noWrap w:val="0"/>
            <w:vAlign w:val="center"/>
          </w:tcPr>
          <w:p>
            <w:pPr>
              <w:spacing w:line="420" w:lineRule="exact"/>
              <w:jc w:val="center"/>
              <w:rPr>
                <w:rFonts w:ascii="宋体" w:hAnsi="宋体" w:cs="宋体"/>
                <w:color w:val="auto"/>
                <w:szCs w:val="21"/>
                <w:highlight w:val="none"/>
              </w:rPr>
            </w:pPr>
            <w:r>
              <w:rPr>
                <w:rFonts w:hint="eastAsia" w:ascii="宋体" w:hAnsi="宋体" w:cs="宋体"/>
                <w:color w:val="auto"/>
                <w:szCs w:val="21"/>
                <w:highlight w:val="none"/>
                <w:lang w:val="en-US" w:eastAsia="zh-CN"/>
              </w:rPr>
              <w:t>技术</w:t>
            </w:r>
            <w:r>
              <w:rPr>
                <w:rFonts w:hint="eastAsia" w:ascii="宋体" w:hAnsi="宋体" w:cs="宋体"/>
                <w:color w:val="auto"/>
                <w:szCs w:val="21"/>
                <w:highlight w:val="none"/>
              </w:rPr>
              <w:t>能力</w:t>
            </w:r>
          </w:p>
        </w:tc>
        <w:tc>
          <w:tcPr>
            <w:tcW w:w="690" w:type="dxa"/>
            <w:noWrap w:val="0"/>
            <w:vAlign w:val="center"/>
          </w:tcPr>
          <w:p>
            <w:pPr>
              <w:spacing w:line="420" w:lineRule="exact"/>
              <w:jc w:val="center"/>
              <w:rPr>
                <w:rFonts w:hint="eastAsia" w:ascii="宋体" w:hAnsi="宋体" w:cs="宋体"/>
                <w:color w:val="auto"/>
                <w:szCs w:val="21"/>
                <w:highlight w:val="none"/>
              </w:rPr>
            </w:pPr>
            <w:r>
              <w:rPr>
                <w:rFonts w:hint="eastAsia" w:ascii="宋体" w:hAnsi="宋体" w:cs="宋体"/>
                <w:color w:val="auto"/>
                <w:szCs w:val="21"/>
                <w:highlight w:val="none"/>
              </w:rPr>
              <w:t>10分</w:t>
            </w:r>
          </w:p>
        </w:tc>
        <w:tc>
          <w:tcPr>
            <w:tcW w:w="5532" w:type="dxa"/>
            <w:noWrap w:val="0"/>
            <w:vAlign w:val="center"/>
          </w:tcPr>
          <w:p>
            <w:pPr>
              <w:spacing w:line="420" w:lineRule="exact"/>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1.近</w:t>
            </w:r>
            <w:r>
              <w:rPr>
                <w:rFonts w:hint="eastAsia" w:ascii="宋体" w:hAnsi="宋体" w:eastAsia="宋体" w:cs="宋体"/>
                <w:color w:val="auto"/>
                <w:szCs w:val="21"/>
                <w:highlight w:val="none"/>
                <w:lang w:val="en-US" w:eastAsia="zh-CN"/>
              </w:rPr>
              <w:t>三</w:t>
            </w:r>
            <w:r>
              <w:rPr>
                <w:rFonts w:hint="eastAsia" w:ascii="宋体" w:hAnsi="宋体" w:eastAsia="宋体" w:cs="宋体"/>
                <w:color w:val="auto"/>
                <w:szCs w:val="21"/>
                <w:highlight w:val="none"/>
              </w:rPr>
              <w:t>年来（201</w:t>
            </w: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年11月1日至投标文件递交截止之日，以标准规范</w:t>
            </w:r>
            <w:r>
              <w:rPr>
                <w:rFonts w:hint="eastAsia" w:ascii="宋体" w:hAnsi="宋体" w:eastAsia="宋体" w:cs="宋体"/>
                <w:color w:val="auto"/>
                <w:szCs w:val="21"/>
                <w:highlight w:val="none"/>
                <w:lang w:val="en-US" w:eastAsia="zh-CN"/>
              </w:rPr>
              <w:t>实施日期</w:t>
            </w:r>
            <w:r>
              <w:rPr>
                <w:rFonts w:hint="eastAsia" w:ascii="宋体" w:hAnsi="宋体" w:eastAsia="宋体" w:cs="宋体"/>
                <w:color w:val="auto"/>
                <w:szCs w:val="21"/>
                <w:highlight w:val="none"/>
              </w:rPr>
              <w:t>为准）参与过公路</w:t>
            </w:r>
            <w:r>
              <w:rPr>
                <w:rFonts w:hint="eastAsia" w:ascii="宋体" w:hAnsi="宋体" w:eastAsia="宋体" w:cs="宋体"/>
                <w:color w:val="auto"/>
                <w:szCs w:val="21"/>
                <w:highlight w:val="none"/>
                <w:lang w:val="en-US" w:eastAsia="zh-CN"/>
              </w:rPr>
              <w:t>桥梁</w:t>
            </w:r>
            <w:r>
              <w:rPr>
                <w:rFonts w:hint="eastAsia" w:ascii="宋体" w:hAnsi="宋体" w:eastAsia="宋体" w:cs="宋体"/>
                <w:color w:val="auto"/>
                <w:szCs w:val="21"/>
                <w:highlight w:val="none"/>
              </w:rPr>
              <w:t>检测、评定、</w:t>
            </w:r>
            <w:r>
              <w:rPr>
                <w:rFonts w:hint="eastAsia" w:ascii="宋体" w:hAnsi="宋体" w:eastAsia="宋体" w:cs="宋体"/>
                <w:color w:val="auto"/>
                <w:szCs w:val="21"/>
                <w:highlight w:val="none"/>
                <w:lang w:val="en-US" w:eastAsia="zh-CN"/>
              </w:rPr>
              <w:t>监测</w:t>
            </w:r>
            <w:r>
              <w:rPr>
                <w:rFonts w:hint="eastAsia" w:ascii="宋体" w:hAnsi="宋体" w:eastAsia="宋体" w:cs="宋体"/>
                <w:color w:val="auto"/>
                <w:szCs w:val="21"/>
                <w:highlight w:val="none"/>
              </w:rPr>
              <w:t>等有关的国家标准规范或交通运输部</w:t>
            </w:r>
            <w:r>
              <w:rPr>
                <w:rFonts w:hint="eastAsia" w:ascii="宋体" w:hAnsi="宋体" w:eastAsia="宋体" w:cs="宋体"/>
                <w:color w:val="auto"/>
                <w:szCs w:val="21"/>
                <w:highlight w:val="none"/>
                <w:lang w:val="en-US" w:eastAsia="zh-CN"/>
              </w:rPr>
              <w:t>行业</w:t>
            </w:r>
            <w:r>
              <w:rPr>
                <w:rFonts w:hint="eastAsia" w:ascii="宋体" w:hAnsi="宋体" w:eastAsia="宋体" w:cs="宋体"/>
                <w:color w:val="auto"/>
                <w:szCs w:val="21"/>
                <w:highlight w:val="none"/>
              </w:rPr>
              <w:t>标准规范或地方省级标准规范</w:t>
            </w:r>
            <w:r>
              <w:rPr>
                <w:rFonts w:hint="eastAsia" w:ascii="宋体" w:hAnsi="宋体" w:eastAsia="宋体" w:cs="宋体"/>
                <w:color w:val="auto"/>
                <w:szCs w:val="21"/>
                <w:highlight w:val="none"/>
                <w:lang w:val="en-US" w:eastAsia="zh-CN"/>
              </w:rPr>
              <w:t>或团体标准</w:t>
            </w:r>
            <w:r>
              <w:rPr>
                <w:rFonts w:hint="eastAsia" w:ascii="宋体" w:hAnsi="宋体" w:eastAsia="宋体" w:cs="宋体"/>
                <w:color w:val="auto"/>
                <w:szCs w:val="21"/>
                <w:highlight w:val="none"/>
              </w:rPr>
              <w:t>规范（以 GB、JTG、DB 、T / CECS 开头）编制的</w:t>
            </w:r>
            <w:r>
              <w:rPr>
                <w:rFonts w:hint="eastAsia" w:ascii="宋体" w:hAnsi="宋体" w:eastAsia="宋体" w:cs="宋体"/>
                <w:color w:val="auto"/>
                <w:szCs w:val="21"/>
                <w:highlight w:val="none"/>
                <w:lang w:val="en-US" w:eastAsia="zh-CN"/>
              </w:rPr>
              <w:t>每1项</w:t>
            </w:r>
            <w:r>
              <w:rPr>
                <w:rFonts w:hint="eastAsia" w:ascii="宋体" w:hAnsi="宋体" w:eastAsia="宋体" w:cs="宋体"/>
                <w:color w:val="auto"/>
                <w:szCs w:val="21"/>
                <w:highlight w:val="none"/>
              </w:rPr>
              <w:t xml:space="preserve">加 </w:t>
            </w:r>
            <w:r>
              <w:rPr>
                <w:rFonts w:hint="eastAsia" w:ascii="宋体" w:hAnsi="宋体" w:eastAsia="宋体" w:cs="宋体"/>
                <w:color w:val="auto"/>
                <w:szCs w:val="21"/>
                <w:highlight w:val="none"/>
                <w:lang w:eastAsia="zh-CN"/>
              </w:rPr>
              <w:t>2</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分，最高加5分。（提供</w:t>
            </w:r>
            <w:r>
              <w:rPr>
                <w:rFonts w:hint="eastAsia" w:ascii="宋体" w:hAnsi="宋体" w:eastAsia="宋体" w:cs="宋体"/>
                <w:color w:val="auto"/>
                <w:szCs w:val="21"/>
                <w:highlight w:val="none"/>
                <w:lang w:val="en-US" w:eastAsia="zh-CN"/>
              </w:rPr>
              <w:t>标准</w:t>
            </w:r>
            <w:r>
              <w:rPr>
                <w:rFonts w:hint="eastAsia" w:ascii="宋体" w:hAnsi="宋体" w:eastAsia="宋体" w:cs="宋体"/>
                <w:color w:val="auto"/>
                <w:szCs w:val="21"/>
                <w:highlight w:val="none"/>
              </w:rPr>
              <w:t>规范参与名单相关页影印件）；</w:t>
            </w:r>
          </w:p>
          <w:p>
            <w:pPr>
              <w:spacing w:line="420" w:lineRule="exact"/>
              <w:jc w:val="left"/>
              <w:rPr>
                <w:rFonts w:hint="eastAsia" w:eastAsia="宋体"/>
                <w:color w:val="auto"/>
                <w:highlight w:val="none"/>
                <w:lang w:val="en-GB" w:eastAsia="zh-CN"/>
              </w:rPr>
            </w:pPr>
            <w:r>
              <w:rPr>
                <w:rFonts w:hint="eastAsia" w:ascii="宋体" w:hAnsi="宋体" w:eastAsia="宋体" w:cs="宋体"/>
                <w:color w:val="auto"/>
                <w:szCs w:val="21"/>
                <w:highlight w:val="none"/>
              </w:rPr>
              <w:t>2.近</w:t>
            </w:r>
            <w:r>
              <w:rPr>
                <w:rFonts w:hint="eastAsia" w:ascii="宋体" w:hAnsi="宋体" w:eastAsia="宋体" w:cs="宋体"/>
                <w:color w:val="auto"/>
                <w:szCs w:val="21"/>
                <w:highlight w:val="none"/>
                <w:lang w:val="en-US" w:eastAsia="zh-CN"/>
              </w:rPr>
              <w:t>三</w:t>
            </w:r>
            <w:r>
              <w:rPr>
                <w:rFonts w:hint="eastAsia" w:ascii="宋体" w:hAnsi="宋体" w:eastAsia="宋体" w:cs="宋体"/>
                <w:color w:val="auto"/>
                <w:szCs w:val="21"/>
                <w:highlight w:val="none"/>
              </w:rPr>
              <w:t>年来（201</w:t>
            </w: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年11月1日至投标文件递交截止之日，以</w:t>
            </w:r>
            <w:r>
              <w:rPr>
                <w:rFonts w:hint="eastAsia" w:ascii="宋体" w:hAnsi="宋体" w:eastAsia="宋体" w:cs="宋体"/>
                <w:color w:val="auto"/>
                <w:szCs w:val="21"/>
                <w:highlight w:val="none"/>
                <w:lang w:val="en-US" w:eastAsia="zh-CN"/>
              </w:rPr>
              <w:t>证书登记日期</w:t>
            </w:r>
            <w:r>
              <w:rPr>
                <w:rFonts w:hint="eastAsia" w:ascii="宋体" w:hAnsi="宋体" w:eastAsia="宋体" w:cs="宋体"/>
                <w:color w:val="auto"/>
                <w:szCs w:val="21"/>
                <w:highlight w:val="none"/>
              </w:rPr>
              <w:t>为准）</w:t>
            </w:r>
            <w:r>
              <w:rPr>
                <w:rFonts w:hint="eastAsia"/>
                <w:color w:val="auto"/>
                <w:highlight w:val="none"/>
                <w:lang w:val="en-GB"/>
              </w:rPr>
              <w:t>具</w:t>
            </w:r>
            <w:r>
              <w:rPr>
                <w:rFonts w:hint="eastAsia"/>
                <w:color w:val="auto"/>
                <w:highlight w:val="none"/>
              </w:rPr>
              <w:t>有</w:t>
            </w:r>
            <w:r>
              <w:rPr>
                <w:rFonts w:hint="eastAsia"/>
                <w:color w:val="auto"/>
                <w:highlight w:val="none"/>
                <w:lang w:val="en-GB"/>
              </w:rPr>
              <w:t>桥梁</w:t>
            </w:r>
            <w:r>
              <w:rPr>
                <w:rFonts w:hint="eastAsia"/>
                <w:color w:val="auto"/>
                <w:highlight w:val="none"/>
              </w:rPr>
              <w:t>监测</w:t>
            </w:r>
            <w:r>
              <w:rPr>
                <w:rFonts w:hint="eastAsia"/>
                <w:color w:val="auto"/>
                <w:highlight w:val="none"/>
                <w:lang w:val="en-US" w:eastAsia="zh-CN"/>
              </w:rPr>
              <w:t>相关</w:t>
            </w:r>
            <w:r>
              <w:rPr>
                <w:rFonts w:hint="eastAsia"/>
                <w:color w:val="auto"/>
                <w:highlight w:val="none"/>
              </w:rPr>
              <w:t>软件</w:t>
            </w:r>
            <w:r>
              <w:rPr>
                <w:rFonts w:hint="eastAsia"/>
                <w:color w:val="auto"/>
                <w:highlight w:val="none"/>
                <w:lang w:val="en-GB"/>
              </w:rPr>
              <w:t>著作权证书，</w:t>
            </w:r>
            <w:r>
              <w:rPr>
                <w:rFonts w:hint="eastAsia" w:ascii="宋体" w:hAnsi="宋体" w:eastAsia="宋体" w:cs="宋体"/>
                <w:color w:val="auto"/>
                <w:szCs w:val="21"/>
                <w:highlight w:val="none"/>
                <w:lang w:val="en-US" w:eastAsia="zh-CN"/>
              </w:rPr>
              <w:t>每1项</w:t>
            </w:r>
            <w:r>
              <w:rPr>
                <w:rFonts w:hint="eastAsia"/>
                <w:color w:val="auto"/>
                <w:highlight w:val="none"/>
                <w:lang w:val="en-GB"/>
              </w:rPr>
              <w:t>得</w:t>
            </w:r>
            <w:r>
              <w:rPr>
                <w:rFonts w:hint="eastAsia"/>
                <w:color w:val="auto"/>
                <w:highlight w:val="none"/>
              </w:rPr>
              <w:t>5</w:t>
            </w:r>
            <w:r>
              <w:rPr>
                <w:rFonts w:hint="eastAsia"/>
                <w:color w:val="auto"/>
                <w:highlight w:val="none"/>
                <w:lang w:val="en-GB"/>
              </w:rPr>
              <w:t>分，</w:t>
            </w:r>
            <w:r>
              <w:rPr>
                <w:rFonts w:hint="eastAsia" w:ascii="宋体" w:hAnsi="宋体" w:eastAsia="宋体" w:cs="宋体"/>
                <w:color w:val="auto"/>
                <w:szCs w:val="21"/>
                <w:highlight w:val="none"/>
              </w:rPr>
              <w:t>最高加5分</w:t>
            </w:r>
            <w:r>
              <w:rPr>
                <w:rFonts w:hint="eastAsia"/>
                <w:color w:val="auto"/>
                <w:highlight w:val="none"/>
                <w:lang w:val="en-GB" w:eastAsia="zh-CN"/>
              </w:rPr>
              <w:t>。</w:t>
            </w:r>
          </w:p>
          <w:p>
            <w:pPr>
              <w:spacing w:line="420" w:lineRule="exact"/>
              <w:jc w:val="left"/>
              <w:rPr>
                <w:rFonts w:hint="eastAsia"/>
                <w:color w:val="auto"/>
                <w:highlight w:val="none"/>
                <w:lang w:val="en-GB"/>
              </w:rPr>
            </w:pPr>
            <w:r>
              <w:rPr>
                <w:rFonts w:hint="eastAsia"/>
                <w:color w:val="auto"/>
                <w:highlight w:val="none"/>
                <w:lang w:val="en-GB"/>
              </w:rPr>
              <w:t>注：提供</w:t>
            </w:r>
            <w:r>
              <w:rPr>
                <w:rFonts w:hint="eastAsia"/>
                <w:color w:val="auto"/>
                <w:highlight w:val="none"/>
              </w:rPr>
              <w:t>证书</w:t>
            </w:r>
            <w:r>
              <w:rPr>
                <w:rFonts w:hint="eastAsia"/>
                <w:color w:val="auto"/>
                <w:highlight w:val="none"/>
                <w:lang w:val="en-GB"/>
              </w:rPr>
              <w:t>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746" w:type="dxa"/>
            <w:noWrap w:val="0"/>
            <w:vAlign w:val="center"/>
          </w:tcPr>
          <w:p>
            <w:pPr>
              <w:spacing w:line="420" w:lineRule="exact"/>
              <w:jc w:val="center"/>
              <w:rPr>
                <w:rFonts w:ascii="宋体"/>
                <w:color w:val="auto"/>
                <w:szCs w:val="21"/>
                <w:highlight w:val="none"/>
              </w:rPr>
            </w:pPr>
            <w:r>
              <w:rPr>
                <w:rFonts w:ascii="宋体" w:hAnsi="宋体"/>
                <w:color w:val="auto"/>
                <w:szCs w:val="21"/>
                <w:highlight w:val="none"/>
              </w:rPr>
              <w:t>2.2.4(</w:t>
            </w:r>
            <w:r>
              <w:rPr>
                <w:rFonts w:hint="eastAsia" w:ascii="宋体" w:hAnsi="宋体"/>
                <w:color w:val="auto"/>
                <w:szCs w:val="21"/>
                <w:highlight w:val="none"/>
              </w:rPr>
              <w:t>3</w:t>
            </w:r>
            <w:r>
              <w:rPr>
                <w:rFonts w:ascii="宋体" w:hAnsi="宋体"/>
                <w:color w:val="auto"/>
                <w:szCs w:val="21"/>
                <w:highlight w:val="none"/>
              </w:rPr>
              <w:t>)</w:t>
            </w:r>
          </w:p>
        </w:tc>
        <w:tc>
          <w:tcPr>
            <w:tcW w:w="683" w:type="dxa"/>
            <w:noWrap w:val="0"/>
            <w:vAlign w:val="center"/>
          </w:tcPr>
          <w:p>
            <w:pPr>
              <w:spacing w:line="420" w:lineRule="exact"/>
              <w:jc w:val="center"/>
              <w:rPr>
                <w:rFonts w:ascii="宋体"/>
                <w:color w:val="auto"/>
                <w:szCs w:val="21"/>
                <w:highlight w:val="none"/>
              </w:rPr>
            </w:pPr>
            <w:r>
              <w:rPr>
                <w:rFonts w:hint="eastAsia" w:ascii="宋体" w:hAnsi="宋体" w:cs="宋体"/>
                <w:color w:val="auto"/>
                <w:spacing w:val="-7"/>
                <w:highlight w:val="none"/>
              </w:rPr>
              <w:t>履</w:t>
            </w:r>
            <w:r>
              <w:rPr>
                <w:rFonts w:hint="eastAsia" w:ascii="宋体" w:hAnsi="宋体" w:cs="宋体"/>
                <w:color w:val="auto"/>
                <w:spacing w:val="-34"/>
                <w:highlight w:val="none"/>
              </w:rPr>
              <w:t xml:space="preserve"> </w:t>
            </w:r>
            <w:r>
              <w:rPr>
                <w:rFonts w:hint="eastAsia" w:ascii="宋体" w:hAnsi="宋体" w:cs="宋体"/>
                <w:color w:val="auto"/>
                <w:spacing w:val="-7"/>
                <w:highlight w:val="none"/>
              </w:rPr>
              <w:t>约</w:t>
            </w:r>
            <w:r>
              <w:rPr>
                <w:rFonts w:hint="eastAsia" w:ascii="宋体" w:hAnsi="宋体" w:cs="宋体"/>
                <w:color w:val="auto"/>
                <w:spacing w:val="-34"/>
                <w:highlight w:val="none"/>
              </w:rPr>
              <w:t xml:space="preserve"> </w:t>
            </w:r>
            <w:r>
              <w:rPr>
                <w:rFonts w:hint="eastAsia" w:ascii="宋体" w:hAnsi="宋体" w:cs="宋体"/>
                <w:color w:val="auto"/>
                <w:spacing w:val="-6"/>
                <w:highlight w:val="none"/>
              </w:rPr>
              <w:t>信</w:t>
            </w:r>
            <w:r>
              <w:rPr>
                <w:rFonts w:hint="eastAsia" w:ascii="宋体" w:hAnsi="宋体" w:cs="宋体"/>
                <w:color w:val="auto"/>
                <w:spacing w:val="-34"/>
                <w:highlight w:val="none"/>
              </w:rPr>
              <w:t xml:space="preserve"> </w:t>
            </w:r>
            <w:r>
              <w:rPr>
                <w:rFonts w:hint="eastAsia" w:ascii="宋体" w:hAnsi="宋体" w:cs="宋体"/>
                <w:color w:val="auto"/>
                <w:spacing w:val="-6"/>
                <w:highlight w:val="none"/>
              </w:rPr>
              <w:t>誉</w:t>
            </w:r>
          </w:p>
        </w:tc>
        <w:tc>
          <w:tcPr>
            <w:tcW w:w="1200" w:type="dxa"/>
            <w:noWrap w:val="0"/>
            <w:vAlign w:val="center"/>
          </w:tcPr>
          <w:p>
            <w:pPr>
              <w:spacing w:line="420" w:lineRule="exact"/>
              <w:jc w:val="center"/>
              <w:rPr>
                <w:rFonts w:ascii="宋体"/>
                <w:color w:val="auto"/>
                <w:szCs w:val="21"/>
                <w:highlight w:val="none"/>
              </w:rPr>
            </w:pPr>
            <w:r>
              <w:rPr>
                <w:rFonts w:hint="eastAsia" w:ascii="宋体"/>
                <w:color w:val="auto"/>
                <w:szCs w:val="21"/>
                <w:highlight w:val="none"/>
              </w:rPr>
              <w:t>10分</w:t>
            </w:r>
          </w:p>
        </w:tc>
        <w:tc>
          <w:tcPr>
            <w:tcW w:w="1318" w:type="dxa"/>
            <w:noWrap w:val="0"/>
            <w:vAlign w:val="center"/>
          </w:tcPr>
          <w:p>
            <w:pPr>
              <w:spacing w:line="420" w:lineRule="exact"/>
              <w:jc w:val="center"/>
              <w:rPr>
                <w:rFonts w:hint="eastAsia" w:ascii="宋体" w:hAnsi="宋体" w:cs="宋体"/>
                <w:color w:val="auto"/>
                <w:szCs w:val="21"/>
                <w:highlight w:val="none"/>
                <w:lang w:val="en-GB"/>
              </w:rPr>
            </w:pPr>
            <w:r>
              <w:rPr>
                <w:rFonts w:hint="eastAsia" w:ascii="宋体" w:hAnsi="宋体" w:cs="宋体"/>
                <w:color w:val="auto"/>
                <w:spacing w:val="-7"/>
                <w:highlight w:val="none"/>
              </w:rPr>
              <w:t>履</w:t>
            </w:r>
            <w:r>
              <w:rPr>
                <w:rFonts w:hint="eastAsia" w:ascii="宋体" w:hAnsi="宋体" w:cs="宋体"/>
                <w:color w:val="auto"/>
                <w:spacing w:val="-34"/>
                <w:highlight w:val="none"/>
              </w:rPr>
              <w:t xml:space="preserve"> </w:t>
            </w:r>
            <w:r>
              <w:rPr>
                <w:rFonts w:hint="eastAsia" w:ascii="宋体" w:hAnsi="宋体" w:cs="宋体"/>
                <w:color w:val="auto"/>
                <w:spacing w:val="-7"/>
                <w:highlight w:val="none"/>
              </w:rPr>
              <w:t>约</w:t>
            </w:r>
            <w:r>
              <w:rPr>
                <w:rFonts w:hint="eastAsia" w:ascii="宋体" w:hAnsi="宋体" w:cs="宋体"/>
                <w:color w:val="auto"/>
                <w:spacing w:val="-34"/>
                <w:highlight w:val="none"/>
              </w:rPr>
              <w:t xml:space="preserve"> </w:t>
            </w:r>
            <w:r>
              <w:rPr>
                <w:rFonts w:hint="eastAsia" w:ascii="宋体" w:hAnsi="宋体" w:cs="宋体"/>
                <w:color w:val="auto"/>
                <w:spacing w:val="-6"/>
                <w:highlight w:val="none"/>
              </w:rPr>
              <w:t>信</w:t>
            </w:r>
            <w:r>
              <w:rPr>
                <w:rFonts w:hint="eastAsia" w:ascii="宋体" w:hAnsi="宋体" w:cs="宋体"/>
                <w:color w:val="auto"/>
                <w:spacing w:val="-34"/>
                <w:highlight w:val="none"/>
              </w:rPr>
              <w:t xml:space="preserve"> </w:t>
            </w:r>
            <w:r>
              <w:rPr>
                <w:rFonts w:hint="eastAsia" w:ascii="宋体" w:hAnsi="宋体" w:cs="宋体"/>
                <w:color w:val="auto"/>
                <w:spacing w:val="-6"/>
                <w:highlight w:val="none"/>
              </w:rPr>
              <w:t>誉</w:t>
            </w:r>
          </w:p>
        </w:tc>
        <w:tc>
          <w:tcPr>
            <w:tcW w:w="690" w:type="dxa"/>
            <w:noWrap w:val="0"/>
            <w:vAlign w:val="center"/>
          </w:tcPr>
          <w:p>
            <w:pPr>
              <w:spacing w:line="420" w:lineRule="exact"/>
              <w:jc w:val="center"/>
              <w:rPr>
                <w:rFonts w:hint="eastAsia" w:ascii="宋体" w:hAnsi="宋体" w:cs="宋体"/>
                <w:color w:val="auto"/>
                <w:szCs w:val="21"/>
                <w:highlight w:val="none"/>
              </w:rPr>
            </w:pPr>
            <w:r>
              <w:rPr>
                <w:rFonts w:hint="eastAsia" w:ascii="宋体" w:hAnsi="宋体" w:cs="宋体"/>
                <w:color w:val="auto"/>
                <w:szCs w:val="21"/>
                <w:highlight w:val="none"/>
              </w:rPr>
              <w:t>10分</w:t>
            </w:r>
          </w:p>
        </w:tc>
        <w:tc>
          <w:tcPr>
            <w:tcW w:w="5532" w:type="dxa"/>
            <w:noWrap w:val="0"/>
            <w:vAlign w:val="center"/>
          </w:tcPr>
          <w:p>
            <w:pPr>
              <w:rPr>
                <w:color w:val="auto"/>
                <w:highlight w:val="none"/>
              </w:rPr>
            </w:pPr>
            <w:r>
              <w:rPr>
                <w:rFonts w:hint="eastAsia"/>
                <w:color w:val="auto"/>
                <w:highlight w:val="none"/>
                <w:lang w:val="en-GB"/>
              </w:rPr>
              <w:t>信用等级以《公路水运工程</w:t>
            </w:r>
            <w:r>
              <w:rPr>
                <w:rFonts w:hint="eastAsia"/>
                <w:color w:val="auto"/>
                <w:highlight w:val="none"/>
                <w:lang w:val="en-US" w:eastAsia="zh-CN"/>
              </w:rPr>
              <w:t>质量</w:t>
            </w:r>
            <w:r>
              <w:rPr>
                <w:rFonts w:hint="eastAsia"/>
                <w:color w:val="auto"/>
                <w:highlight w:val="none"/>
                <w:lang w:val="en-GB"/>
              </w:rPr>
              <w:t>试验检测管理信息系统》中202</w:t>
            </w:r>
            <w:r>
              <w:rPr>
                <w:rFonts w:hint="eastAsia"/>
                <w:color w:val="auto"/>
                <w:highlight w:val="none"/>
              </w:rPr>
              <w:t>1</w:t>
            </w:r>
            <w:r>
              <w:rPr>
                <w:rFonts w:hint="eastAsia"/>
                <w:color w:val="auto"/>
                <w:highlight w:val="none"/>
                <w:lang w:val="en-GB"/>
              </w:rPr>
              <w:t>年度</w:t>
            </w:r>
            <w:r>
              <w:rPr>
                <w:rFonts w:hint="eastAsia"/>
                <w:color w:val="auto"/>
                <w:highlight w:val="none"/>
              </w:rPr>
              <w:t>的</w:t>
            </w:r>
            <w:r>
              <w:rPr>
                <w:rFonts w:hint="eastAsia"/>
                <w:color w:val="auto"/>
                <w:highlight w:val="none"/>
                <w:lang w:val="en-GB"/>
              </w:rPr>
              <w:t>信用评价为准，未被评价的投标人按</w:t>
            </w:r>
            <w:r>
              <w:rPr>
                <w:rFonts w:hint="eastAsia"/>
                <w:color w:val="auto"/>
                <w:highlight w:val="none"/>
              </w:rPr>
              <w:t>B</w:t>
            </w:r>
            <w:r>
              <w:rPr>
                <w:rFonts w:hint="eastAsia"/>
                <w:color w:val="auto"/>
                <w:highlight w:val="none"/>
                <w:lang w:val="en-GB"/>
              </w:rPr>
              <w:t>级对待</w:t>
            </w:r>
            <w:r>
              <w:rPr>
                <w:rFonts w:hint="eastAsia"/>
                <w:color w:val="auto"/>
                <w:highlight w:val="none"/>
              </w:rPr>
              <w:t>。</w:t>
            </w:r>
          </w:p>
          <w:p>
            <w:pPr>
              <w:rPr>
                <w:rFonts w:hint="eastAsia"/>
                <w:color w:val="auto"/>
                <w:highlight w:val="none"/>
                <w:lang w:val="en-GB"/>
              </w:rPr>
            </w:pPr>
            <w:r>
              <w:rPr>
                <w:rFonts w:hint="eastAsia"/>
                <w:color w:val="auto"/>
                <w:highlight w:val="none"/>
                <w:lang w:val="en-GB"/>
              </w:rPr>
              <w:t>标准如下：</w:t>
            </w:r>
          </w:p>
          <w:p>
            <w:pPr>
              <w:rPr>
                <w:rFonts w:hint="eastAsia"/>
                <w:color w:val="auto"/>
                <w:highlight w:val="none"/>
                <w:lang w:val="en-GB"/>
              </w:rPr>
            </w:pPr>
            <w:r>
              <w:rPr>
                <w:rFonts w:hint="eastAsia"/>
                <w:color w:val="auto"/>
                <w:highlight w:val="none"/>
                <w:lang w:val="en-GB"/>
              </w:rPr>
              <w:t>AA级：</w:t>
            </w:r>
            <w:r>
              <w:rPr>
                <w:rFonts w:hint="eastAsia"/>
                <w:color w:val="auto"/>
                <w:highlight w:val="none"/>
              </w:rPr>
              <w:t>10</w:t>
            </w:r>
            <w:r>
              <w:rPr>
                <w:rFonts w:hint="eastAsia"/>
                <w:color w:val="auto"/>
                <w:highlight w:val="none"/>
                <w:lang w:val="en-GB"/>
              </w:rPr>
              <w:t>分；A级：</w:t>
            </w:r>
            <w:r>
              <w:rPr>
                <w:rFonts w:hint="eastAsia"/>
                <w:color w:val="auto"/>
                <w:highlight w:val="none"/>
              </w:rPr>
              <w:t>5</w:t>
            </w:r>
            <w:r>
              <w:rPr>
                <w:rFonts w:hint="eastAsia"/>
                <w:color w:val="auto"/>
                <w:highlight w:val="none"/>
                <w:lang w:val="en-GB"/>
              </w:rPr>
              <w:t>分；B级：</w:t>
            </w:r>
            <w:r>
              <w:rPr>
                <w:rFonts w:hint="eastAsia"/>
                <w:color w:val="auto"/>
                <w:highlight w:val="none"/>
              </w:rPr>
              <w:t>0</w:t>
            </w:r>
            <w:r>
              <w:rPr>
                <w:rFonts w:hint="eastAsia"/>
                <w:color w:val="auto"/>
                <w:highlight w:val="none"/>
                <w:lang w:val="en-GB"/>
              </w:rPr>
              <w:t>分。</w:t>
            </w:r>
          </w:p>
          <w:p>
            <w:pPr>
              <w:pStyle w:val="2"/>
              <w:ind w:firstLine="460" w:firstLineChars="200"/>
              <w:rPr>
                <w:rFonts w:hint="eastAsia"/>
                <w:color w:val="auto"/>
                <w:highlight w:val="none"/>
              </w:rPr>
            </w:pPr>
            <w:r>
              <w:rPr>
                <w:rFonts w:hint="eastAsia"/>
                <w:color w:val="auto"/>
                <w:highlight w:val="none"/>
                <w:lang w:val="en-GB"/>
              </w:rPr>
              <w:t>注：提供</w:t>
            </w:r>
            <w:r>
              <w:rPr>
                <w:rFonts w:hint="eastAsia"/>
                <w:color w:val="auto"/>
                <w:highlight w:val="none"/>
              </w:rPr>
              <w:t>信用评价查询网页截图</w:t>
            </w:r>
            <w:r>
              <w:rPr>
                <w:rFonts w:hint="eastAsia"/>
                <w:color w:val="auto"/>
                <w:highlight w:val="none"/>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0169" w:type="dxa"/>
            <w:gridSpan w:val="6"/>
            <w:noWrap w:val="0"/>
            <w:vAlign w:val="center"/>
          </w:tcPr>
          <w:p>
            <w:pPr>
              <w:spacing w:line="280" w:lineRule="exact"/>
              <w:ind w:right="113"/>
              <w:rPr>
                <w:color w:val="auto"/>
                <w:highlight w:val="none"/>
              </w:rPr>
            </w:pPr>
            <w:r>
              <w:rPr>
                <w:rFonts w:hint="eastAsia"/>
                <w:color w:val="auto"/>
                <w:highlight w:val="none"/>
              </w:rPr>
              <w:t>需要补充的其他内容：</w:t>
            </w:r>
          </w:p>
          <w:p>
            <w:pPr>
              <w:widowControl/>
              <w:autoSpaceDE w:val="0"/>
              <w:autoSpaceDN w:val="0"/>
              <w:adjustRightInd w:val="0"/>
              <w:spacing w:line="380" w:lineRule="exact"/>
              <w:ind w:left="288" w:right="269" w:rightChars="128"/>
              <w:rPr>
                <w:rFonts w:hint="eastAsia"/>
                <w:color w:val="auto"/>
                <w:highlight w:val="none"/>
              </w:rPr>
            </w:pPr>
            <w:r>
              <w:rPr>
                <w:rFonts w:hint="eastAsia"/>
                <w:color w:val="auto"/>
                <w:highlight w:val="none"/>
              </w:rPr>
              <w:t>1、评标办法中3.4所涉“投标报价”为“评标价”。</w:t>
            </w:r>
          </w:p>
          <w:p>
            <w:pPr>
              <w:widowControl/>
              <w:autoSpaceDE w:val="0"/>
              <w:autoSpaceDN w:val="0"/>
              <w:adjustRightInd w:val="0"/>
              <w:spacing w:line="380" w:lineRule="exact"/>
              <w:ind w:left="288" w:right="269" w:rightChars="128"/>
              <w:rPr>
                <w:rFonts w:hint="eastAsia"/>
                <w:color w:val="auto"/>
                <w:highlight w:val="none"/>
              </w:rPr>
            </w:pPr>
            <w:r>
              <w:rPr>
                <w:rFonts w:hint="eastAsia"/>
                <w:color w:val="auto"/>
                <w:highlight w:val="none"/>
              </w:rPr>
              <w:t>2、当通过第一信封评审的投标人数少于3家时，不再进行第二信封(报价文件)的开标。</w:t>
            </w:r>
          </w:p>
          <w:p>
            <w:pPr>
              <w:widowControl/>
              <w:autoSpaceDE w:val="0"/>
              <w:autoSpaceDN w:val="0"/>
              <w:adjustRightInd w:val="0"/>
              <w:spacing w:line="380" w:lineRule="exact"/>
              <w:ind w:left="288" w:right="269" w:rightChars="128"/>
              <w:rPr>
                <w:rFonts w:hint="eastAsia"/>
                <w:color w:val="auto"/>
                <w:highlight w:val="none"/>
              </w:rPr>
            </w:pPr>
            <w:r>
              <w:rPr>
                <w:rFonts w:hint="eastAsia"/>
                <w:color w:val="auto"/>
                <w:highlight w:val="none"/>
              </w:rPr>
              <w:t>3、有缺项或存在错误的评审因素可计零分。</w:t>
            </w:r>
          </w:p>
          <w:p>
            <w:pPr>
              <w:widowControl/>
              <w:autoSpaceDE w:val="0"/>
              <w:autoSpaceDN w:val="0"/>
              <w:adjustRightInd w:val="0"/>
              <w:spacing w:line="380" w:lineRule="exact"/>
              <w:ind w:left="288" w:right="269" w:rightChars="128"/>
              <w:rPr>
                <w:rFonts w:hint="eastAsia"/>
                <w:color w:val="auto"/>
                <w:highlight w:val="none"/>
              </w:rPr>
            </w:pPr>
            <w:r>
              <w:rPr>
                <w:rFonts w:hint="eastAsia"/>
                <w:color w:val="auto"/>
                <w:highlight w:val="none"/>
              </w:rPr>
              <w:t>4、汇总评委计分是全部评委打分的算术平均分。</w:t>
            </w:r>
          </w:p>
          <w:p>
            <w:pPr>
              <w:widowControl/>
              <w:autoSpaceDE w:val="0"/>
              <w:autoSpaceDN w:val="0"/>
              <w:adjustRightInd w:val="0"/>
              <w:spacing w:line="380" w:lineRule="exact"/>
              <w:ind w:left="288" w:right="269" w:rightChars="128"/>
              <w:rPr>
                <w:rFonts w:hint="eastAsia"/>
                <w:color w:val="auto"/>
                <w:highlight w:val="none"/>
              </w:rPr>
            </w:pPr>
            <w:r>
              <w:rPr>
                <w:rFonts w:hint="eastAsia"/>
                <w:color w:val="auto"/>
                <w:highlight w:val="none"/>
              </w:rPr>
              <w:t>5、评标办法正文3.6.2增加(5)：</w:t>
            </w:r>
          </w:p>
          <w:p>
            <w:pPr>
              <w:widowControl/>
              <w:autoSpaceDE w:val="0"/>
              <w:autoSpaceDN w:val="0"/>
              <w:adjustRightInd w:val="0"/>
              <w:spacing w:line="380" w:lineRule="exact"/>
              <w:ind w:left="288" w:right="269" w:rightChars="128"/>
              <w:rPr>
                <w:rFonts w:hint="eastAsia"/>
                <w:color w:val="auto"/>
                <w:highlight w:val="none"/>
              </w:rPr>
            </w:pPr>
            <w:r>
              <w:rPr>
                <w:rFonts w:hint="eastAsia"/>
                <w:color w:val="auto"/>
                <w:highlight w:val="none"/>
              </w:rPr>
              <w:t>(5)投标人存在晋交建管发【2021】2号文规定的，否决其投标：</w:t>
            </w:r>
          </w:p>
          <w:p>
            <w:pPr>
              <w:widowControl/>
              <w:autoSpaceDE w:val="0"/>
              <w:autoSpaceDN w:val="0"/>
              <w:adjustRightInd w:val="0"/>
              <w:spacing w:line="380" w:lineRule="exact"/>
              <w:ind w:left="288" w:right="269" w:rightChars="128"/>
              <w:rPr>
                <w:rFonts w:hint="eastAsia"/>
                <w:color w:val="auto"/>
                <w:highlight w:val="none"/>
              </w:rPr>
            </w:pPr>
            <w:r>
              <w:rPr>
                <w:rFonts w:hint="eastAsia"/>
                <w:color w:val="auto"/>
                <w:highlight w:val="none"/>
              </w:rPr>
              <w:t>1）不同投标人间不得有下列情形：</w:t>
            </w:r>
          </w:p>
          <w:p>
            <w:pPr>
              <w:widowControl/>
              <w:autoSpaceDE w:val="0"/>
              <w:autoSpaceDN w:val="0"/>
              <w:adjustRightInd w:val="0"/>
              <w:spacing w:line="380" w:lineRule="exact"/>
              <w:ind w:left="288" w:right="269" w:rightChars="128"/>
              <w:rPr>
                <w:rFonts w:hint="eastAsia"/>
                <w:color w:val="auto"/>
                <w:highlight w:val="none"/>
              </w:rPr>
            </w:pPr>
            <w:r>
              <w:rPr>
                <w:rFonts w:hint="eastAsia"/>
                <w:color w:val="auto"/>
                <w:highlight w:val="none"/>
              </w:rPr>
              <w:t>a.不同投标人的投标文件由同一电子设备编制、打印加密或者上传；</w:t>
            </w:r>
          </w:p>
          <w:p>
            <w:pPr>
              <w:widowControl/>
              <w:autoSpaceDE w:val="0"/>
              <w:autoSpaceDN w:val="0"/>
              <w:adjustRightInd w:val="0"/>
              <w:spacing w:line="380" w:lineRule="exact"/>
              <w:ind w:left="288" w:right="269" w:rightChars="128"/>
              <w:rPr>
                <w:rFonts w:hint="eastAsia"/>
                <w:color w:val="auto"/>
                <w:highlight w:val="none"/>
              </w:rPr>
            </w:pPr>
            <w:r>
              <w:rPr>
                <w:rFonts w:hint="eastAsia"/>
                <w:color w:val="auto"/>
                <w:highlight w:val="none"/>
              </w:rPr>
              <w:t>b.不同投标人的投标文件的实质性内容存在两处以上细节错误一致；</w:t>
            </w:r>
          </w:p>
          <w:p>
            <w:pPr>
              <w:widowControl/>
              <w:autoSpaceDE w:val="0"/>
              <w:autoSpaceDN w:val="0"/>
              <w:adjustRightInd w:val="0"/>
              <w:spacing w:line="380" w:lineRule="exact"/>
              <w:ind w:left="288" w:right="269" w:rightChars="128"/>
              <w:rPr>
                <w:rFonts w:hint="eastAsia"/>
                <w:color w:val="auto"/>
                <w:highlight w:val="none"/>
              </w:rPr>
            </w:pPr>
            <w:r>
              <w:rPr>
                <w:rFonts w:hint="eastAsia"/>
                <w:color w:val="auto"/>
                <w:highlight w:val="none"/>
              </w:rPr>
              <w:t>c.电子投标文件记录的MAC地址、硬盘序列号等硬件信息出现任一相同情况，包含不同投标人在不同批次投标活动中信息相同情况；</w:t>
            </w:r>
          </w:p>
          <w:p>
            <w:pPr>
              <w:widowControl/>
              <w:autoSpaceDE w:val="0"/>
              <w:autoSpaceDN w:val="0"/>
              <w:adjustRightInd w:val="0"/>
              <w:spacing w:line="380" w:lineRule="exact"/>
              <w:ind w:left="288" w:right="269" w:rightChars="128"/>
              <w:rPr>
                <w:rFonts w:hint="eastAsia"/>
                <w:color w:val="auto"/>
                <w:highlight w:val="none"/>
              </w:rPr>
            </w:pPr>
            <w:r>
              <w:rPr>
                <w:rFonts w:hint="eastAsia"/>
                <w:color w:val="auto"/>
                <w:highlight w:val="none"/>
              </w:rPr>
              <w:t>d.投标文件的制作、记录上传IP地址，投标人购买招标文件IP地址等信息出现任一相同情况。</w:t>
            </w:r>
          </w:p>
          <w:p>
            <w:pPr>
              <w:widowControl/>
              <w:autoSpaceDE w:val="0"/>
              <w:autoSpaceDN w:val="0"/>
              <w:adjustRightInd w:val="0"/>
              <w:spacing w:line="380" w:lineRule="exact"/>
              <w:ind w:left="288" w:right="269" w:rightChars="128"/>
              <w:rPr>
                <w:rFonts w:hint="eastAsia"/>
                <w:color w:val="auto"/>
                <w:highlight w:val="none"/>
              </w:rPr>
            </w:pPr>
            <w:r>
              <w:rPr>
                <w:rFonts w:hint="eastAsia"/>
                <w:color w:val="auto"/>
                <w:highlight w:val="none"/>
              </w:rPr>
              <w:t>2）发现1）所列情形的，评标委员会应当否决相应投标文件并详细记录至评标报告。因此导致有效投标不足3个使得投标明显缺乏竞争的，可以否决全部投标；未否决全部投标的，评标委员会应当在评标报告中阐明理由并推荐中标候选人。</w:t>
            </w:r>
          </w:p>
          <w:p>
            <w:pPr>
              <w:widowControl/>
              <w:autoSpaceDE w:val="0"/>
              <w:autoSpaceDN w:val="0"/>
              <w:adjustRightInd w:val="0"/>
              <w:spacing w:line="380" w:lineRule="exact"/>
              <w:ind w:left="288" w:right="269" w:rightChars="128"/>
              <w:rPr>
                <w:rFonts w:hint="eastAsia"/>
                <w:color w:val="auto"/>
                <w:highlight w:val="none"/>
              </w:rPr>
            </w:pPr>
            <w:r>
              <w:rPr>
                <w:rFonts w:hint="eastAsia"/>
                <w:color w:val="auto"/>
                <w:highlight w:val="none"/>
              </w:rPr>
              <w:t>3）发现1）所列情形的，招标人在评标结束后，应就相关投标人是否涉嫌围标串标行为进行调查取证，形成明确认定意见，逐级备案至交通运输主管部门。</w:t>
            </w:r>
          </w:p>
          <w:p>
            <w:pPr>
              <w:widowControl/>
              <w:autoSpaceDE w:val="0"/>
              <w:autoSpaceDN w:val="0"/>
              <w:adjustRightInd w:val="0"/>
              <w:spacing w:line="380" w:lineRule="exact"/>
              <w:ind w:left="288" w:right="269" w:rightChars="128"/>
              <w:rPr>
                <w:rFonts w:ascii="宋体"/>
                <w:color w:val="auto"/>
                <w:highlight w:val="none"/>
              </w:rPr>
            </w:pPr>
            <w:r>
              <w:rPr>
                <w:rFonts w:hint="eastAsia"/>
                <w:color w:val="auto"/>
                <w:highlight w:val="none"/>
              </w:rPr>
              <w:t>6、</w:t>
            </w:r>
            <w:r>
              <w:rPr>
                <w:color w:val="auto"/>
                <w:highlight w:val="none"/>
              </w:rPr>
              <w:t>3.</w:t>
            </w:r>
            <w:r>
              <w:rPr>
                <w:rFonts w:hint="eastAsia"/>
                <w:color w:val="auto"/>
                <w:highlight w:val="none"/>
              </w:rPr>
              <w:t>9</w:t>
            </w:r>
            <w:r>
              <w:rPr>
                <w:color w:val="auto"/>
                <w:highlight w:val="none"/>
              </w:rPr>
              <w:t>.1</w:t>
            </w:r>
            <w:r>
              <w:rPr>
                <w:rFonts w:hint="eastAsia"/>
                <w:color w:val="auto"/>
                <w:highlight w:val="none"/>
              </w:rPr>
              <w:t>款补充：评标委员会按综合得分由高到低的顺序，向招标人推荐</w:t>
            </w:r>
            <w:r>
              <w:rPr>
                <w:color w:val="auto"/>
                <w:highlight w:val="none"/>
              </w:rPr>
              <w:t>1</w:t>
            </w:r>
            <w:r>
              <w:rPr>
                <w:rFonts w:hint="eastAsia"/>
                <w:color w:val="auto"/>
                <w:highlight w:val="none"/>
              </w:rPr>
              <w:t>名中标候选人</w:t>
            </w:r>
            <w:r>
              <w:rPr>
                <w:rFonts w:hint="eastAsia" w:ascii="宋体" w:hAnsi="宋体"/>
                <w:color w:val="auto"/>
                <w:highlight w:val="none"/>
              </w:rPr>
              <w:t>。</w:t>
            </w:r>
          </w:p>
        </w:tc>
      </w:tr>
    </w:tbl>
    <w:p>
      <w:pPr>
        <w:pStyle w:val="2"/>
        <w:rPr>
          <w:rFonts w:ascii="宋体" w:cs="宋体"/>
          <w:b/>
          <w:color w:val="auto"/>
          <w:sz w:val="21"/>
          <w:szCs w:val="21"/>
          <w:highlight w:val="none"/>
        </w:rPr>
      </w:pPr>
      <w:r>
        <w:rPr>
          <w:rFonts w:ascii="宋体" w:cs="宋体"/>
          <w:b/>
          <w:color w:val="auto"/>
          <w:kern w:val="44"/>
          <w:sz w:val="24"/>
          <w:highlight w:val="none"/>
        </w:rPr>
        <w:br w:type="page"/>
      </w:r>
      <w:r>
        <w:rPr>
          <w:rFonts w:ascii="宋体" w:hAnsi="宋体" w:cs="宋体"/>
          <w:b/>
          <w:color w:val="auto"/>
          <w:spacing w:val="5"/>
          <w:kern w:val="0"/>
          <w:sz w:val="21"/>
          <w:szCs w:val="21"/>
          <w:highlight w:val="none"/>
        </w:rPr>
        <w:t xml:space="preserve">1. </w:t>
      </w:r>
      <w:r>
        <w:rPr>
          <w:rFonts w:hint="eastAsia" w:ascii="宋体" w:hAnsi="宋体" w:cs="宋体"/>
          <w:b/>
          <w:color w:val="auto"/>
          <w:spacing w:val="-4"/>
          <w:kern w:val="0"/>
          <w:sz w:val="21"/>
          <w:szCs w:val="21"/>
          <w:highlight w:val="none"/>
        </w:rPr>
        <w:t>评标方法</w:t>
      </w:r>
    </w:p>
    <w:p>
      <w:pPr>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numPr>
          <w:ilvl w:val="0"/>
          <w:numId w:val="1"/>
        </w:numPr>
        <w:spacing w:line="400" w:lineRule="exact"/>
        <w:ind w:right="1316"/>
        <w:jc w:val="left"/>
        <w:rPr>
          <w:rFonts w:ascii="宋体" w:cs="宋体"/>
          <w:b/>
          <w:color w:val="auto"/>
          <w:sz w:val="21"/>
          <w:szCs w:val="21"/>
          <w:highlight w:val="none"/>
        </w:rPr>
      </w:pPr>
      <w:r>
        <w:rPr>
          <w:rFonts w:hint="eastAsia" w:ascii="宋体" w:hAnsi="宋体" w:cs="宋体"/>
          <w:b/>
          <w:color w:val="auto"/>
          <w:spacing w:val="-9"/>
          <w:kern w:val="0"/>
          <w:sz w:val="21"/>
          <w:szCs w:val="21"/>
          <w:highlight w:val="none"/>
        </w:rPr>
        <w:t>评审标准</w:t>
      </w:r>
    </w:p>
    <w:p>
      <w:pPr>
        <w:spacing w:line="400" w:lineRule="exact"/>
        <w:ind w:left="153" w:right="1315"/>
        <w:jc w:val="left"/>
        <w:rPr>
          <w:rFonts w:ascii="宋体" w:cs="宋体"/>
          <w:b/>
          <w:color w:val="auto"/>
          <w:kern w:val="0"/>
          <w:sz w:val="21"/>
          <w:szCs w:val="21"/>
          <w:highlight w:val="none"/>
        </w:rPr>
      </w:pPr>
      <w:r>
        <w:rPr>
          <w:rFonts w:ascii="宋体" w:hAnsi="宋体" w:cs="宋体"/>
          <w:b/>
          <w:color w:val="auto"/>
          <w:kern w:val="0"/>
          <w:sz w:val="21"/>
          <w:szCs w:val="21"/>
          <w:highlight w:val="none"/>
        </w:rPr>
        <w:t xml:space="preserve">2.1 </w:t>
      </w:r>
      <w:r>
        <w:rPr>
          <w:rFonts w:hint="eastAsia" w:ascii="宋体" w:hAnsi="宋体" w:cs="宋体"/>
          <w:b/>
          <w:color w:val="auto"/>
          <w:kern w:val="0"/>
          <w:sz w:val="21"/>
          <w:szCs w:val="21"/>
          <w:highlight w:val="none"/>
        </w:rPr>
        <w:t>初步评审标准</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2.1.1 </w:t>
      </w:r>
      <w:r>
        <w:rPr>
          <w:rFonts w:hint="eastAsia" w:ascii="宋体" w:hAnsi="宋体" w:cs="宋体"/>
          <w:color w:val="auto"/>
          <w:sz w:val="21"/>
          <w:szCs w:val="21"/>
          <w:highlight w:val="none"/>
        </w:rPr>
        <w:t>形式评审标准：见评标办法前附表</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2.1.2 </w:t>
      </w:r>
      <w:r>
        <w:rPr>
          <w:rFonts w:hint="eastAsia" w:ascii="宋体" w:hAnsi="宋体" w:cs="宋体"/>
          <w:color w:val="auto"/>
          <w:sz w:val="21"/>
          <w:szCs w:val="21"/>
          <w:highlight w:val="none"/>
        </w:rPr>
        <w:t>资格评审标</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：见评标办法前附表（适用于未进行资格预审的）。</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2.1.2 </w:t>
      </w:r>
      <w:r>
        <w:rPr>
          <w:rFonts w:hint="eastAsia" w:ascii="宋体" w:hAnsi="宋体" w:cs="宋体"/>
          <w:color w:val="auto"/>
          <w:sz w:val="21"/>
          <w:szCs w:val="21"/>
          <w:highlight w:val="none"/>
        </w:rPr>
        <w:t>资格评审标准：见资格预审文件第三章“资格审查办法</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”详细审查标准（适用于己进行资格预审的）。</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2.1.3 </w:t>
      </w:r>
      <w:r>
        <w:rPr>
          <w:rFonts w:hint="eastAsia" w:ascii="宋体" w:hAnsi="宋体" w:cs="宋体"/>
          <w:color w:val="auto"/>
          <w:sz w:val="21"/>
          <w:szCs w:val="21"/>
          <w:highlight w:val="none"/>
        </w:rPr>
        <w:t>响应性评审标准：见评标办法前附表</w:t>
      </w:r>
    </w:p>
    <w:p>
      <w:pPr>
        <w:spacing w:line="400" w:lineRule="exact"/>
        <w:ind w:left="151" w:right="1316"/>
        <w:jc w:val="left"/>
        <w:rPr>
          <w:rFonts w:ascii="宋体" w:cs="宋体"/>
          <w:b/>
          <w:color w:val="auto"/>
          <w:sz w:val="21"/>
          <w:szCs w:val="21"/>
          <w:highlight w:val="none"/>
        </w:rPr>
      </w:pPr>
      <w:r>
        <w:rPr>
          <w:rFonts w:ascii="宋体" w:hAnsi="宋体" w:cs="宋体"/>
          <w:b/>
          <w:color w:val="auto"/>
          <w:spacing w:val="6"/>
          <w:kern w:val="0"/>
          <w:sz w:val="21"/>
          <w:szCs w:val="21"/>
          <w:highlight w:val="none"/>
        </w:rPr>
        <w:t>2.</w:t>
      </w:r>
      <w:r>
        <w:rPr>
          <w:rFonts w:ascii="宋体" w:hAnsi="宋体" w:cs="宋体"/>
          <w:b/>
          <w:color w:val="auto"/>
          <w:kern w:val="0"/>
          <w:sz w:val="21"/>
          <w:szCs w:val="21"/>
          <w:highlight w:val="none"/>
        </w:rPr>
        <w:t>2</w:t>
      </w:r>
      <w:r>
        <w:rPr>
          <w:rFonts w:ascii="宋体" w:hAnsi="宋体" w:cs="宋体"/>
          <w:b/>
          <w:color w:val="auto"/>
          <w:spacing w:val="15"/>
          <w:kern w:val="0"/>
          <w:sz w:val="21"/>
          <w:szCs w:val="21"/>
          <w:highlight w:val="none"/>
        </w:rPr>
        <w:t xml:space="preserve"> </w:t>
      </w:r>
      <w:r>
        <w:rPr>
          <w:rFonts w:hint="eastAsia" w:ascii="宋体" w:hAnsi="宋体" w:cs="宋体"/>
          <w:b/>
          <w:color w:val="auto"/>
          <w:kern w:val="0"/>
          <w:sz w:val="21"/>
          <w:szCs w:val="21"/>
          <w:highlight w:val="none"/>
        </w:rPr>
        <w:t>分值构成与评分标准</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2.2.1 </w:t>
      </w:r>
      <w:r>
        <w:rPr>
          <w:rFonts w:hint="eastAsia" w:ascii="宋体" w:hAnsi="宋体" w:cs="宋体"/>
          <w:color w:val="auto"/>
          <w:sz w:val="21"/>
          <w:szCs w:val="21"/>
          <w:highlight w:val="none"/>
        </w:rPr>
        <w:t>分值构成</w:t>
      </w:r>
    </w:p>
    <w:p>
      <w:pPr>
        <w:spacing w:line="40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w:t>
      </w:r>
      <w:r>
        <w:rPr>
          <w:rFonts w:hint="eastAsia" w:ascii="宋体" w:hAnsi="宋体" w:cs="宋体"/>
          <w:color w:val="auto"/>
          <w:sz w:val="21"/>
          <w:szCs w:val="21"/>
          <w:highlight w:val="none"/>
        </w:rPr>
        <w:t>）技术服务方案：见评标办法前附表；</w:t>
      </w:r>
    </w:p>
    <w:p>
      <w:pPr>
        <w:spacing w:line="40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）业绩：见评标办法前附表；</w:t>
      </w:r>
    </w:p>
    <w:p>
      <w:pPr>
        <w:spacing w:line="40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3</w:t>
      </w:r>
      <w:r>
        <w:rPr>
          <w:rFonts w:hint="eastAsia" w:ascii="宋体" w:hAnsi="宋体" w:cs="宋体"/>
          <w:color w:val="auto"/>
          <w:sz w:val="21"/>
          <w:szCs w:val="21"/>
          <w:highlight w:val="none"/>
        </w:rPr>
        <w:t>）评标价：见评标办法前附表；</w:t>
      </w:r>
    </w:p>
    <w:p>
      <w:pPr>
        <w:spacing w:line="40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4</w:t>
      </w:r>
      <w:r>
        <w:rPr>
          <w:rFonts w:hint="eastAsia" w:ascii="宋体" w:hAnsi="宋体" w:cs="宋体"/>
          <w:color w:val="auto"/>
          <w:sz w:val="21"/>
          <w:szCs w:val="21"/>
          <w:highlight w:val="none"/>
        </w:rPr>
        <w:t>）其他评分因素：见评标办法前附表。</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2.2.2 </w:t>
      </w:r>
      <w:r>
        <w:rPr>
          <w:rFonts w:hint="eastAsia" w:ascii="宋体" w:hAnsi="宋体" w:cs="宋体"/>
          <w:color w:val="auto"/>
          <w:sz w:val="21"/>
          <w:szCs w:val="21"/>
          <w:highlight w:val="none"/>
        </w:rPr>
        <w:t>评标基准价计算</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2.2.3 </w:t>
      </w:r>
      <w:r>
        <w:rPr>
          <w:rFonts w:hint="eastAsia" w:ascii="宋体" w:hAnsi="宋体" w:cs="宋体"/>
          <w:color w:val="auto"/>
          <w:sz w:val="21"/>
          <w:szCs w:val="21"/>
          <w:highlight w:val="none"/>
        </w:rPr>
        <w:t>评标价的偏差率计算</w:t>
      </w:r>
    </w:p>
    <w:p>
      <w:pPr>
        <w:spacing w:line="40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评标价的偏差率算公式：见评标办法前附表。</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2.2.4 </w:t>
      </w:r>
      <w:r>
        <w:rPr>
          <w:rFonts w:hint="eastAsia" w:ascii="宋体" w:hAnsi="宋体" w:cs="宋体"/>
          <w:color w:val="auto"/>
          <w:sz w:val="21"/>
          <w:szCs w:val="21"/>
          <w:highlight w:val="none"/>
        </w:rPr>
        <w:t>评分标准</w:t>
      </w:r>
    </w:p>
    <w:p>
      <w:pPr>
        <w:spacing w:line="40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w:t>
      </w:r>
      <w:r>
        <w:rPr>
          <w:rFonts w:hint="eastAsia" w:ascii="宋体" w:hAnsi="宋体" w:cs="宋体"/>
          <w:color w:val="auto"/>
          <w:sz w:val="21"/>
          <w:szCs w:val="21"/>
          <w:highlight w:val="none"/>
        </w:rPr>
        <w:t>）技术服务方案评分标准：见评标办法前附表；</w:t>
      </w:r>
    </w:p>
    <w:p>
      <w:pPr>
        <w:spacing w:line="40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2</w:t>
      </w:r>
      <w:r>
        <w:rPr>
          <w:rFonts w:hint="eastAsia" w:ascii="宋体" w:hAnsi="宋体" w:cs="宋体"/>
          <w:color w:val="auto"/>
          <w:sz w:val="21"/>
          <w:szCs w:val="21"/>
          <w:highlight w:val="none"/>
        </w:rPr>
        <w:t>）业绩评分标准：见评标办法前附表；</w:t>
      </w:r>
    </w:p>
    <w:p>
      <w:pPr>
        <w:spacing w:line="40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3</w:t>
      </w:r>
      <w:r>
        <w:rPr>
          <w:rFonts w:hint="eastAsia" w:ascii="宋体" w:hAnsi="宋体" w:cs="宋体"/>
          <w:color w:val="auto"/>
          <w:sz w:val="21"/>
          <w:szCs w:val="21"/>
          <w:highlight w:val="none"/>
        </w:rPr>
        <w:t>）评标价评分标准：见评标办法前附表；</w:t>
      </w:r>
    </w:p>
    <w:p>
      <w:pPr>
        <w:spacing w:line="40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4</w:t>
      </w:r>
      <w:r>
        <w:rPr>
          <w:rFonts w:hint="eastAsia" w:ascii="宋体" w:hAnsi="宋体" w:cs="宋体"/>
          <w:color w:val="auto"/>
          <w:sz w:val="21"/>
          <w:szCs w:val="21"/>
          <w:highlight w:val="none"/>
        </w:rPr>
        <w:t>）其他因素评分标准：见评标办法前附表。</w:t>
      </w:r>
    </w:p>
    <w:p>
      <w:pPr>
        <w:spacing w:before="16" w:line="400" w:lineRule="exact"/>
        <w:rPr>
          <w:rFonts w:ascii="宋体" w:cs="宋体"/>
          <w:b/>
          <w:color w:val="auto"/>
          <w:sz w:val="21"/>
          <w:szCs w:val="21"/>
          <w:highlight w:val="none"/>
        </w:rPr>
      </w:pPr>
      <w:r>
        <w:rPr>
          <w:rFonts w:ascii="宋体" w:hAnsi="宋体" w:cs="宋体"/>
          <w:b/>
          <w:color w:val="auto"/>
          <w:kern w:val="0"/>
          <w:sz w:val="21"/>
          <w:szCs w:val="21"/>
          <w:highlight w:val="none"/>
        </w:rPr>
        <w:t xml:space="preserve">3. </w:t>
      </w:r>
      <w:r>
        <w:rPr>
          <w:rFonts w:hint="eastAsia" w:ascii="宋体" w:hAnsi="宋体" w:cs="宋体"/>
          <w:b/>
          <w:color w:val="auto"/>
          <w:spacing w:val="-4"/>
          <w:kern w:val="0"/>
          <w:sz w:val="21"/>
          <w:szCs w:val="21"/>
          <w:highlight w:val="none"/>
        </w:rPr>
        <w:t>评标程序</w:t>
      </w:r>
    </w:p>
    <w:p>
      <w:pPr>
        <w:spacing w:line="400" w:lineRule="exact"/>
        <w:ind w:left="153"/>
        <w:rPr>
          <w:rFonts w:ascii="宋体" w:cs="宋体"/>
          <w:b/>
          <w:color w:val="auto"/>
          <w:sz w:val="21"/>
          <w:szCs w:val="21"/>
          <w:highlight w:val="none"/>
        </w:rPr>
      </w:pPr>
      <w:r>
        <w:rPr>
          <w:rFonts w:ascii="宋体" w:hAnsi="宋体" w:cs="宋体"/>
          <w:b/>
          <w:color w:val="auto"/>
          <w:spacing w:val="6"/>
          <w:kern w:val="0"/>
          <w:sz w:val="21"/>
          <w:szCs w:val="21"/>
          <w:highlight w:val="none"/>
        </w:rPr>
        <w:t>3.</w:t>
      </w:r>
      <w:r>
        <w:rPr>
          <w:rFonts w:ascii="宋体" w:hAnsi="宋体" w:cs="宋体"/>
          <w:b/>
          <w:color w:val="auto"/>
          <w:kern w:val="0"/>
          <w:sz w:val="21"/>
          <w:szCs w:val="21"/>
          <w:highlight w:val="none"/>
        </w:rPr>
        <w:t xml:space="preserve">1 </w:t>
      </w:r>
      <w:r>
        <w:rPr>
          <w:rFonts w:hint="eastAsia" w:ascii="宋体" w:hAnsi="宋体" w:cs="宋体"/>
          <w:b/>
          <w:color w:val="auto"/>
          <w:kern w:val="0"/>
          <w:sz w:val="21"/>
          <w:szCs w:val="21"/>
          <w:highlight w:val="none"/>
        </w:rPr>
        <w:t>第一个信封初步评审</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3.1.1 </w:t>
      </w:r>
      <w:r>
        <w:rPr>
          <w:rFonts w:hint="eastAsia" w:ascii="宋体" w:hAnsi="宋体" w:cs="宋体"/>
          <w:color w:val="auto"/>
          <w:sz w:val="21"/>
          <w:szCs w:val="21"/>
          <w:highlight w:val="none"/>
        </w:rPr>
        <w:t>评标委员会可以要求投标人提交第二章“投标人须知”第</w:t>
      </w:r>
      <w:r>
        <w:rPr>
          <w:rFonts w:ascii="宋体" w:hAnsi="宋体" w:cs="宋体"/>
          <w:color w:val="auto"/>
          <w:sz w:val="21"/>
          <w:szCs w:val="21"/>
          <w:highlight w:val="none"/>
        </w:rPr>
        <w:t>3.5.1</w:t>
      </w:r>
      <w:r>
        <w:rPr>
          <w:rFonts w:hint="eastAsia" w:ascii="宋体" w:hAnsi="宋体" w:cs="宋体"/>
          <w:color w:val="auto"/>
          <w:sz w:val="21"/>
          <w:szCs w:val="21"/>
          <w:highlight w:val="none"/>
        </w:rPr>
        <w:t>项至第</w:t>
      </w:r>
      <w:r>
        <w:rPr>
          <w:rFonts w:ascii="宋体" w:hAnsi="宋体" w:cs="宋体"/>
          <w:color w:val="auto"/>
          <w:sz w:val="21"/>
          <w:szCs w:val="21"/>
          <w:highlight w:val="none"/>
        </w:rPr>
        <w:t>3.5.5</w:t>
      </w:r>
      <w:r>
        <w:rPr>
          <w:rFonts w:hint="eastAsia" w:ascii="宋体" w:hAnsi="宋体" w:cs="宋体"/>
          <w:color w:val="auto"/>
          <w:sz w:val="21"/>
          <w:szCs w:val="21"/>
          <w:highlight w:val="none"/>
        </w:rPr>
        <w:t>项规定的有关证明和证件的原件，以便核验。评标委员会依据本章第</w:t>
      </w:r>
      <w:r>
        <w:rPr>
          <w:rFonts w:ascii="宋体" w:hAnsi="宋体" w:cs="宋体"/>
          <w:color w:val="auto"/>
          <w:sz w:val="21"/>
          <w:szCs w:val="21"/>
          <w:highlight w:val="none"/>
        </w:rPr>
        <w:t>2.1</w:t>
      </w:r>
      <w:r>
        <w:rPr>
          <w:rFonts w:hint="eastAsia" w:ascii="宋体" w:hAnsi="宋体" w:cs="宋体"/>
          <w:color w:val="auto"/>
          <w:sz w:val="21"/>
          <w:szCs w:val="21"/>
          <w:highlight w:val="none"/>
        </w:rPr>
        <w:t>款规定的标准对投标文件第一个信封（商务及技术文件）进行初步评审。有一项不符合评审标准的，评标委员会应否决其投标。</w:t>
      </w:r>
    </w:p>
    <w:p>
      <w:pPr>
        <w:spacing w:line="400" w:lineRule="exact"/>
        <w:ind w:left="153"/>
        <w:rPr>
          <w:rFonts w:ascii="宋体" w:cs="宋体"/>
          <w:b/>
          <w:color w:val="auto"/>
          <w:spacing w:val="6"/>
          <w:kern w:val="0"/>
          <w:sz w:val="21"/>
          <w:szCs w:val="21"/>
          <w:highlight w:val="none"/>
        </w:rPr>
      </w:pPr>
      <w:r>
        <w:rPr>
          <w:rFonts w:ascii="宋体" w:hAnsi="宋体" w:cs="宋体"/>
          <w:b/>
          <w:color w:val="auto"/>
          <w:spacing w:val="6"/>
          <w:kern w:val="0"/>
          <w:sz w:val="21"/>
          <w:szCs w:val="21"/>
          <w:highlight w:val="none"/>
        </w:rPr>
        <w:t xml:space="preserve">3.2 </w:t>
      </w:r>
      <w:r>
        <w:rPr>
          <w:rFonts w:hint="eastAsia" w:ascii="宋体" w:hAnsi="宋体" w:cs="宋体"/>
          <w:b/>
          <w:color w:val="auto"/>
          <w:spacing w:val="6"/>
          <w:kern w:val="0"/>
          <w:sz w:val="21"/>
          <w:szCs w:val="21"/>
          <w:highlight w:val="none"/>
        </w:rPr>
        <w:t>第一个信封详细评审</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3.2.1 </w:t>
      </w:r>
      <w:r>
        <w:rPr>
          <w:rFonts w:hint="eastAsia" w:ascii="宋体" w:hAnsi="宋体" w:cs="宋体"/>
          <w:color w:val="auto"/>
          <w:sz w:val="21"/>
          <w:szCs w:val="21"/>
          <w:highlight w:val="none"/>
        </w:rPr>
        <w:t>评标委员会按本章第</w:t>
      </w:r>
      <w:r>
        <w:rPr>
          <w:rFonts w:ascii="宋体" w:hAnsi="宋体" w:cs="宋体"/>
          <w:color w:val="auto"/>
          <w:sz w:val="21"/>
          <w:szCs w:val="21"/>
          <w:highlight w:val="none"/>
        </w:rPr>
        <w:t>2.2</w:t>
      </w:r>
      <w:r>
        <w:rPr>
          <w:rFonts w:hint="eastAsia" w:ascii="宋体" w:hAnsi="宋体" w:cs="宋体"/>
          <w:color w:val="auto"/>
          <w:sz w:val="21"/>
          <w:szCs w:val="21"/>
          <w:highlight w:val="none"/>
        </w:rPr>
        <w:t>款规定的量化因素和分值进行打分，并计算出各投标人的商务和技术得分。</w:t>
      </w:r>
    </w:p>
    <w:p>
      <w:pPr>
        <w:spacing w:line="40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l</w:t>
      </w:r>
      <w:r>
        <w:rPr>
          <w:rFonts w:hint="eastAsia" w:ascii="宋体" w:hAnsi="宋体" w:cs="宋体"/>
          <w:color w:val="auto"/>
          <w:sz w:val="21"/>
          <w:szCs w:val="21"/>
          <w:highlight w:val="none"/>
        </w:rPr>
        <w:t>）按本章第</w:t>
      </w:r>
      <w:r>
        <w:rPr>
          <w:rFonts w:ascii="宋体" w:hAnsi="宋体" w:cs="宋体"/>
          <w:color w:val="auto"/>
          <w:sz w:val="21"/>
          <w:szCs w:val="21"/>
          <w:highlight w:val="none"/>
        </w:rPr>
        <w:t>2.2.4</w:t>
      </w:r>
      <w:r>
        <w:rPr>
          <w:rFonts w:hint="eastAsia" w:ascii="宋体" w:hAnsi="宋体" w:cs="宋体"/>
          <w:color w:val="auto"/>
          <w:sz w:val="21"/>
          <w:szCs w:val="21"/>
          <w:highlight w:val="none"/>
        </w:rPr>
        <w:t>项（</w:t>
      </w:r>
      <w:r>
        <w:rPr>
          <w:rFonts w:ascii="宋体" w:hAnsi="宋体" w:cs="宋体"/>
          <w:color w:val="auto"/>
          <w:sz w:val="21"/>
          <w:szCs w:val="21"/>
          <w:highlight w:val="none"/>
        </w:rPr>
        <w:t>l</w:t>
      </w:r>
      <w:r>
        <w:rPr>
          <w:rFonts w:hint="eastAsia" w:ascii="宋体" w:hAnsi="宋体" w:cs="宋体"/>
          <w:color w:val="auto"/>
          <w:sz w:val="21"/>
          <w:szCs w:val="21"/>
          <w:highlight w:val="none"/>
        </w:rPr>
        <w:t>）目规定的评审因素和分值对技术服务方案部分计算出得分</w:t>
      </w:r>
      <w:r>
        <w:rPr>
          <w:rFonts w:ascii="宋体" w:hAnsi="宋体" w:cs="宋体"/>
          <w:color w:val="auto"/>
          <w:sz w:val="21"/>
          <w:szCs w:val="21"/>
          <w:highlight w:val="none"/>
        </w:rPr>
        <w:t>A;</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）按本章第</w:t>
      </w:r>
      <w:r>
        <w:rPr>
          <w:rFonts w:ascii="宋体" w:hAnsi="宋体" w:cs="宋体"/>
          <w:color w:val="auto"/>
          <w:sz w:val="21"/>
          <w:szCs w:val="21"/>
          <w:highlight w:val="none"/>
        </w:rPr>
        <w:t>2.2.4</w:t>
      </w:r>
      <w:r>
        <w:rPr>
          <w:rFonts w:hint="eastAsia" w:ascii="宋体" w:hAnsi="宋体" w:cs="宋体"/>
          <w:color w:val="auto"/>
          <w:sz w:val="21"/>
          <w:szCs w:val="21"/>
          <w:highlight w:val="none"/>
        </w:rPr>
        <w:t>项（</w:t>
      </w:r>
      <w:r>
        <w:rPr>
          <w:rFonts w:ascii="宋体" w:hAnsi="宋体" w:cs="宋体"/>
          <w:color w:val="auto"/>
          <w:sz w:val="21"/>
          <w:szCs w:val="21"/>
          <w:highlight w:val="none"/>
        </w:rPr>
        <w:t>2</w:t>
      </w:r>
      <w:r>
        <w:rPr>
          <w:rFonts w:hint="eastAsia" w:ascii="宋体" w:hAnsi="宋体" w:cs="宋体"/>
          <w:color w:val="auto"/>
          <w:sz w:val="21"/>
          <w:szCs w:val="21"/>
          <w:highlight w:val="none"/>
        </w:rPr>
        <w:t>）目规定的评审因素和分值对业绩部分计算出得分</w:t>
      </w:r>
      <w:r>
        <w:rPr>
          <w:rFonts w:ascii="宋体" w:hAnsi="宋体" w:cs="宋体"/>
          <w:color w:val="auto"/>
          <w:sz w:val="21"/>
          <w:szCs w:val="21"/>
          <w:highlight w:val="none"/>
        </w:rPr>
        <w:t>B;</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）按本章第</w:t>
      </w:r>
      <w:r>
        <w:rPr>
          <w:rFonts w:ascii="宋体" w:hAnsi="宋体" w:cs="宋体"/>
          <w:color w:val="auto"/>
          <w:sz w:val="21"/>
          <w:szCs w:val="21"/>
          <w:highlight w:val="none"/>
        </w:rPr>
        <w:t>2.2.4</w:t>
      </w:r>
      <w:r>
        <w:rPr>
          <w:rFonts w:hint="eastAsia" w:ascii="宋体" w:hAnsi="宋体" w:cs="宋体"/>
          <w:color w:val="auto"/>
          <w:sz w:val="21"/>
          <w:szCs w:val="21"/>
          <w:highlight w:val="none"/>
        </w:rPr>
        <w:t>项（</w:t>
      </w:r>
      <w:r>
        <w:rPr>
          <w:rFonts w:ascii="宋体" w:hAnsi="宋体" w:cs="宋体"/>
          <w:color w:val="auto"/>
          <w:sz w:val="21"/>
          <w:szCs w:val="21"/>
          <w:highlight w:val="none"/>
        </w:rPr>
        <w:t>3</w:t>
      </w:r>
      <w:r>
        <w:rPr>
          <w:rFonts w:hint="eastAsia" w:ascii="宋体" w:hAnsi="宋体" w:cs="宋体"/>
          <w:color w:val="auto"/>
          <w:sz w:val="21"/>
          <w:szCs w:val="21"/>
          <w:highlight w:val="none"/>
        </w:rPr>
        <w:t>）目规定的评审因素和分值对其他部分计算出得分</w:t>
      </w:r>
      <w:r>
        <w:rPr>
          <w:rFonts w:ascii="宋体" w:hAnsi="宋体" w:cs="宋体"/>
          <w:color w:val="auto"/>
          <w:sz w:val="21"/>
          <w:szCs w:val="21"/>
          <w:highlight w:val="none"/>
        </w:rPr>
        <w:t>D</w:t>
      </w:r>
      <w:r>
        <w:rPr>
          <w:rFonts w:hint="eastAsia" w:ascii="宋体" w:hAnsi="宋体" w:cs="宋体"/>
          <w:color w:val="auto"/>
          <w:sz w:val="21"/>
          <w:szCs w:val="21"/>
          <w:highlight w:val="none"/>
        </w:rPr>
        <w:t>。</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3.2.2 </w:t>
      </w:r>
      <w:r>
        <w:rPr>
          <w:rFonts w:hint="eastAsia" w:ascii="宋体" w:hAnsi="宋体" w:cs="宋体"/>
          <w:color w:val="auto"/>
          <w:sz w:val="21"/>
          <w:szCs w:val="21"/>
          <w:highlight w:val="none"/>
        </w:rPr>
        <w:t>投标人的商务和技术得分分值计算保留小数点后两位，小数点后第三位“四舍五入”。</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3.2.3 </w:t>
      </w:r>
      <w:r>
        <w:rPr>
          <w:rFonts w:hint="eastAsia" w:ascii="宋体" w:hAnsi="宋体" w:cs="宋体"/>
          <w:color w:val="auto"/>
          <w:sz w:val="21"/>
          <w:szCs w:val="21"/>
          <w:highlight w:val="none"/>
        </w:rPr>
        <w:t>投标人的商务和技术得分</w:t>
      </w:r>
      <w:r>
        <w:rPr>
          <w:rFonts w:ascii="宋体" w:hAnsi="宋体" w:cs="宋体"/>
          <w:color w:val="auto"/>
          <w:sz w:val="21"/>
          <w:szCs w:val="21"/>
          <w:highlight w:val="none"/>
        </w:rPr>
        <w:t>A+B+D</w:t>
      </w:r>
      <w:r>
        <w:rPr>
          <w:rFonts w:hint="eastAsia" w:ascii="宋体" w:hAnsi="宋体" w:cs="宋体"/>
          <w:color w:val="auto"/>
          <w:sz w:val="21"/>
          <w:szCs w:val="21"/>
          <w:highlight w:val="none"/>
        </w:rPr>
        <w:t>。</w:t>
      </w:r>
    </w:p>
    <w:p>
      <w:pPr>
        <w:spacing w:line="400" w:lineRule="exact"/>
        <w:ind w:left="153"/>
        <w:rPr>
          <w:rFonts w:ascii="宋体" w:cs="宋体"/>
          <w:b/>
          <w:color w:val="auto"/>
          <w:spacing w:val="6"/>
          <w:kern w:val="0"/>
          <w:sz w:val="21"/>
          <w:szCs w:val="21"/>
          <w:highlight w:val="none"/>
        </w:rPr>
      </w:pPr>
      <w:r>
        <w:rPr>
          <w:rFonts w:ascii="宋体" w:hAnsi="宋体" w:cs="宋体"/>
          <w:b/>
          <w:color w:val="auto"/>
          <w:spacing w:val="6"/>
          <w:kern w:val="0"/>
          <w:sz w:val="21"/>
          <w:szCs w:val="21"/>
          <w:highlight w:val="none"/>
        </w:rPr>
        <w:t xml:space="preserve">3.3 </w:t>
      </w:r>
      <w:r>
        <w:rPr>
          <w:rFonts w:hint="eastAsia" w:ascii="宋体" w:hAnsi="宋体" w:cs="宋体"/>
          <w:b/>
          <w:color w:val="auto"/>
          <w:spacing w:val="6"/>
          <w:kern w:val="0"/>
          <w:sz w:val="21"/>
          <w:szCs w:val="21"/>
          <w:highlight w:val="none"/>
        </w:rPr>
        <w:t>第二个信封开标</w:t>
      </w:r>
    </w:p>
    <w:p>
      <w:pPr>
        <w:spacing w:line="40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第一个信封（商务及技术文件）评审结束后，招标人将按照第二章“投标人须知”第</w:t>
      </w:r>
      <w:r>
        <w:rPr>
          <w:rFonts w:ascii="宋体" w:hAnsi="宋体" w:cs="宋体"/>
          <w:color w:val="auto"/>
          <w:sz w:val="21"/>
          <w:szCs w:val="21"/>
          <w:highlight w:val="none"/>
        </w:rPr>
        <w:t>5.1</w:t>
      </w:r>
      <w:r>
        <w:rPr>
          <w:rFonts w:hint="eastAsia" w:ascii="宋体" w:hAnsi="宋体" w:cs="宋体"/>
          <w:color w:val="auto"/>
          <w:sz w:val="21"/>
          <w:szCs w:val="21"/>
          <w:highlight w:val="none"/>
        </w:rPr>
        <w:t>款规定的时间和地点对通过投标文件第一个信封（商务及技术文件）评审的投标文件第二个信封（报价文件）进行开标。</w:t>
      </w:r>
    </w:p>
    <w:p>
      <w:pPr>
        <w:spacing w:line="400" w:lineRule="exact"/>
        <w:ind w:left="153"/>
        <w:rPr>
          <w:rFonts w:ascii="宋体" w:cs="宋体"/>
          <w:b/>
          <w:color w:val="auto"/>
          <w:spacing w:val="6"/>
          <w:kern w:val="0"/>
          <w:sz w:val="21"/>
          <w:szCs w:val="21"/>
          <w:highlight w:val="none"/>
        </w:rPr>
      </w:pPr>
      <w:r>
        <w:rPr>
          <w:rFonts w:ascii="宋体" w:hAnsi="宋体" w:cs="宋体"/>
          <w:b/>
          <w:color w:val="auto"/>
          <w:spacing w:val="6"/>
          <w:kern w:val="0"/>
          <w:sz w:val="21"/>
          <w:szCs w:val="21"/>
          <w:highlight w:val="none"/>
        </w:rPr>
        <w:t xml:space="preserve">3.4 </w:t>
      </w:r>
      <w:r>
        <w:rPr>
          <w:rFonts w:hint="eastAsia" w:ascii="宋体" w:hAnsi="宋体" w:cs="宋体"/>
          <w:b/>
          <w:color w:val="auto"/>
          <w:spacing w:val="6"/>
          <w:kern w:val="0"/>
          <w:sz w:val="21"/>
          <w:szCs w:val="21"/>
          <w:highlight w:val="none"/>
        </w:rPr>
        <w:t>第二个信封初步评审</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3.4.1 </w:t>
      </w:r>
      <w:r>
        <w:rPr>
          <w:rFonts w:hint="eastAsia" w:ascii="宋体" w:hAnsi="宋体" w:cs="宋体"/>
          <w:color w:val="auto"/>
          <w:sz w:val="21"/>
          <w:szCs w:val="21"/>
          <w:highlight w:val="none"/>
        </w:rPr>
        <w:t>评标委员会依据本章第</w:t>
      </w:r>
      <w:r>
        <w:rPr>
          <w:rFonts w:ascii="宋体" w:hAnsi="宋体" w:cs="宋体"/>
          <w:color w:val="auto"/>
          <w:sz w:val="21"/>
          <w:szCs w:val="21"/>
          <w:highlight w:val="none"/>
        </w:rPr>
        <w:t>2.1.1</w:t>
      </w:r>
      <w:r>
        <w:rPr>
          <w:rFonts w:hint="eastAsia" w:ascii="宋体" w:hAnsi="宋体" w:cs="宋体"/>
          <w:color w:val="auto"/>
          <w:sz w:val="21"/>
          <w:szCs w:val="21"/>
          <w:highlight w:val="none"/>
        </w:rPr>
        <w:t>项、第</w:t>
      </w:r>
      <w:r>
        <w:rPr>
          <w:rFonts w:ascii="宋体" w:hAnsi="宋体" w:cs="宋体"/>
          <w:color w:val="auto"/>
          <w:sz w:val="21"/>
          <w:szCs w:val="21"/>
          <w:highlight w:val="none"/>
        </w:rPr>
        <w:t>2.1.3</w:t>
      </w:r>
      <w:r>
        <w:rPr>
          <w:rFonts w:hint="eastAsia" w:ascii="宋体" w:hAnsi="宋体" w:cs="宋体"/>
          <w:color w:val="auto"/>
          <w:sz w:val="21"/>
          <w:szCs w:val="21"/>
          <w:highlight w:val="none"/>
        </w:rPr>
        <w:t>项规定的评审标准对投标文件第二个信封（报价文件）进行初步评审。有一项不符合评审标准，评标委员会应否决其投标。</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3.4.2 </w:t>
      </w:r>
      <w:r>
        <w:rPr>
          <w:rFonts w:hint="eastAsia" w:ascii="宋体" w:hAnsi="宋体" w:cs="宋体"/>
          <w:color w:val="auto"/>
          <w:sz w:val="21"/>
          <w:szCs w:val="21"/>
          <w:highlight w:val="none"/>
        </w:rPr>
        <w:t>投标报价有算术错误的，评标委员会按以下原则对投标报价进行修正，修</w:t>
      </w:r>
    </w:p>
    <w:p>
      <w:pPr>
        <w:spacing w:line="40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正的价格经投标人书面确认后具有约束力。投标人不接受修正价格的，评标委员会应否决其投标。</w:t>
      </w:r>
    </w:p>
    <w:p>
      <w:pPr>
        <w:adjustRightInd w:val="0"/>
        <w:snapToGrid w:val="0"/>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w:t>
      </w:r>
      <w:r>
        <w:rPr>
          <w:rFonts w:hint="eastAsia" w:ascii="宋体" w:hAnsi="宋体" w:cs="宋体"/>
          <w:color w:val="auto"/>
          <w:sz w:val="21"/>
          <w:szCs w:val="21"/>
          <w:highlight w:val="none"/>
        </w:rPr>
        <w:t>1）投标文件中的大写金额与小写金额不一致的，以大写金额为准；</w:t>
      </w:r>
    </w:p>
    <w:p>
      <w:pPr>
        <w:adjustRightInd w:val="0"/>
        <w:snapToGrid w:val="0"/>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）总价金额与依据单价计算出的结果不一致的，以单价金额为准修正总价，但单价金额小数点有明显错误的除外；</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）当单价与数量相乘不等于合价时，以单价计算为准，如果单价有明显的小数点位置差错，应以标出的合价为准，同时对单价予以修正；</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）当各子目的合价累计不等于总价时，应以各子目合价累计数为准，修正总价。</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3.4.3 </w:t>
      </w:r>
      <w:r>
        <w:rPr>
          <w:rFonts w:hint="eastAsia" w:ascii="宋体" w:hAnsi="宋体" w:cs="宋体"/>
          <w:color w:val="auto"/>
          <w:sz w:val="21"/>
          <w:szCs w:val="21"/>
          <w:highlight w:val="none"/>
        </w:rPr>
        <w:t>修正后的最终投标报价若超过最高投标限价（如有），评标委员会应否决其投标。</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3.4.4 </w:t>
      </w:r>
      <w:r>
        <w:rPr>
          <w:rFonts w:hint="eastAsia" w:ascii="宋体" w:hAnsi="宋体" w:cs="宋体"/>
          <w:color w:val="auto"/>
          <w:sz w:val="21"/>
          <w:szCs w:val="21"/>
          <w:highlight w:val="none"/>
        </w:rPr>
        <w:t>修正后的最终投标报价仅作为签订合同的一个依据，不参与评标价得分的计算。</w:t>
      </w:r>
    </w:p>
    <w:p>
      <w:pPr>
        <w:spacing w:line="400" w:lineRule="exact"/>
        <w:ind w:left="153"/>
        <w:rPr>
          <w:rFonts w:ascii="宋体" w:cs="宋体"/>
          <w:b/>
          <w:color w:val="auto"/>
          <w:spacing w:val="6"/>
          <w:kern w:val="0"/>
          <w:sz w:val="21"/>
          <w:szCs w:val="21"/>
          <w:highlight w:val="none"/>
        </w:rPr>
      </w:pPr>
      <w:r>
        <w:rPr>
          <w:rFonts w:ascii="宋体" w:hAnsi="宋体" w:cs="宋体"/>
          <w:b/>
          <w:color w:val="auto"/>
          <w:spacing w:val="6"/>
          <w:kern w:val="0"/>
          <w:sz w:val="21"/>
          <w:szCs w:val="21"/>
          <w:highlight w:val="none"/>
        </w:rPr>
        <w:t xml:space="preserve">3.5 </w:t>
      </w:r>
      <w:r>
        <w:rPr>
          <w:rFonts w:hint="eastAsia" w:ascii="宋体" w:hAnsi="宋体" w:cs="宋体"/>
          <w:b/>
          <w:color w:val="auto"/>
          <w:spacing w:val="6"/>
          <w:kern w:val="0"/>
          <w:sz w:val="21"/>
          <w:szCs w:val="21"/>
          <w:highlight w:val="none"/>
        </w:rPr>
        <w:t>第二个信封详细评审</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3.5.1 </w:t>
      </w:r>
      <w:r>
        <w:rPr>
          <w:rFonts w:hint="eastAsia" w:ascii="宋体" w:hAnsi="宋体" w:cs="宋体"/>
          <w:color w:val="auto"/>
          <w:sz w:val="21"/>
          <w:szCs w:val="21"/>
          <w:highlight w:val="none"/>
        </w:rPr>
        <w:t>评标委员会按本章第</w:t>
      </w:r>
      <w:r>
        <w:rPr>
          <w:rFonts w:ascii="宋体" w:hAnsi="宋体" w:cs="宋体"/>
          <w:color w:val="auto"/>
          <w:sz w:val="21"/>
          <w:szCs w:val="21"/>
          <w:highlight w:val="none"/>
        </w:rPr>
        <w:t>2.2.4</w:t>
      </w:r>
      <w:r>
        <w:rPr>
          <w:rFonts w:hint="eastAsia" w:ascii="宋体" w:hAnsi="宋体" w:cs="宋体"/>
          <w:color w:val="auto"/>
          <w:sz w:val="21"/>
          <w:szCs w:val="21"/>
          <w:highlight w:val="none"/>
        </w:rPr>
        <w:t>项（</w:t>
      </w:r>
      <w:r>
        <w:rPr>
          <w:rFonts w:ascii="宋体" w:hAnsi="宋体" w:cs="宋体"/>
          <w:color w:val="auto"/>
          <w:sz w:val="21"/>
          <w:szCs w:val="21"/>
          <w:highlight w:val="none"/>
        </w:rPr>
        <w:t>3</w:t>
      </w:r>
      <w:r>
        <w:rPr>
          <w:rFonts w:hint="eastAsia" w:ascii="宋体" w:hAnsi="宋体" w:cs="宋体"/>
          <w:color w:val="auto"/>
          <w:sz w:val="21"/>
          <w:szCs w:val="21"/>
          <w:highlight w:val="none"/>
        </w:rPr>
        <w:t>）目规定的评审因素和分值对评标价计算出得分</w:t>
      </w:r>
      <w:r>
        <w:rPr>
          <w:rFonts w:ascii="宋体" w:hAnsi="宋体" w:cs="宋体"/>
          <w:color w:val="auto"/>
          <w:sz w:val="21"/>
          <w:szCs w:val="21"/>
          <w:highlight w:val="none"/>
        </w:rPr>
        <w:t>C.</w:t>
      </w:r>
      <w:r>
        <w:rPr>
          <w:rFonts w:hint="eastAsia" w:ascii="宋体" w:hAnsi="宋体" w:cs="宋体"/>
          <w:color w:val="auto"/>
          <w:sz w:val="21"/>
          <w:szCs w:val="21"/>
          <w:highlight w:val="none"/>
        </w:rPr>
        <w:t>。评标价得分分值计算保留小数点后两位，小数点后第三位“四舍五入”。</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3.5.2 </w:t>
      </w:r>
      <w:r>
        <w:rPr>
          <w:rFonts w:hint="eastAsia" w:ascii="宋体" w:hAnsi="宋体" w:cs="宋体"/>
          <w:color w:val="auto"/>
          <w:sz w:val="21"/>
          <w:szCs w:val="21"/>
          <w:highlight w:val="none"/>
        </w:rPr>
        <w:t>投标人综合得分投标人的商务和技术得分＋</w:t>
      </w:r>
      <w:r>
        <w:rPr>
          <w:rFonts w:ascii="宋体" w:hAnsi="宋体" w:cs="宋体"/>
          <w:color w:val="auto"/>
          <w:sz w:val="21"/>
          <w:szCs w:val="21"/>
          <w:highlight w:val="none"/>
        </w:rPr>
        <w:t>C</w:t>
      </w:r>
      <w:r>
        <w:rPr>
          <w:rFonts w:hint="eastAsia" w:ascii="宋体" w:hAnsi="宋体" w:cs="宋体"/>
          <w:color w:val="auto"/>
          <w:sz w:val="21"/>
          <w:szCs w:val="21"/>
          <w:highlight w:val="none"/>
        </w:rPr>
        <w:t>。</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3.5.3 </w:t>
      </w:r>
      <w:r>
        <w:rPr>
          <w:rFonts w:hint="eastAsia" w:ascii="宋体" w:hAnsi="宋体" w:cs="宋体"/>
          <w:color w:val="auto"/>
          <w:sz w:val="21"/>
          <w:szCs w:val="21"/>
          <w:highlight w:val="none"/>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spacing w:line="400" w:lineRule="exact"/>
        <w:ind w:left="153"/>
        <w:rPr>
          <w:rFonts w:ascii="宋体" w:cs="宋体"/>
          <w:b/>
          <w:color w:val="auto"/>
          <w:spacing w:val="6"/>
          <w:kern w:val="0"/>
          <w:sz w:val="21"/>
          <w:szCs w:val="21"/>
          <w:highlight w:val="none"/>
        </w:rPr>
      </w:pPr>
      <w:r>
        <w:rPr>
          <w:rFonts w:ascii="宋体" w:hAnsi="宋体" w:cs="宋体"/>
          <w:b/>
          <w:color w:val="auto"/>
          <w:spacing w:val="6"/>
          <w:kern w:val="0"/>
          <w:sz w:val="21"/>
          <w:szCs w:val="21"/>
          <w:highlight w:val="none"/>
        </w:rPr>
        <w:t xml:space="preserve">3.6 </w:t>
      </w:r>
      <w:r>
        <w:rPr>
          <w:rFonts w:hint="eastAsia" w:ascii="宋体" w:hAnsi="宋体" w:cs="宋体"/>
          <w:b/>
          <w:color w:val="auto"/>
          <w:spacing w:val="6"/>
          <w:kern w:val="0"/>
          <w:sz w:val="21"/>
          <w:szCs w:val="21"/>
          <w:highlight w:val="none"/>
        </w:rPr>
        <w:t>投标文件相关信息的核查</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3.6.1 </w:t>
      </w:r>
      <w:r>
        <w:rPr>
          <w:rFonts w:hint="eastAsia" w:ascii="宋体" w:hAnsi="宋体" w:cs="宋体"/>
          <w:color w:val="auto"/>
          <w:sz w:val="21"/>
          <w:szCs w:val="21"/>
          <w:highlight w:val="none"/>
        </w:rPr>
        <w:t>在评标过程中，评标委员会可对投标人的资质、业绩、主要人员资历和目前在岗情况、信用等级等信息进行核实。若投标文件载明的信息核实的信息不符，使得投标人的资格条件不符合招标文件规定的，评标委员会应否决其投标。</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3.6.2 </w:t>
      </w:r>
      <w:r>
        <w:rPr>
          <w:rFonts w:hint="eastAsia" w:ascii="宋体" w:hAnsi="宋体" w:cs="宋体"/>
          <w:color w:val="auto"/>
          <w:sz w:val="21"/>
          <w:szCs w:val="21"/>
          <w:highlight w:val="none"/>
        </w:rPr>
        <w:t>评标委员会应对在评标过程中发现的投标人与投标人之间、投标人与招标人之间存在的串通投标的情形进行评审和认定。投标人存在串通投标、弄虚作假、行贿等违法行为的，评标委员会应否决其投标。</w:t>
      </w:r>
    </w:p>
    <w:p>
      <w:pPr>
        <w:spacing w:line="40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w:t>
      </w:r>
      <w:r>
        <w:rPr>
          <w:rFonts w:ascii="宋体" w:hAnsi="宋体" w:cs="宋体"/>
          <w:color w:val="auto"/>
          <w:sz w:val="21"/>
          <w:szCs w:val="21"/>
          <w:highlight w:val="none"/>
        </w:rPr>
        <w:t>1</w:t>
      </w:r>
      <w:r>
        <w:rPr>
          <w:rFonts w:hint="eastAsia" w:ascii="宋体" w:hAnsi="宋体" w:cs="宋体"/>
          <w:color w:val="auto"/>
          <w:sz w:val="21"/>
          <w:szCs w:val="21"/>
          <w:highlight w:val="none"/>
        </w:rPr>
        <w:t>）有下列情形之一的，属于投标人相互串通投标：</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a.</w:t>
      </w:r>
      <w:r>
        <w:rPr>
          <w:rFonts w:hint="eastAsia" w:ascii="宋体" w:hAnsi="宋体" w:cs="宋体"/>
          <w:color w:val="auto"/>
          <w:sz w:val="21"/>
          <w:szCs w:val="21"/>
          <w:highlight w:val="none"/>
        </w:rPr>
        <w:t>投标人之间协商投标报价等投标文件的实质性内容；</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b.</w:t>
      </w:r>
      <w:r>
        <w:rPr>
          <w:rFonts w:hint="eastAsia" w:ascii="宋体" w:hAnsi="宋体" w:cs="宋体"/>
          <w:color w:val="auto"/>
          <w:sz w:val="21"/>
          <w:szCs w:val="21"/>
          <w:highlight w:val="none"/>
        </w:rPr>
        <w:t>投标人之间约定中标人：</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c.</w:t>
      </w:r>
      <w:r>
        <w:rPr>
          <w:rFonts w:hint="eastAsia" w:ascii="宋体" w:hAnsi="宋体" w:cs="宋体"/>
          <w:color w:val="auto"/>
          <w:sz w:val="21"/>
          <w:szCs w:val="21"/>
          <w:highlight w:val="none"/>
        </w:rPr>
        <w:t>投标人之间约定部分投标人放弃投标或中标：</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d.</w:t>
      </w:r>
      <w:r>
        <w:rPr>
          <w:rFonts w:hint="eastAsia" w:ascii="宋体" w:hAnsi="宋体" w:cs="宋体"/>
          <w:color w:val="auto"/>
          <w:sz w:val="21"/>
          <w:szCs w:val="21"/>
          <w:highlight w:val="none"/>
        </w:rPr>
        <w:t>属于同一集团、协会、商会等组织成员的投标人按照该组织要求协同投标；</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e.</w:t>
      </w:r>
      <w:r>
        <w:rPr>
          <w:rFonts w:hint="eastAsia" w:ascii="宋体" w:hAnsi="宋体" w:cs="宋体"/>
          <w:color w:val="auto"/>
          <w:sz w:val="21"/>
          <w:szCs w:val="21"/>
          <w:highlight w:val="none"/>
        </w:rPr>
        <w:t>投标人之间为谋取中标或排斥特定投标人而采取的其他联合行动。</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(2</w:t>
      </w:r>
      <w:r>
        <w:rPr>
          <w:rFonts w:hint="eastAsia" w:ascii="宋体" w:hAnsi="宋体" w:cs="宋体"/>
          <w:color w:val="auto"/>
          <w:sz w:val="21"/>
          <w:szCs w:val="21"/>
          <w:highlight w:val="none"/>
        </w:rPr>
        <w:t>）有下列情形之一的，视为投标人相互串通投标：</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a.</w:t>
      </w:r>
      <w:r>
        <w:rPr>
          <w:rFonts w:hint="eastAsia" w:ascii="宋体" w:hAnsi="宋体" w:cs="宋体"/>
          <w:color w:val="auto"/>
          <w:sz w:val="21"/>
          <w:szCs w:val="21"/>
          <w:highlight w:val="none"/>
        </w:rPr>
        <w:t>不同投标人的投标文件由同一单位或个人编制：</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b.</w:t>
      </w:r>
      <w:r>
        <w:rPr>
          <w:rFonts w:hint="eastAsia" w:ascii="宋体" w:hAnsi="宋体" w:cs="宋体"/>
          <w:color w:val="auto"/>
          <w:sz w:val="21"/>
          <w:szCs w:val="21"/>
          <w:highlight w:val="none"/>
        </w:rPr>
        <w:t>不同投标人委托同一单位或个人办理投标事宜；</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c.</w:t>
      </w:r>
      <w:r>
        <w:rPr>
          <w:rFonts w:hint="eastAsia" w:ascii="宋体" w:hAnsi="宋体" w:cs="宋体"/>
          <w:color w:val="auto"/>
          <w:sz w:val="21"/>
          <w:szCs w:val="21"/>
          <w:highlight w:val="none"/>
        </w:rPr>
        <w:t>不同投标人的投标文件载明的项目管理成员为同人；</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d.</w:t>
      </w:r>
      <w:r>
        <w:rPr>
          <w:rFonts w:hint="eastAsia" w:ascii="宋体" w:hAnsi="宋体" w:cs="宋体"/>
          <w:color w:val="auto"/>
          <w:sz w:val="21"/>
          <w:szCs w:val="21"/>
          <w:highlight w:val="none"/>
        </w:rPr>
        <w:t>不同投标人的投标文件异常一致或投标报价呈规律性差异：</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e.</w:t>
      </w:r>
      <w:r>
        <w:rPr>
          <w:rFonts w:hint="eastAsia" w:ascii="宋体" w:hAnsi="宋体" w:cs="宋体"/>
          <w:color w:val="auto"/>
          <w:sz w:val="21"/>
          <w:szCs w:val="21"/>
          <w:highlight w:val="none"/>
        </w:rPr>
        <w:t>不同投标人的投标文件相互混装。</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(3</w:t>
      </w:r>
      <w:r>
        <w:rPr>
          <w:rFonts w:hint="eastAsia" w:ascii="宋体" w:hAnsi="宋体" w:cs="宋体"/>
          <w:color w:val="auto"/>
          <w:sz w:val="21"/>
          <w:szCs w:val="21"/>
          <w:highlight w:val="none"/>
        </w:rPr>
        <w:t>）有下列情形之一的</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，属于招标人与投标人串通投标：</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a.</w:t>
      </w:r>
      <w:r>
        <w:rPr>
          <w:rFonts w:hint="eastAsia" w:ascii="宋体" w:hAnsi="宋体" w:cs="宋体"/>
          <w:color w:val="auto"/>
          <w:sz w:val="21"/>
          <w:szCs w:val="21"/>
          <w:highlight w:val="none"/>
        </w:rPr>
        <w:t>招标人在开标前开启投标文件并将有关信息泄露给其他投标人；</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b.</w:t>
      </w:r>
      <w:r>
        <w:rPr>
          <w:rFonts w:hint="eastAsia" w:ascii="宋体" w:hAnsi="宋体" w:cs="宋体"/>
          <w:color w:val="auto"/>
          <w:sz w:val="21"/>
          <w:szCs w:val="21"/>
          <w:highlight w:val="none"/>
        </w:rPr>
        <w:t>招标人直接或间接向投标人泄露标底、评标委员会成员等信息</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c.</w:t>
      </w:r>
      <w:r>
        <w:rPr>
          <w:rFonts w:hint="eastAsia" w:ascii="宋体" w:hAnsi="宋体" w:cs="宋体"/>
          <w:color w:val="auto"/>
          <w:sz w:val="21"/>
          <w:szCs w:val="21"/>
          <w:highlight w:val="none"/>
        </w:rPr>
        <w:t>招标人明示或暗示投标人压低或抬高投标报价：</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d.</w:t>
      </w:r>
      <w:r>
        <w:rPr>
          <w:rFonts w:hint="eastAsia" w:ascii="宋体" w:hAnsi="宋体" w:cs="宋体"/>
          <w:color w:val="auto"/>
          <w:sz w:val="21"/>
          <w:szCs w:val="21"/>
          <w:highlight w:val="none"/>
        </w:rPr>
        <w:t>招标人授意投标人撤换、修改投标文件；</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e.</w:t>
      </w:r>
      <w:r>
        <w:rPr>
          <w:rFonts w:hint="eastAsia" w:ascii="宋体" w:hAnsi="宋体" w:cs="宋体"/>
          <w:color w:val="auto"/>
          <w:sz w:val="21"/>
          <w:szCs w:val="21"/>
          <w:highlight w:val="none"/>
        </w:rPr>
        <w:t>招标人明示或暗示投标人为特定投标人中标提供方便：</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f.</w:t>
      </w:r>
      <w:r>
        <w:rPr>
          <w:rFonts w:hint="eastAsia" w:ascii="宋体" w:hAnsi="宋体" w:cs="宋体"/>
          <w:color w:val="auto"/>
          <w:sz w:val="21"/>
          <w:szCs w:val="21"/>
          <w:highlight w:val="none"/>
        </w:rPr>
        <w:t>招标人与投标人为谋求特定投标人中标而采取的其他串通行为。</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(4</w:t>
      </w:r>
      <w:r>
        <w:rPr>
          <w:rFonts w:hint="eastAsia" w:ascii="宋体" w:hAnsi="宋体" w:cs="宋体"/>
          <w:color w:val="auto"/>
          <w:sz w:val="21"/>
          <w:szCs w:val="21"/>
          <w:highlight w:val="none"/>
        </w:rPr>
        <w:t>）投标人有下列情形之一的，属于弄虚作假的行为：</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a.</w:t>
      </w:r>
      <w:r>
        <w:rPr>
          <w:rFonts w:hint="eastAsia" w:ascii="宋体" w:hAnsi="宋体" w:cs="宋体"/>
          <w:color w:val="auto"/>
          <w:sz w:val="21"/>
          <w:szCs w:val="21"/>
          <w:highlight w:val="none"/>
        </w:rPr>
        <w:t>使用通过受让或租借等方式获取的资格、资质证书投标：</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b.</w:t>
      </w:r>
      <w:r>
        <w:rPr>
          <w:rFonts w:hint="eastAsia" w:ascii="宋体" w:hAnsi="宋体" w:cs="宋体"/>
          <w:color w:val="auto"/>
          <w:sz w:val="21"/>
          <w:szCs w:val="21"/>
          <w:highlight w:val="none"/>
        </w:rPr>
        <w:t>使用伪造、变造的许可证件：</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c.</w:t>
      </w:r>
      <w:r>
        <w:rPr>
          <w:rFonts w:hint="eastAsia" w:ascii="宋体" w:hAnsi="宋体" w:cs="宋体"/>
          <w:color w:val="auto"/>
          <w:sz w:val="21"/>
          <w:szCs w:val="21"/>
          <w:highlight w:val="none"/>
        </w:rPr>
        <w:t>提供虚假的业绩；</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d.</w:t>
      </w:r>
      <w:r>
        <w:rPr>
          <w:rFonts w:hint="eastAsia" w:ascii="宋体" w:hAnsi="宋体" w:cs="宋体"/>
          <w:color w:val="auto"/>
          <w:sz w:val="21"/>
          <w:szCs w:val="21"/>
          <w:highlight w:val="none"/>
        </w:rPr>
        <w:t>提供虚假的项目负责人或主要技术人员简历、劳动关系证明；</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e.</w:t>
      </w:r>
      <w:r>
        <w:rPr>
          <w:rFonts w:hint="eastAsia" w:ascii="宋体" w:hAnsi="宋体" w:cs="宋体"/>
          <w:color w:val="auto"/>
          <w:sz w:val="21"/>
          <w:szCs w:val="21"/>
          <w:highlight w:val="none"/>
        </w:rPr>
        <w:t>提供虚假的信用状况；</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f.</w:t>
      </w:r>
      <w:r>
        <w:rPr>
          <w:rFonts w:hint="eastAsia" w:ascii="宋体" w:hAnsi="宋体" w:cs="宋体"/>
          <w:color w:val="auto"/>
          <w:sz w:val="21"/>
          <w:szCs w:val="21"/>
          <w:highlight w:val="none"/>
        </w:rPr>
        <w:t>其他弄虚作假的行为。</w:t>
      </w:r>
    </w:p>
    <w:p>
      <w:pPr>
        <w:spacing w:line="400" w:lineRule="exact"/>
        <w:ind w:left="153"/>
        <w:rPr>
          <w:rFonts w:ascii="宋体" w:cs="宋体"/>
          <w:b/>
          <w:color w:val="auto"/>
          <w:spacing w:val="6"/>
          <w:kern w:val="0"/>
          <w:sz w:val="21"/>
          <w:szCs w:val="21"/>
          <w:highlight w:val="none"/>
        </w:rPr>
      </w:pPr>
      <w:r>
        <w:rPr>
          <w:rFonts w:ascii="宋体" w:hAnsi="宋体" w:cs="宋体"/>
          <w:b/>
          <w:color w:val="auto"/>
          <w:spacing w:val="6"/>
          <w:kern w:val="0"/>
          <w:sz w:val="21"/>
          <w:szCs w:val="21"/>
          <w:highlight w:val="none"/>
        </w:rPr>
        <w:t xml:space="preserve">3.7 </w:t>
      </w:r>
      <w:r>
        <w:rPr>
          <w:rFonts w:hint="eastAsia" w:ascii="宋体" w:hAnsi="宋体" w:cs="宋体"/>
          <w:b/>
          <w:color w:val="auto"/>
          <w:spacing w:val="6"/>
          <w:kern w:val="0"/>
          <w:sz w:val="21"/>
          <w:szCs w:val="21"/>
          <w:highlight w:val="none"/>
        </w:rPr>
        <w:t>投标文件的澄清和说明</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3.7.1 </w:t>
      </w:r>
      <w:r>
        <w:rPr>
          <w:rFonts w:hint="eastAsia" w:ascii="宋体" w:hAnsi="宋体" w:cs="宋体"/>
          <w:color w:val="auto"/>
          <w:sz w:val="21"/>
          <w:szCs w:val="21"/>
          <w:highlight w:val="none"/>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3.7.2 </w:t>
      </w:r>
      <w:r>
        <w:rPr>
          <w:rFonts w:hint="eastAsia" w:ascii="宋体" w:hAnsi="宋体" w:cs="宋体"/>
          <w:color w:val="auto"/>
          <w:sz w:val="21"/>
          <w:szCs w:val="21"/>
          <w:highlight w:val="none"/>
        </w:rPr>
        <w:t>澄清和说明不得超出投标文件的范围或改变投标文件的实质性内容（算术性错误的修正除外）。投标人的书面澄清、说明属于投标文件的组成部分。</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3.7.3 </w:t>
      </w:r>
      <w:r>
        <w:rPr>
          <w:rFonts w:hint="eastAsia" w:ascii="宋体" w:hAnsi="宋体" w:cs="宋体"/>
          <w:color w:val="auto"/>
          <w:sz w:val="21"/>
          <w:szCs w:val="21"/>
          <w:highlight w:val="none"/>
        </w:rPr>
        <w:t>评标委员会不得暗示或诱导投标人作出澄清、说明，对投标人提交的澄清、</w:t>
      </w:r>
    </w:p>
    <w:p>
      <w:pPr>
        <w:spacing w:line="40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说明有疑问的，可以要求投标人进一步澄清或说明，直至满足评标委员会的要求。</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3.7.4 </w:t>
      </w:r>
      <w:r>
        <w:rPr>
          <w:rFonts w:hint="eastAsia" w:ascii="宋体" w:hAnsi="宋体" w:cs="宋体"/>
          <w:color w:val="auto"/>
          <w:sz w:val="21"/>
          <w:szCs w:val="21"/>
          <w:highlight w:val="none"/>
        </w:rPr>
        <w:t>凡超出招标文件规定的或给委托人带来未曾要求的利益的变化、偏差或其他因素在评标时不予考虑。</w:t>
      </w:r>
    </w:p>
    <w:p>
      <w:pPr>
        <w:spacing w:line="400" w:lineRule="exact"/>
        <w:ind w:left="153"/>
        <w:rPr>
          <w:rFonts w:ascii="宋体" w:cs="宋体"/>
          <w:b/>
          <w:color w:val="auto"/>
          <w:spacing w:val="6"/>
          <w:kern w:val="0"/>
          <w:sz w:val="21"/>
          <w:szCs w:val="21"/>
          <w:highlight w:val="none"/>
        </w:rPr>
      </w:pPr>
      <w:r>
        <w:rPr>
          <w:rFonts w:ascii="宋体" w:hAnsi="宋体" w:cs="宋体"/>
          <w:b/>
          <w:color w:val="auto"/>
          <w:spacing w:val="6"/>
          <w:kern w:val="0"/>
          <w:sz w:val="21"/>
          <w:szCs w:val="21"/>
          <w:highlight w:val="none"/>
        </w:rPr>
        <w:t xml:space="preserve">3.8 </w:t>
      </w:r>
      <w:r>
        <w:rPr>
          <w:rFonts w:hint="eastAsia" w:ascii="宋体" w:hAnsi="宋体" w:cs="宋体"/>
          <w:b/>
          <w:color w:val="auto"/>
          <w:spacing w:val="6"/>
          <w:kern w:val="0"/>
          <w:sz w:val="21"/>
          <w:szCs w:val="21"/>
          <w:highlight w:val="none"/>
        </w:rPr>
        <w:t>不得否决投标的情形</w:t>
      </w:r>
    </w:p>
    <w:p>
      <w:pPr>
        <w:spacing w:line="400" w:lineRule="exact"/>
        <w:ind w:firstLine="420" w:firstLineChars="200"/>
        <w:rPr>
          <w:rFonts w:ascii="宋体" w:cs="宋体"/>
          <w:color w:val="auto"/>
          <w:sz w:val="21"/>
          <w:szCs w:val="21"/>
          <w:highlight w:val="none"/>
        </w:rPr>
      </w:pPr>
      <w:r>
        <w:rPr>
          <w:rFonts w:hint="eastAsia" w:ascii="宋体" w:hAnsi="宋体" w:cs="宋体"/>
          <w:color w:val="auto"/>
          <w:sz w:val="21"/>
          <w:szCs w:val="21"/>
          <w:highlight w:val="none"/>
        </w:rPr>
        <w:t>投标文件存在第二章“投标人须知”第</w:t>
      </w:r>
      <w:r>
        <w:rPr>
          <w:rFonts w:ascii="宋体" w:hAnsi="宋体" w:cs="宋体"/>
          <w:color w:val="auto"/>
          <w:sz w:val="21"/>
          <w:szCs w:val="21"/>
          <w:highlight w:val="none"/>
        </w:rPr>
        <w:t>1.12.3</w:t>
      </w:r>
      <w:r>
        <w:rPr>
          <w:rFonts w:hint="eastAsia" w:ascii="宋体" w:hAnsi="宋体" w:cs="宋体"/>
          <w:color w:val="auto"/>
          <w:sz w:val="21"/>
          <w:szCs w:val="21"/>
          <w:highlight w:val="none"/>
        </w:rPr>
        <w:t>项所列情形的，均视为细微偏差，评标委员会不得否决投标人的投标，应按照第二章“投标人须知”第</w:t>
      </w:r>
      <w:r>
        <w:rPr>
          <w:rFonts w:ascii="宋体" w:hAnsi="宋体" w:cs="宋体"/>
          <w:color w:val="auto"/>
          <w:sz w:val="21"/>
          <w:szCs w:val="21"/>
          <w:highlight w:val="none"/>
        </w:rPr>
        <w:t>1.12.4</w:t>
      </w:r>
      <w:r>
        <w:rPr>
          <w:rFonts w:hint="eastAsia" w:ascii="宋体" w:hAnsi="宋体" w:cs="宋体"/>
          <w:color w:val="auto"/>
          <w:sz w:val="21"/>
          <w:szCs w:val="21"/>
          <w:highlight w:val="none"/>
        </w:rPr>
        <w:t>项规定的原则处理。</w:t>
      </w:r>
    </w:p>
    <w:p>
      <w:pPr>
        <w:spacing w:line="400" w:lineRule="exact"/>
        <w:ind w:left="153"/>
        <w:rPr>
          <w:rFonts w:ascii="宋体" w:cs="宋体"/>
          <w:b/>
          <w:color w:val="auto"/>
          <w:spacing w:val="6"/>
          <w:kern w:val="0"/>
          <w:sz w:val="21"/>
          <w:szCs w:val="21"/>
          <w:highlight w:val="none"/>
        </w:rPr>
      </w:pPr>
      <w:r>
        <w:rPr>
          <w:rFonts w:ascii="宋体" w:hAnsi="宋体" w:cs="宋体"/>
          <w:b/>
          <w:color w:val="auto"/>
          <w:spacing w:val="6"/>
          <w:kern w:val="0"/>
          <w:sz w:val="21"/>
          <w:szCs w:val="21"/>
          <w:highlight w:val="none"/>
        </w:rPr>
        <w:t xml:space="preserve">3.9 </w:t>
      </w:r>
      <w:r>
        <w:rPr>
          <w:rFonts w:hint="eastAsia" w:ascii="宋体" w:hAnsi="宋体" w:cs="宋体"/>
          <w:b/>
          <w:color w:val="auto"/>
          <w:spacing w:val="6"/>
          <w:kern w:val="0"/>
          <w:sz w:val="21"/>
          <w:szCs w:val="21"/>
          <w:highlight w:val="none"/>
        </w:rPr>
        <w:t>评标结果</w:t>
      </w:r>
    </w:p>
    <w:p>
      <w:pPr>
        <w:spacing w:line="400" w:lineRule="exact"/>
        <w:ind w:firstLine="420" w:firstLineChars="200"/>
        <w:rPr>
          <w:rFonts w:ascii="宋体" w:cs="宋体"/>
          <w:color w:val="auto"/>
          <w:sz w:val="21"/>
          <w:szCs w:val="21"/>
          <w:highlight w:val="none"/>
        </w:rPr>
      </w:pPr>
      <w:r>
        <w:rPr>
          <w:rFonts w:ascii="宋体" w:hAnsi="宋体" w:cs="宋体"/>
          <w:color w:val="auto"/>
          <w:sz w:val="21"/>
          <w:szCs w:val="21"/>
          <w:highlight w:val="none"/>
        </w:rPr>
        <w:t xml:space="preserve">3.9.1 </w:t>
      </w:r>
      <w:r>
        <w:rPr>
          <w:rFonts w:hint="eastAsia" w:ascii="宋体" w:hAnsi="宋体" w:cs="宋体"/>
          <w:color w:val="auto"/>
          <w:sz w:val="21"/>
          <w:szCs w:val="21"/>
          <w:highlight w:val="none"/>
        </w:rPr>
        <w:t>除第二章“投标人须知”前附表授权直接确定中标人外，评标委员会按照得分由高到低的顺序推荐中标候选人，并标明排序。</w:t>
      </w:r>
    </w:p>
    <w:p>
      <w:pPr>
        <w:spacing w:line="400" w:lineRule="exact"/>
        <w:ind w:firstLine="415" w:firstLineChars="198"/>
        <w:jc w:val="left"/>
        <w:rPr>
          <w:color w:val="auto"/>
          <w:sz w:val="24"/>
          <w:highlight w:val="none"/>
        </w:rPr>
      </w:pPr>
      <w:r>
        <w:rPr>
          <w:rFonts w:ascii="宋体" w:hAnsi="宋体" w:cs="宋体"/>
          <w:color w:val="auto"/>
          <w:sz w:val="21"/>
          <w:szCs w:val="21"/>
          <w:highlight w:val="none"/>
        </w:rPr>
        <w:t xml:space="preserve">3.9.2 </w:t>
      </w:r>
      <w:r>
        <w:rPr>
          <w:rFonts w:hint="eastAsia" w:ascii="宋体" w:hAnsi="宋体" w:cs="宋体"/>
          <w:color w:val="auto"/>
          <w:sz w:val="21"/>
          <w:szCs w:val="21"/>
          <w:highlight w:val="none"/>
        </w:rPr>
        <w:t>评标委员会完成评标后，应向招标人提交书面评标报告。</w:t>
      </w:r>
    </w:p>
    <w:p>
      <w:pPr>
        <w:pageBreakBefore w:val="0"/>
        <w:widowControl/>
        <w:wordWrap/>
        <w:topLinePunct w:val="0"/>
        <w:bidi w:val="0"/>
        <w:spacing w:line="360" w:lineRule="auto"/>
        <w:jc w:val="left"/>
        <w:textAlignment w:val="auto"/>
        <w:rPr>
          <w:rFonts w:hint="default" w:ascii="Times New Roman" w:hAnsi="Times New Roman" w:cs="Times New Roman"/>
          <w:b/>
          <w:bCs/>
          <w:color w:val="auto"/>
          <w:sz w:val="24"/>
          <w:highlight w:val="none"/>
          <w:lang w:val="en-US" w:eastAsia="zh-CN"/>
        </w:rPr>
      </w:pPr>
      <w:r>
        <w:rPr>
          <w:rFonts w:hint="default" w:ascii="Times New Roman" w:hAnsi="Times New Roman" w:cs="Times New Roman"/>
          <w:b/>
          <w:bCs/>
          <w:color w:val="auto"/>
          <w:sz w:val="24"/>
          <w:highlight w:val="none"/>
          <w:lang w:val="en-US" w:eastAsia="zh-CN"/>
        </w:rPr>
        <w:t>四、其他需要公开的内容</w:t>
      </w:r>
    </w:p>
    <w:p>
      <w:pPr>
        <w:keepNext w:val="0"/>
        <w:keepLines w:val="0"/>
        <w:pageBreakBefore w:val="0"/>
        <w:widowControl w:val="0"/>
        <w:numPr>
          <w:ilvl w:val="0"/>
          <w:numId w:val="0"/>
        </w:numPr>
        <w:kinsoku/>
        <w:wordWrap/>
        <w:overflowPunct/>
        <w:topLinePunct w:val="0"/>
        <w:autoSpaceDE/>
        <w:autoSpaceDN/>
        <w:bidi w:val="0"/>
        <w:spacing w:line="360" w:lineRule="auto"/>
        <w:ind w:firstLine="1205" w:firstLineChars="500"/>
        <w:jc w:val="both"/>
        <w:textAlignment w:val="auto"/>
        <w:rPr>
          <w:rFonts w:hint="default" w:ascii="Times New Roman" w:hAnsi="Times New Roman" w:cs="Times New Roman"/>
          <w:highlight w:val="none"/>
        </w:rPr>
      </w:pPr>
      <w:r>
        <w:rPr>
          <w:rFonts w:hint="default" w:ascii="Times New Roman" w:hAnsi="Times New Roman" w:cs="Times New Roman"/>
          <w:b/>
          <w:bCs/>
          <w:color w:val="auto"/>
          <w:sz w:val="24"/>
          <w:highlight w:val="none"/>
          <w:lang w:val="en-US" w:eastAsia="zh-CN"/>
        </w:rPr>
        <w:t>无</w:t>
      </w:r>
    </w:p>
    <w:sectPr>
      <w:footerReference r:id="rId3" w:type="default"/>
      <w:pgSz w:w="11906"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sz w:val="17"/>
        <w:szCs w:val="17"/>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695E1F"/>
    <w:multiLevelType w:val="multilevel"/>
    <w:tmpl w:val="F2695E1F"/>
    <w:lvl w:ilvl="0" w:tentative="0">
      <w:start w:val="2"/>
      <w:numFmt w:val="decimal"/>
      <w:suff w:val="space"/>
      <w:lvlText w:val="%1."/>
      <w:lvlJc w:val="left"/>
      <w:pPr>
        <w:tabs>
          <w:tab w:val="left" w:pos="0"/>
        </w:tabs>
      </w:pPr>
      <w:rPr>
        <w:rFonts w:hint="default" w:ascii="Times New Roman" w:hAnsi="Times New Roman"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A55DC6"/>
    <w:rsid w:val="010000F0"/>
    <w:rsid w:val="05D06F3D"/>
    <w:rsid w:val="09C25713"/>
    <w:rsid w:val="09D309C7"/>
    <w:rsid w:val="0A524ED5"/>
    <w:rsid w:val="0C452DC0"/>
    <w:rsid w:val="118F44A0"/>
    <w:rsid w:val="149742DC"/>
    <w:rsid w:val="16446BC0"/>
    <w:rsid w:val="199D3192"/>
    <w:rsid w:val="1D1011FD"/>
    <w:rsid w:val="1F3340FB"/>
    <w:rsid w:val="1F471979"/>
    <w:rsid w:val="204A4ED2"/>
    <w:rsid w:val="257C45C8"/>
    <w:rsid w:val="263B3593"/>
    <w:rsid w:val="2CA0217E"/>
    <w:rsid w:val="2D0574A0"/>
    <w:rsid w:val="30152FC3"/>
    <w:rsid w:val="33213CB7"/>
    <w:rsid w:val="33F4567A"/>
    <w:rsid w:val="34227572"/>
    <w:rsid w:val="36D26270"/>
    <w:rsid w:val="372B4FBE"/>
    <w:rsid w:val="384B1E19"/>
    <w:rsid w:val="3A00037E"/>
    <w:rsid w:val="3A785A67"/>
    <w:rsid w:val="3C8D50F9"/>
    <w:rsid w:val="3E5B1990"/>
    <w:rsid w:val="3F573C6F"/>
    <w:rsid w:val="3FB6071C"/>
    <w:rsid w:val="40E95C0F"/>
    <w:rsid w:val="41861114"/>
    <w:rsid w:val="450D2920"/>
    <w:rsid w:val="45B5670C"/>
    <w:rsid w:val="460737D6"/>
    <w:rsid w:val="472B46E1"/>
    <w:rsid w:val="49297F93"/>
    <w:rsid w:val="4E0E2795"/>
    <w:rsid w:val="50065EFC"/>
    <w:rsid w:val="53AE1CAE"/>
    <w:rsid w:val="55F74FA3"/>
    <w:rsid w:val="56A853E9"/>
    <w:rsid w:val="58A505EC"/>
    <w:rsid w:val="59DC63FF"/>
    <w:rsid w:val="63E36A1B"/>
    <w:rsid w:val="6D535020"/>
    <w:rsid w:val="6E263E89"/>
    <w:rsid w:val="77B77FF1"/>
    <w:rsid w:val="77F61216"/>
    <w:rsid w:val="790E23B0"/>
    <w:rsid w:val="7CA55DC6"/>
    <w:rsid w:val="7CA82AFC"/>
    <w:rsid w:val="7FF55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99"/>
    <w:pPr>
      <w:keepNext/>
      <w:keepLines/>
      <w:adjustRightInd w:val="0"/>
      <w:snapToGrid w:val="0"/>
      <w:spacing w:before="120" w:after="120"/>
      <w:jc w:val="center"/>
      <w:outlineLvl w:val="0"/>
    </w:pPr>
    <w:rPr>
      <w:rFonts w:eastAsia="黑体"/>
      <w:kern w:val="44"/>
      <w:sz w:val="72"/>
      <w:szCs w:val="44"/>
    </w:rPr>
  </w:style>
  <w:style w:type="paragraph" w:styleId="6">
    <w:name w:val="heading 3"/>
    <w:basedOn w:val="1"/>
    <w:next w:val="7"/>
    <w:qFormat/>
    <w:uiPriority w:val="99"/>
    <w:pPr>
      <w:keepNext/>
      <w:keepLines/>
      <w:spacing w:before="260" w:after="260" w:line="416" w:lineRule="auto"/>
      <w:outlineLvl w:val="2"/>
    </w:pPr>
    <w:rPr>
      <w:b/>
      <w:bCs/>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ind w:left="146"/>
    </w:pPr>
    <w:rPr>
      <w:rFonts w:ascii="宋体" w:hAnsi="宋体" w:eastAsia="宋体"/>
      <w:sz w:val="23"/>
      <w:szCs w:val="23"/>
    </w:rPr>
  </w:style>
  <w:style w:type="paragraph" w:styleId="3">
    <w:name w:val="Body Text 2"/>
    <w:basedOn w:val="1"/>
    <w:next w:val="4"/>
    <w:qFormat/>
    <w:uiPriority w:val="99"/>
    <w:pPr>
      <w:jc w:val="center"/>
    </w:pPr>
    <w:rPr>
      <w:rFonts w:ascii="宋体" w:hAnsi="宋体"/>
      <w:b/>
      <w:snapToGrid w:val="0"/>
      <w:color w:val="FF0000"/>
      <w:kern w:val="0"/>
      <w:sz w:val="24"/>
    </w:rPr>
  </w:style>
  <w:style w:type="paragraph" w:styleId="4">
    <w:name w:val="toc 9"/>
    <w:basedOn w:val="1"/>
    <w:next w:val="1"/>
    <w:qFormat/>
    <w:uiPriority w:val="39"/>
    <w:pPr>
      <w:ind w:left="1680"/>
      <w:jc w:val="left"/>
    </w:pPr>
    <w:rPr>
      <w:sz w:val="18"/>
      <w:szCs w:val="18"/>
    </w:rPr>
  </w:style>
  <w:style w:type="paragraph" w:styleId="7">
    <w:name w:val="Normal Indent"/>
    <w:basedOn w:val="1"/>
    <w:qFormat/>
    <w:uiPriority w:val="99"/>
    <w:pPr>
      <w:ind w:firstLine="420" w:firstLineChars="200"/>
    </w:pPr>
  </w:style>
  <w:style w:type="paragraph" w:styleId="8">
    <w:name w:val="toa heading"/>
    <w:basedOn w:val="1"/>
    <w:next w:val="1"/>
    <w:unhideWhenUsed/>
    <w:qFormat/>
    <w:uiPriority w:val="99"/>
    <w:pPr>
      <w:spacing w:before="120" w:beforeLines="0"/>
    </w:pPr>
    <w:rPr>
      <w:rFonts w:ascii="Cambria Math" w:hAnsi="Cambria Math" w:cs="仿宋_GB2312"/>
      <w:sz w:val="24"/>
      <w:szCs w:val="24"/>
    </w:rPr>
  </w:style>
  <w:style w:type="paragraph" w:styleId="9">
    <w:name w:val="footer"/>
    <w:basedOn w:val="1"/>
    <w:next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footnote text"/>
    <w:basedOn w:val="1"/>
    <w:qFormat/>
    <w:uiPriority w:val="99"/>
    <w:pPr>
      <w:adjustRightInd w:val="0"/>
      <w:snapToGrid w:val="0"/>
      <w:spacing w:line="420" w:lineRule="atLeast"/>
      <w:ind w:firstLine="454"/>
      <w:jc w:val="left"/>
      <w:textAlignment w:val="baseline"/>
    </w:pPr>
    <w:rPr>
      <w:kern w:val="0"/>
      <w:sz w:val="18"/>
      <w:szCs w:val="20"/>
    </w:rPr>
  </w:style>
  <w:style w:type="paragraph" w:styleId="12">
    <w:name w:val="Normal (Web)"/>
    <w:basedOn w:val="1"/>
    <w:qFormat/>
    <w:uiPriority w:val="0"/>
    <w:pPr>
      <w:widowControl/>
      <w:spacing w:before="100" w:beforeLines="0" w:beforeAutospacing="1" w:after="100" w:afterLines="0" w:afterAutospacing="1" w:line="432" w:lineRule="auto"/>
      <w:jc w:val="left"/>
    </w:pPr>
    <w:rPr>
      <w:rFonts w:ascii="宋体" w:hAnsi="宋体"/>
      <w:kern w:val="0"/>
      <w:szCs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otnote reference"/>
    <w:qFormat/>
    <w:uiPriority w:val="99"/>
    <w:rPr>
      <w:vertAlign w:val="superscript"/>
    </w:rPr>
  </w:style>
  <w:style w:type="paragraph" w:customStyle="1" w:styleId="17">
    <w:name w:val="Table Paragraph"/>
    <w:basedOn w:val="1"/>
    <w:qFormat/>
    <w:uiPriority w:val="1"/>
  </w:style>
  <w:style w:type="paragraph" w:customStyle="1" w:styleId="18">
    <w:name w:val="p0"/>
    <w:basedOn w:val="1"/>
    <w:qFormat/>
    <w:uiPriority w:val="0"/>
    <w:pPr>
      <w:widowControl/>
    </w:pPr>
    <w:rPr>
      <w:kern w:val="0"/>
      <w:szCs w:val="21"/>
    </w:rPr>
  </w:style>
  <w:style w:type="paragraph" w:customStyle="1" w:styleId="19">
    <w:name w:val="第一章-2级"/>
    <w:basedOn w:val="5"/>
    <w:qFormat/>
    <w:uiPriority w:val="99"/>
    <w:rPr>
      <w:sz w:val="36"/>
    </w:rPr>
  </w:style>
  <w:style w:type="paragraph" w:customStyle="1" w:styleId="20">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character" w:customStyle="1" w:styleId="21">
    <w:name w:val="font161"/>
    <w:qFormat/>
    <w:uiPriority w:val="99"/>
    <w:rPr>
      <w:b/>
      <w:bCs/>
      <w:sz w:val="32"/>
      <w:szCs w:val="32"/>
    </w:rPr>
  </w:style>
  <w:style w:type="table" w:customStyle="1" w:styleId="2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2018-06-08T05:26:00Z</dcterms:created>
  <dc:creator>Regina</dc:creator>
  <cp:lastModifiedBy>赵航翔</cp:lastModifiedBy>
  <dcterms:modified xsi:type="dcterms:W3CDTF">2022-11-07T04:41:20Z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DE2E0F17F68440A2BB3141D1137CEC1D</vt:lpwstr>
  </property>
</Properties>
</file>