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方正小标宋简体" w:cs="Times New Roman"/>
          <w:b/>
          <w:bCs/>
          <w:sz w:val="32"/>
          <w:szCs w:val="32"/>
          <w:lang w:val="en-US" w:eastAsia="zh-CN"/>
        </w:rPr>
      </w:pPr>
      <w:r>
        <w:rPr>
          <w:rFonts w:hint="eastAsia" w:ascii="Times New Roman" w:hAnsi="Times New Roman" w:eastAsia="方正小标宋简体" w:cs="Times New Roman"/>
          <w:b/>
          <w:bCs/>
          <w:sz w:val="32"/>
          <w:szCs w:val="32"/>
          <w:lang w:eastAsia="zh-CN"/>
        </w:rPr>
        <w:t>国道108线忻州境内砂河至石岭关段改建工程</w:t>
      </w:r>
      <w:r>
        <w:rPr>
          <w:rFonts w:hint="eastAsia" w:ascii="Times New Roman" w:hAnsi="Times New Roman" w:eastAsia="方正小标宋简体" w:cs="Times New Roman"/>
          <w:b/>
          <w:bCs/>
          <w:sz w:val="32"/>
          <w:szCs w:val="32"/>
          <w:lang w:val="en-US" w:eastAsia="zh-CN"/>
        </w:rPr>
        <w:t>第三方试验检测二次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b/>
          <w:bCs/>
          <w:sz w:val="32"/>
          <w:szCs w:val="32"/>
          <w:lang w:eastAsia="zh-CN"/>
        </w:rPr>
      </w:pPr>
      <w:r>
        <w:rPr>
          <w:rFonts w:hint="default" w:ascii="Times New Roman" w:hAnsi="Times New Roman" w:eastAsia="方正小标宋简体" w:cs="Times New Roman"/>
          <w:b/>
          <w:bCs/>
          <w:sz w:val="32"/>
          <w:szCs w:val="32"/>
          <w:lang w:eastAsia="zh-CN"/>
        </w:rPr>
        <w:t>关键内容公开</w:t>
      </w:r>
    </w:p>
    <w:p>
      <w:pPr>
        <w:pStyle w:val="2"/>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rPr>
          <w:rFonts w:hint="default" w:ascii="Times New Roman" w:hAnsi="Times New Roman" w:eastAsia="宋体" w:cs="Times New Roman"/>
          <w:b/>
          <w:bCs/>
          <w:color w:val="auto"/>
          <w:spacing w:val="0"/>
          <w:w w:val="100"/>
          <w:kern w:val="21"/>
          <w:position w:val="0"/>
          <w:sz w:val="24"/>
          <w:szCs w:val="24"/>
          <w:highlight w:val="none"/>
        </w:rPr>
      </w:pPr>
      <w:r>
        <w:rPr>
          <w:rFonts w:hint="default" w:ascii="Times New Roman" w:hAnsi="Times New Roman" w:eastAsia="宋体" w:cs="Times New Roman"/>
          <w:b/>
          <w:bCs/>
          <w:color w:val="auto"/>
          <w:spacing w:val="0"/>
          <w:w w:val="100"/>
          <w:kern w:val="21"/>
          <w:position w:val="0"/>
          <w:sz w:val="24"/>
          <w:szCs w:val="24"/>
          <w:highlight w:val="none"/>
          <w:lang w:val="en-US" w:eastAsia="zh-CN"/>
        </w:rPr>
        <w:t>一、</w:t>
      </w:r>
      <w:r>
        <w:rPr>
          <w:rFonts w:hint="default" w:ascii="Times New Roman" w:hAnsi="Times New Roman" w:eastAsia="宋体" w:cs="Times New Roman"/>
          <w:b/>
          <w:bCs/>
          <w:color w:val="auto"/>
          <w:spacing w:val="0"/>
          <w:w w:val="100"/>
          <w:kern w:val="21"/>
          <w:position w:val="0"/>
          <w:sz w:val="24"/>
          <w:szCs w:val="24"/>
          <w:highlight w:val="none"/>
        </w:rPr>
        <w:t>项目概况与招标范围</w:t>
      </w:r>
    </w:p>
    <w:p>
      <w:pPr>
        <w:spacing w:line="480" w:lineRule="exact"/>
        <w:ind w:firstLine="480"/>
        <w:rPr>
          <w:rFonts w:hint="eastAsia"/>
          <w:color w:val="auto"/>
          <w:sz w:val="24"/>
          <w:highlight w:val="none"/>
          <w:lang w:val="en-US" w:eastAsia="zh-CN"/>
        </w:rPr>
      </w:pPr>
      <w:r>
        <w:rPr>
          <w:rFonts w:hint="eastAsia"/>
          <w:color w:val="auto"/>
          <w:sz w:val="24"/>
          <w:highlight w:val="none"/>
          <w:lang w:val="en-US" w:eastAsia="zh-CN"/>
        </w:rPr>
        <w:t>1</w:t>
      </w:r>
      <w:r>
        <w:rPr>
          <w:rFonts w:hint="eastAsia"/>
          <w:color w:val="auto"/>
          <w:sz w:val="24"/>
          <w:highlight w:val="none"/>
        </w:rPr>
        <w:t>.1项目规模：</w:t>
      </w:r>
      <w:r>
        <w:rPr>
          <w:rFonts w:hint="eastAsia"/>
          <w:color w:val="auto"/>
          <w:sz w:val="24"/>
          <w:highlight w:val="none"/>
          <w:lang w:val="en-US" w:eastAsia="zh-CN"/>
        </w:rPr>
        <w:t>项目起点位于繁峙县集义庄乡东侧，与国道108线神堂堡至砂河段改建工程终点顺接，终点位于忻州市与太原市交界处石岭关村北，与国道108太原市境内段顺接，路线全长170.414公里。全线采用双向四车道一级公路标准建设，设计速度80公里/小时，路基宽度25.5米。桥涵设计汽车荷载等级采用公路-I级，其余技术指标按《公路工程技术标准》(JTGB01-2014)执行。</w:t>
      </w:r>
    </w:p>
    <w:p>
      <w:pPr>
        <w:spacing w:line="480" w:lineRule="exact"/>
        <w:ind w:firstLine="480"/>
        <w:rPr>
          <w:color w:val="auto"/>
          <w:sz w:val="24"/>
          <w:highlight w:val="none"/>
        </w:rPr>
      </w:pPr>
      <w:r>
        <w:rPr>
          <w:rFonts w:hint="eastAsia"/>
          <w:color w:val="auto"/>
          <w:sz w:val="24"/>
          <w:highlight w:val="none"/>
          <w:lang w:val="en-US" w:eastAsia="zh-CN"/>
        </w:rPr>
        <w:t>主要工程量：主线共设小泉沟特大桥1493米/1座、大中桥11768.5米/60座、小桥188米/6座、涵洞247道。全线共设互通立交6处，分离立交12座、通道98道、天桥22座、平面交叉77处。全线设收费站3处、养护工区4处、路段监控中心1处、超限检测站3处、房建面积17844.3平方米</w:t>
      </w:r>
      <w:r>
        <w:rPr>
          <w:rFonts w:hint="eastAsia"/>
          <w:color w:val="auto"/>
          <w:sz w:val="24"/>
          <w:highlight w:val="none"/>
          <w:lang w:eastAsia="zh-CN"/>
        </w:rPr>
        <w:t>。</w:t>
      </w:r>
      <w:r>
        <w:rPr>
          <w:rFonts w:hint="eastAsia"/>
          <w:color w:val="auto"/>
          <w:sz w:val="24"/>
          <w:highlight w:val="none"/>
        </w:rPr>
        <w:t>概算投资</w:t>
      </w:r>
      <w:r>
        <w:rPr>
          <w:rFonts w:hint="eastAsia"/>
          <w:color w:val="auto"/>
          <w:sz w:val="24"/>
          <w:highlight w:val="none"/>
          <w:lang w:val="en-US" w:eastAsia="zh-CN"/>
        </w:rPr>
        <w:t>92.3</w:t>
      </w:r>
      <w:r>
        <w:rPr>
          <w:rFonts w:hint="eastAsia"/>
          <w:color w:val="auto"/>
          <w:sz w:val="24"/>
          <w:highlight w:val="none"/>
        </w:rPr>
        <w:t>亿元，建设工期3年。</w:t>
      </w:r>
    </w:p>
    <w:p>
      <w:pPr>
        <w:spacing w:line="480" w:lineRule="exact"/>
        <w:ind w:firstLine="480"/>
        <w:rPr>
          <w:color w:val="auto"/>
          <w:sz w:val="24"/>
          <w:highlight w:val="none"/>
        </w:rPr>
      </w:pPr>
      <w:r>
        <w:rPr>
          <w:rFonts w:hint="eastAsia"/>
          <w:color w:val="auto"/>
          <w:sz w:val="24"/>
          <w:highlight w:val="none"/>
          <w:lang w:val="en-US" w:eastAsia="zh-CN"/>
        </w:rPr>
        <w:t>1</w:t>
      </w:r>
      <w:r>
        <w:rPr>
          <w:rFonts w:hint="eastAsia"/>
          <w:color w:val="auto"/>
          <w:sz w:val="24"/>
          <w:highlight w:val="none"/>
        </w:rPr>
        <w:t xml:space="preserve">.2招标内容与范围：本招标项目划分为 1 个标段，本次招标为其中的： </w:t>
      </w:r>
    </w:p>
    <w:p>
      <w:pPr>
        <w:spacing w:line="480" w:lineRule="exact"/>
        <w:ind w:firstLine="480"/>
        <w:rPr>
          <w:color w:val="auto"/>
          <w:sz w:val="24"/>
          <w:highlight w:val="none"/>
        </w:rPr>
      </w:pPr>
      <w:r>
        <w:rPr>
          <w:rFonts w:hint="eastAsia"/>
          <w:color w:val="auto"/>
          <w:sz w:val="24"/>
          <w:highlight w:val="none"/>
        </w:rPr>
        <w:t>001标段：主要招标范围为国道 108 线忻州境内砂河至石岭关段改建工程</w:t>
      </w:r>
      <w:r>
        <w:rPr>
          <w:rFonts w:hint="eastAsia"/>
          <w:color w:val="auto"/>
          <w:sz w:val="24"/>
          <w:highlight w:val="none"/>
          <w:lang w:val="en-US"/>
        </w:rPr>
        <w:t>土建、交通机电工程</w:t>
      </w:r>
      <w:r>
        <w:rPr>
          <w:rFonts w:hint="eastAsia"/>
          <w:color w:val="auto"/>
          <w:sz w:val="24"/>
          <w:highlight w:val="none"/>
        </w:rPr>
        <w:t>第三方试验检测， 负责对本项目所用材料、构配件、半成品、成品的质量和技术指标等进行抽检服务及业主委托的其他检测内容，独立公正出具试验检测数据和报告；检查、指导、监督施工单位、监理单位的试验室工作，并与施工、监理等单位开展水泥、集料、沥青、钢材、外加剂、支座</w:t>
      </w:r>
      <w:r>
        <w:rPr>
          <w:rFonts w:hint="eastAsia"/>
          <w:color w:val="auto"/>
          <w:sz w:val="24"/>
          <w:highlight w:val="none"/>
          <w:lang w:val="en-US"/>
        </w:rPr>
        <w:t>等</w:t>
      </w:r>
      <w:r>
        <w:rPr>
          <w:rFonts w:hint="eastAsia"/>
          <w:color w:val="auto"/>
          <w:sz w:val="24"/>
          <w:highlight w:val="none"/>
        </w:rPr>
        <w:t>检测数据对比，对试验检测结果负责</w:t>
      </w:r>
      <w:r>
        <w:rPr>
          <w:color w:val="auto"/>
          <w:sz w:val="24"/>
          <w:highlight w:val="none"/>
        </w:rPr>
        <w:t>。</w:t>
      </w:r>
    </w:p>
    <w:p>
      <w:pPr>
        <w:spacing w:line="480" w:lineRule="exact"/>
        <w:ind w:firstLine="480"/>
        <w:rPr>
          <w:color w:val="auto"/>
          <w:sz w:val="24"/>
          <w:highlight w:val="none"/>
        </w:rPr>
      </w:pPr>
      <w:r>
        <w:rPr>
          <w:rFonts w:hint="eastAsia"/>
          <w:color w:val="auto"/>
          <w:sz w:val="24"/>
          <w:highlight w:val="none"/>
          <w:lang w:val="en-US" w:eastAsia="zh-CN"/>
        </w:rPr>
        <w:t>1</w:t>
      </w:r>
      <w:r>
        <w:rPr>
          <w:rFonts w:hint="eastAsia"/>
          <w:color w:val="auto"/>
          <w:sz w:val="24"/>
          <w:highlight w:val="none"/>
        </w:rPr>
        <w:t>.3试验检测服务期：36个月（1095日历天）。</w:t>
      </w:r>
    </w:p>
    <w:p>
      <w:pPr>
        <w:topLinePunct/>
        <w:spacing w:before="120" w:beforeLines="50" w:after="120" w:afterLines="50" w:line="460" w:lineRule="exact"/>
        <w:outlineLvl w:val="1"/>
        <w:rPr>
          <w:color w:val="auto"/>
          <w:sz w:val="24"/>
          <w:highlight w:val="none"/>
        </w:rPr>
      </w:pPr>
      <w:bookmarkStart w:id="0" w:name="_Toc447602675"/>
      <w:r>
        <w:rPr>
          <w:rFonts w:hint="eastAsia" w:eastAsia="黑体"/>
          <w:bCs/>
          <w:color w:val="auto"/>
          <w:sz w:val="28"/>
          <w:szCs w:val="28"/>
          <w:highlight w:val="none"/>
          <w:lang w:val="en-US" w:eastAsia="zh-CN"/>
        </w:rPr>
        <w:t>二</w:t>
      </w:r>
      <w:r>
        <w:rPr>
          <w:rFonts w:eastAsia="黑体"/>
          <w:bCs/>
          <w:color w:val="auto"/>
          <w:sz w:val="28"/>
          <w:szCs w:val="28"/>
          <w:highlight w:val="none"/>
        </w:rPr>
        <w:t>、投标人资格要求</w:t>
      </w:r>
      <w:bookmarkEnd w:id="0"/>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480" w:firstLineChars="200"/>
        <w:jc w:val="left"/>
        <w:textAlignment w:val="auto"/>
        <w:outlineLvl w:val="9"/>
        <w:rPr>
          <w:rFonts w:hint="eastAsia" w:ascii="宋体" w:hAnsi="宋体"/>
          <w:color w:val="auto"/>
          <w:sz w:val="24"/>
          <w:highlight w:val="none"/>
        </w:rPr>
      </w:pPr>
      <w:r>
        <w:rPr>
          <w:rFonts w:hint="eastAsia"/>
          <w:color w:val="auto"/>
          <w:sz w:val="24"/>
          <w:highlight w:val="none"/>
          <w:lang w:eastAsia="zh-CN"/>
        </w:rPr>
        <w:t>2</w:t>
      </w:r>
      <w:r>
        <w:rPr>
          <w:rFonts w:hint="eastAsia" w:ascii="宋体" w:hAnsi="宋体"/>
          <w:color w:val="auto"/>
          <w:sz w:val="24"/>
          <w:highlight w:val="none"/>
        </w:rPr>
        <w:t>.1本次招标要求投标人应在中华人民共和国境内注册，持有工商行政管理部门核发且有效的企业法人营业执照</w:t>
      </w:r>
      <w:r>
        <w:rPr>
          <w:rFonts w:hint="eastAsia" w:ascii="宋体" w:hAnsi="宋体"/>
          <w:color w:val="auto"/>
          <w:sz w:val="24"/>
          <w:highlight w:val="none"/>
          <w:lang w:val="en-US" w:eastAsia="zh-CN"/>
        </w:rPr>
        <w:t>,同时</w:t>
      </w:r>
      <w:r>
        <w:rPr>
          <w:rFonts w:hint="eastAsia" w:ascii="宋体" w:hAnsi="宋体"/>
          <w:color w:val="auto"/>
          <w:sz w:val="24"/>
          <w:highlight w:val="none"/>
        </w:rPr>
        <w:t>必须具备下列资质和业绩要求，并在人员等方面具有承担相应标段试验检测的能力：</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480" w:firstLineChars="200"/>
        <w:jc w:val="left"/>
        <w:textAlignment w:val="auto"/>
        <w:outlineLvl w:val="9"/>
        <w:rPr>
          <w:rFonts w:hint="eastAsia" w:ascii="宋体" w:hAnsi="宋体"/>
          <w:color w:val="auto"/>
          <w:sz w:val="24"/>
          <w:highlight w:val="none"/>
        </w:rPr>
      </w:pPr>
      <w:r>
        <w:rPr>
          <w:rFonts w:hint="eastAsia"/>
          <w:color w:val="auto"/>
          <w:sz w:val="24"/>
          <w:highlight w:val="none"/>
          <w:lang w:eastAsia="zh-CN"/>
        </w:rPr>
        <w:t>2</w:t>
      </w:r>
      <w:r>
        <w:rPr>
          <w:rFonts w:hint="eastAsia" w:ascii="宋体" w:hAnsi="宋体"/>
          <w:color w:val="auto"/>
          <w:sz w:val="24"/>
          <w:highlight w:val="none"/>
        </w:rPr>
        <w:t>.1.1资质要求：同时具备交通运输部颁发的公路工程试验检测综合甲级及桥梁隧道工程专项资质和交通工程专项资质，省级及以上</w:t>
      </w:r>
      <w:r>
        <w:rPr>
          <w:rFonts w:hint="eastAsia" w:ascii="宋体" w:hAnsi="宋体"/>
          <w:color w:val="auto"/>
          <w:sz w:val="24"/>
          <w:highlight w:val="none"/>
          <w:lang w:val="en-US"/>
        </w:rPr>
        <w:t>市场监管部门</w:t>
      </w:r>
      <w:r>
        <w:rPr>
          <w:rFonts w:hint="eastAsia" w:ascii="宋体" w:hAnsi="宋体"/>
          <w:color w:val="auto"/>
          <w:sz w:val="24"/>
          <w:highlight w:val="none"/>
        </w:rPr>
        <w:t>颁发的计量认证证书（</w:t>
      </w:r>
      <w:r>
        <w:rPr>
          <w:rFonts w:hint="eastAsia" w:ascii="宋体" w:hAnsi="宋体"/>
          <w:color w:val="auto"/>
          <w:sz w:val="24"/>
          <w:highlight w:val="none"/>
          <w:lang w:val="en-US"/>
        </w:rPr>
        <w:t>在有效期内并</w:t>
      </w:r>
      <w:r>
        <w:rPr>
          <w:rFonts w:hint="eastAsia" w:ascii="宋体" w:hAnsi="宋体"/>
          <w:color w:val="auto"/>
          <w:sz w:val="24"/>
          <w:highlight w:val="none"/>
        </w:rPr>
        <w:t>涵盖本项目的试验检测参数）。</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480" w:firstLineChars="200"/>
        <w:jc w:val="left"/>
        <w:textAlignment w:val="auto"/>
        <w:outlineLvl w:val="9"/>
        <w:rPr>
          <w:rFonts w:hint="eastAsia" w:ascii="宋体" w:hAnsi="宋体"/>
          <w:color w:val="auto"/>
          <w:sz w:val="24"/>
          <w:highlight w:val="none"/>
          <w:lang w:val="en-US" w:eastAsia="zh-CN"/>
        </w:rPr>
      </w:pPr>
      <w:r>
        <w:rPr>
          <w:rFonts w:hint="eastAsia"/>
          <w:color w:val="auto"/>
          <w:sz w:val="24"/>
          <w:highlight w:val="none"/>
          <w:lang w:eastAsia="zh-CN"/>
        </w:rPr>
        <w:t>2</w:t>
      </w:r>
      <w:r>
        <w:rPr>
          <w:rFonts w:hint="eastAsia" w:ascii="宋体" w:hAnsi="宋体"/>
          <w:color w:val="auto"/>
          <w:sz w:val="24"/>
          <w:highlight w:val="none"/>
        </w:rPr>
        <w:t>.1.2业绩要求：近</w:t>
      </w:r>
      <w:r>
        <w:rPr>
          <w:rFonts w:hint="eastAsia" w:ascii="宋体" w:hAnsi="宋体"/>
          <w:color w:val="auto"/>
          <w:sz w:val="24"/>
          <w:highlight w:val="none"/>
          <w:lang w:eastAsia="zh-CN"/>
        </w:rPr>
        <w:t>五年</w:t>
      </w:r>
      <w:r>
        <w:rPr>
          <w:rFonts w:hint="eastAsia" w:ascii="宋体" w:hAnsi="宋体"/>
          <w:color w:val="auto"/>
          <w:sz w:val="24"/>
          <w:highlight w:val="none"/>
        </w:rPr>
        <w:t>（</w:t>
      </w:r>
      <w:r>
        <w:rPr>
          <w:rFonts w:hint="eastAsia" w:ascii="宋体" w:hAnsi="宋体"/>
          <w:color w:val="auto"/>
          <w:sz w:val="24"/>
          <w:highlight w:val="none"/>
          <w:lang w:eastAsia="zh-CN"/>
        </w:rPr>
        <w:t>2017年</w:t>
      </w:r>
      <w:r>
        <w:rPr>
          <w:rFonts w:hint="eastAsia"/>
          <w:color w:val="auto"/>
          <w:sz w:val="24"/>
          <w:highlight w:val="none"/>
          <w:lang w:val="en-US" w:eastAsia="zh-CN"/>
        </w:rPr>
        <w:t>10月</w:t>
      </w:r>
      <w:r>
        <w:rPr>
          <w:rFonts w:hint="eastAsia" w:ascii="宋体" w:hAnsi="宋体"/>
          <w:color w:val="auto"/>
          <w:sz w:val="24"/>
          <w:highlight w:val="none"/>
          <w:lang w:val="en-US" w:eastAsia="zh-CN"/>
        </w:rPr>
        <w:t>1日</w:t>
      </w:r>
      <w:r>
        <w:rPr>
          <w:rFonts w:hint="eastAsia" w:ascii="宋体" w:hAnsi="宋体"/>
          <w:color w:val="auto"/>
          <w:sz w:val="24"/>
          <w:highlight w:val="none"/>
        </w:rPr>
        <w:t>至投标文件递交截止之日，</w:t>
      </w:r>
      <w:r>
        <w:rPr>
          <w:rFonts w:hint="eastAsia" w:ascii="宋体" w:hAnsi="宋体"/>
          <w:color w:val="auto"/>
          <w:sz w:val="24"/>
          <w:highlight w:val="none"/>
          <w:lang w:eastAsia="zh-CN"/>
        </w:rPr>
        <w:t>业绩时间以交（竣）工证书时间为准</w:t>
      </w:r>
      <w:r>
        <w:rPr>
          <w:rFonts w:hint="eastAsia" w:ascii="宋体" w:hAnsi="宋体"/>
          <w:color w:val="auto"/>
          <w:sz w:val="24"/>
          <w:highlight w:val="none"/>
        </w:rPr>
        <w:t>）至少</w:t>
      </w:r>
      <w:r>
        <w:rPr>
          <w:rFonts w:hint="eastAsia" w:ascii="宋体" w:hAnsi="宋体"/>
          <w:color w:val="auto"/>
          <w:sz w:val="24"/>
          <w:highlight w:val="none"/>
          <w:lang w:eastAsia="zh-CN"/>
        </w:rPr>
        <w:t>：①</w:t>
      </w:r>
      <w:r>
        <w:rPr>
          <w:rFonts w:hint="eastAsia" w:ascii="宋体" w:hAnsi="宋体"/>
          <w:color w:val="auto"/>
          <w:sz w:val="24"/>
          <w:highlight w:val="none"/>
        </w:rPr>
        <w:t>独立完成过2项（含2项）一级及以上新（改）建公路工程</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单项合同金额均在500万元以上</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第三方检测项目或中心试验室项目</w:t>
      </w:r>
      <w:r>
        <w:rPr>
          <w:rFonts w:hint="eastAsia" w:ascii="宋体" w:hAnsi="宋体"/>
          <w:color w:val="auto"/>
          <w:sz w:val="24"/>
          <w:highlight w:val="none"/>
        </w:rPr>
        <w:t>（</w:t>
      </w:r>
      <w:r>
        <w:rPr>
          <w:rFonts w:hint="eastAsia" w:ascii="宋体" w:hAnsi="宋体"/>
          <w:color w:val="auto"/>
          <w:sz w:val="24"/>
          <w:highlight w:val="none"/>
          <w:lang w:val="en-US" w:eastAsia="zh-CN"/>
        </w:rPr>
        <w:t>检测内容须</w:t>
      </w:r>
      <w:r>
        <w:rPr>
          <w:rFonts w:hint="eastAsia" w:ascii="宋体" w:hAnsi="宋体"/>
          <w:color w:val="auto"/>
          <w:sz w:val="24"/>
          <w:highlight w:val="none"/>
          <w:lang w:eastAsia="zh-CN"/>
        </w:rPr>
        <w:t>包含路基、路面、桥梁的试验检</w:t>
      </w:r>
      <w:r>
        <w:rPr>
          <w:rFonts w:hint="eastAsia" w:ascii="宋体" w:hAnsi="宋体"/>
          <w:color w:val="auto"/>
          <w:sz w:val="24"/>
          <w:highlight w:val="none"/>
          <w:lang w:val="en-US" w:eastAsia="zh-CN"/>
        </w:rPr>
        <w:t>测）；②独立完成过1项一级及以上新（改）建公路包含机电工程试验检测项目。</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480" w:firstLineChars="200"/>
        <w:jc w:val="left"/>
        <w:textAlignment w:val="auto"/>
        <w:outlineLvl w:val="9"/>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注：同一合同中包含多项内容时，按多项分别认定。</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480" w:firstLineChars="200"/>
        <w:jc w:val="left"/>
        <w:textAlignment w:val="auto"/>
        <w:outlineLvl w:val="9"/>
        <w:rPr>
          <w:rFonts w:hint="eastAsia" w:ascii="宋体" w:hAnsi="宋体"/>
          <w:color w:val="auto"/>
          <w:sz w:val="24"/>
          <w:highlight w:val="none"/>
        </w:rPr>
      </w:pPr>
      <w:r>
        <w:rPr>
          <w:rFonts w:hint="eastAsia"/>
          <w:color w:val="auto"/>
          <w:sz w:val="24"/>
          <w:highlight w:val="none"/>
          <w:lang w:eastAsia="zh-CN"/>
        </w:rPr>
        <w:t>2</w:t>
      </w:r>
      <w:r>
        <w:rPr>
          <w:rFonts w:hint="eastAsia" w:ascii="宋体" w:hAnsi="宋体"/>
          <w:color w:val="auto"/>
          <w:sz w:val="24"/>
          <w:highlight w:val="none"/>
        </w:rPr>
        <w:t>.1.</w:t>
      </w:r>
      <w:r>
        <w:rPr>
          <w:rFonts w:hint="eastAsia" w:ascii="宋体" w:hAnsi="宋体"/>
          <w:color w:val="auto"/>
          <w:sz w:val="24"/>
          <w:highlight w:val="none"/>
          <w:lang w:val="en-US" w:eastAsia="zh-CN"/>
        </w:rPr>
        <w:t>3财务</w:t>
      </w:r>
      <w:r>
        <w:rPr>
          <w:rFonts w:hint="eastAsia" w:ascii="宋体" w:hAnsi="宋体"/>
          <w:color w:val="auto"/>
          <w:sz w:val="24"/>
          <w:highlight w:val="none"/>
        </w:rPr>
        <w:t>要求：投标人202</w:t>
      </w:r>
      <w:r>
        <w:rPr>
          <w:rFonts w:hint="eastAsia" w:ascii="宋体" w:hAnsi="宋体"/>
          <w:color w:val="auto"/>
          <w:sz w:val="24"/>
          <w:highlight w:val="none"/>
          <w:lang w:eastAsia="zh-CN"/>
        </w:rPr>
        <w:t>1</w:t>
      </w:r>
      <w:r>
        <w:rPr>
          <w:rFonts w:hint="eastAsia" w:ascii="宋体" w:hAnsi="宋体"/>
          <w:color w:val="auto"/>
          <w:sz w:val="24"/>
          <w:highlight w:val="none"/>
        </w:rPr>
        <w:t>年度财务流动资产与流动负债比率大于1。</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480" w:firstLineChars="200"/>
        <w:jc w:val="left"/>
        <w:textAlignment w:val="auto"/>
        <w:outlineLvl w:val="9"/>
        <w:rPr>
          <w:rFonts w:hint="eastAsia" w:ascii="宋体" w:hAnsi="宋体"/>
          <w:color w:val="auto"/>
          <w:sz w:val="24"/>
          <w:highlight w:val="none"/>
        </w:rPr>
      </w:pPr>
      <w:r>
        <w:rPr>
          <w:rFonts w:hint="eastAsia"/>
          <w:color w:val="auto"/>
          <w:sz w:val="24"/>
          <w:highlight w:val="none"/>
          <w:lang w:eastAsia="zh-CN"/>
        </w:rPr>
        <w:t>2</w:t>
      </w:r>
      <w:r>
        <w:rPr>
          <w:rFonts w:hint="eastAsia" w:ascii="宋体" w:hAnsi="宋体"/>
          <w:color w:val="auto"/>
          <w:sz w:val="24"/>
          <w:highlight w:val="none"/>
        </w:rPr>
        <w:t>.1.</w:t>
      </w:r>
      <w:r>
        <w:rPr>
          <w:rFonts w:hint="eastAsia" w:ascii="宋体" w:hAnsi="宋体"/>
          <w:color w:val="auto"/>
          <w:sz w:val="24"/>
          <w:highlight w:val="none"/>
          <w:lang w:val="en-US" w:eastAsia="zh-CN"/>
        </w:rPr>
        <w:t>4</w:t>
      </w:r>
      <w:r>
        <w:rPr>
          <w:rFonts w:hint="eastAsia" w:ascii="宋体" w:hAnsi="宋体"/>
          <w:color w:val="auto"/>
          <w:sz w:val="24"/>
          <w:highlight w:val="none"/>
        </w:rPr>
        <w:t>项目负责人要求：1名，高级工程师或以上职称，</w:t>
      </w:r>
      <w:r>
        <w:rPr>
          <w:rFonts w:hint="eastAsia" w:ascii="宋体" w:hAnsi="宋体"/>
          <w:color w:val="auto"/>
          <w:sz w:val="24"/>
          <w:highlight w:val="none"/>
          <w:lang w:eastAsia="zh-CN"/>
        </w:rPr>
        <w:t>持有人力资源和社会保障部颁发的试验检测师证书或交通运输部颁发的试验检测工程师证书</w:t>
      </w:r>
      <w:r>
        <w:rPr>
          <w:rFonts w:hint="eastAsia" w:ascii="宋体" w:hAnsi="宋体" w:cs="宋体"/>
          <w:color w:val="auto"/>
          <w:sz w:val="24"/>
          <w:highlight w:val="none"/>
          <w:lang w:eastAsia="zh-CN"/>
        </w:rPr>
        <w:t>（专业含道路工程或同时包含公路、材料，必须是投标人单位注册人员）</w:t>
      </w:r>
      <w:r>
        <w:rPr>
          <w:rFonts w:hint="eastAsia" w:ascii="宋体" w:hAnsi="宋体"/>
          <w:color w:val="auto"/>
          <w:sz w:val="24"/>
          <w:highlight w:val="none"/>
        </w:rPr>
        <w:t>，作为项目负责人（或试验室主任）至少完成过</w:t>
      </w:r>
      <w:r>
        <w:rPr>
          <w:rFonts w:hint="eastAsia" w:ascii="宋体" w:hAnsi="宋体"/>
          <w:color w:val="auto"/>
          <w:sz w:val="24"/>
          <w:highlight w:val="none"/>
          <w:lang w:val="en-US" w:eastAsia="zh-CN"/>
        </w:rPr>
        <w:t>1</w:t>
      </w:r>
      <w:r>
        <w:rPr>
          <w:rFonts w:hint="eastAsia" w:ascii="宋体" w:hAnsi="宋体"/>
          <w:color w:val="auto"/>
          <w:sz w:val="24"/>
          <w:highlight w:val="none"/>
        </w:rPr>
        <w:t>项（含</w:t>
      </w:r>
      <w:r>
        <w:rPr>
          <w:rFonts w:hint="eastAsia" w:ascii="宋体" w:hAnsi="宋体"/>
          <w:color w:val="auto"/>
          <w:sz w:val="24"/>
          <w:highlight w:val="none"/>
          <w:lang w:val="en-US" w:eastAsia="zh-CN"/>
        </w:rPr>
        <w:t>1</w:t>
      </w:r>
      <w:r>
        <w:rPr>
          <w:rFonts w:hint="eastAsia" w:ascii="宋体" w:hAnsi="宋体"/>
          <w:color w:val="auto"/>
          <w:sz w:val="24"/>
          <w:highlight w:val="none"/>
        </w:rPr>
        <w:t>项）</w:t>
      </w:r>
      <w:r>
        <w:rPr>
          <w:rFonts w:hint="eastAsia" w:ascii="宋体" w:hAnsi="宋体"/>
          <w:color w:val="auto"/>
          <w:sz w:val="24"/>
          <w:highlight w:val="none"/>
          <w:lang w:val="en-US" w:eastAsia="zh-CN"/>
        </w:rPr>
        <w:t>500万元以上的</w:t>
      </w:r>
      <w:r>
        <w:rPr>
          <w:rFonts w:hint="eastAsia" w:ascii="宋体" w:hAnsi="宋体"/>
          <w:color w:val="auto"/>
          <w:sz w:val="24"/>
          <w:highlight w:val="none"/>
        </w:rPr>
        <w:t>一级及以上新（改）建公路工程</w:t>
      </w:r>
      <w:r>
        <w:rPr>
          <w:rFonts w:hint="eastAsia" w:ascii="宋体" w:hAnsi="宋体"/>
          <w:color w:val="auto"/>
          <w:sz w:val="24"/>
          <w:highlight w:val="none"/>
          <w:lang w:val="en-US" w:eastAsia="zh-CN"/>
        </w:rPr>
        <w:t>中心试验室项目</w:t>
      </w:r>
      <w:r>
        <w:rPr>
          <w:rFonts w:hint="eastAsia" w:ascii="宋体" w:hAnsi="宋体"/>
          <w:color w:val="auto"/>
          <w:sz w:val="24"/>
          <w:highlight w:val="none"/>
        </w:rPr>
        <w:t>（</w:t>
      </w:r>
      <w:r>
        <w:rPr>
          <w:rFonts w:hint="eastAsia" w:ascii="宋体" w:hAnsi="宋体"/>
          <w:color w:val="auto"/>
          <w:sz w:val="24"/>
          <w:highlight w:val="none"/>
          <w:lang w:eastAsia="zh-CN"/>
        </w:rPr>
        <w:t>至少包含路基、路面、桥梁的试验检测</w:t>
      </w:r>
      <w:r>
        <w:rPr>
          <w:rFonts w:hint="eastAsia" w:ascii="宋体" w:hAnsi="宋体"/>
          <w:color w:val="auto"/>
          <w:sz w:val="24"/>
          <w:highlight w:val="none"/>
        </w:rPr>
        <w:t>）。</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480" w:firstLineChars="200"/>
        <w:jc w:val="left"/>
        <w:textAlignment w:val="auto"/>
        <w:outlineLvl w:val="9"/>
        <w:rPr>
          <w:rFonts w:hint="eastAsia" w:ascii="宋体" w:hAnsi="宋体"/>
          <w:color w:val="auto"/>
          <w:sz w:val="24"/>
          <w:highlight w:val="none"/>
        </w:rPr>
      </w:pPr>
      <w:r>
        <w:rPr>
          <w:rFonts w:hint="eastAsia"/>
          <w:color w:val="auto"/>
          <w:sz w:val="24"/>
          <w:highlight w:val="none"/>
          <w:lang w:eastAsia="zh-CN"/>
        </w:rPr>
        <w:t>2</w:t>
      </w:r>
      <w:r>
        <w:rPr>
          <w:rFonts w:hint="eastAsia" w:ascii="宋体" w:hAnsi="宋体"/>
          <w:color w:val="auto"/>
          <w:sz w:val="24"/>
          <w:highlight w:val="none"/>
        </w:rPr>
        <w:t>.2本次招标</w:t>
      </w:r>
      <w:r>
        <w:rPr>
          <w:rFonts w:hint="eastAsia" w:ascii="宋体" w:hAnsi="宋体"/>
          <w:color w:val="auto"/>
          <w:sz w:val="24"/>
          <w:highlight w:val="none"/>
          <w:lang w:val="en-US" w:eastAsia="zh-CN"/>
        </w:rPr>
        <w:t>不</w:t>
      </w:r>
      <w:r>
        <w:rPr>
          <w:rFonts w:hint="eastAsia" w:ascii="宋体" w:hAnsi="宋体"/>
          <w:color w:val="auto"/>
          <w:sz w:val="24"/>
          <w:highlight w:val="none"/>
        </w:rPr>
        <w:t>接受联合体投标。</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480" w:firstLineChars="200"/>
        <w:jc w:val="left"/>
        <w:textAlignment w:val="auto"/>
        <w:outlineLvl w:val="9"/>
        <w:rPr>
          <w:rFonts w:hint="eastAsia" w:ascii="宋体" w:hAnsi="宋体"/>
          <w:color w:val="auto"/>
          <w:sz w:val="24"/>
          <w:highlight w:val="none"/>
        </w:rPr>
      </w:pPr>
      <w:r>
        <w:rPr>
          <w:rFonts w:hint="eastAsia"/>
          <w:color w:val="auto"/>
          <w:sz w:val="24"/>
          <w:highlight w:val="none"/>
          <w:lang w:eastAsia="zh-CN"/>
        </w:rPr>
        <w:t>2</w:t>
      </w:r>
      <w:r>
        <w:rPr>
          <w:rFonts w:hint="eastAsia" w:ascii="宋体" w:hAnsi="宋体"/>
          <w:color w:val="auto"/>
          <w:sz w:val="24"/>
          <w:highlight w:val="none"/>
        </w:rPr>
        <w:t>.3凡被交通运输部或山西省交通运输厅取消投标资格或禁止进入建设市场的企业，在处罚期内无资格参与本项目的投标。</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480" w:firstLineChars="200"/>
        <w:jc w:val="left"/>
        <w:textAlignment w:val="auto"/>
        <w:outlineLvl w:val="9"/>
        <w:rPr>
          <w:rFonts w:hint="eastAsia" w:ascii="宋体" w:hAnsi="宋体"/>
          <w:color w:val="auto"/>
          <w:sz w:val="24"/>
          <w:highlight w:val="none"/>
        </w:rPr>
      </w:pPr>
      <w:r>
        <w:rPr>
          <w:rFonts w:hint="eastAsia"/>
          <w:color w:val="auto"/>
          <w:sz w:val="24"/>
          <w:highlight w:val="none"/>
          <w:lang w:eastAsia="zh-CN"/>
        </w:rPr>
        <w:t>2</w:t>
      </w:r>
      <w:r>
        <w:rPr>
          <w:rFonts w:hint="eastAsia" w:ascii="宋体" w:hAnsi="宋体"/>
          <w:color w:val="auto"/>
          <w:sz w:val="24"/>
          <w:highlight w:val="none"/>
        </w:rPr>
        <w:t>.4单位负责人为同一人或者存在控股、管理关系的不同单位、具有投资参股关系的关联企业，不得同时参与本标段的投标；企</w:t>
      </w:r>
      <w:r>
        <w:rPr>
          <w:rFonts w:hint="eastAsia" w:ascii="宋体" w:hAnsi="宋体"/>
          <w:color w:val="auto"/>
          <w:sz w:val="24"/>
          <w:highlight w:val="none"/>
          <w:lang w:val="en-US" w:eastAsia="zh-CN"/>
        </w:rPr>
        <w:t>业主</w:t>
      </w:r>
      <w:r>
        <w:rPr>
          <w:rFonts w:hint="eastAsia" w:ascii="宋体" w:hAnsi="宋体"/>
          <w:color w:val="auto"/>
          <w:sz w:val="24"/>
          <w:highlight w:val="none"/>
        </w:rPr>
        <w:t>要负责人（董事、监事、总经理、副总经理和财务负责人等）相互兼职的关联企业，不得同时参与同一标段的投标，否则，相关投标均无效。</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480" w:firstLineChars="200"/>
        <w:jc w:val="left"/>
        <w:textAlignment w:val="auto"/>
        <w:outlineLvl w:val="9"/>
        <w:rPr>
          <w:rFonts w:hint="eastAsia" w:ascii="宋体" w:hAnsi="宋体"/>
          <w:color w:val="auto"/>
          <w:sz w:val="24"/>
          <w:highlight w:val="none"/>
          <w:lang w:val="en-US" w:eastAsia="zh-CN"/>
        </w:rPr>
      </w:pPr>
      <w:r>
        <w:rPr>
          <w:rFonts w:hint="eastAsia"/>
          <w:color w:val="auto"/>
          <w:sz w:val="24"/>
          <w:highlight w:val="none"/>
          <w:lang w:eastAsia="zh-CN"/>
        </w:rPr>
        <w:t>2</w:t>
      </w:r>
      <w:r>
        <w:rPr>
          <w:rFonts w:hint="eastAsia" w:ascii="宋体" w:hAnsi="宋体"/>
          <w:color w:val="auto"/>
          <w:sz w:val="24"/>
          <w:highlight w:val="none"/>
        </w:rPr>
        <w:t>.</w:t>
      </w:r>
      <w:bookmarkStart w:id="1" w:name="_Hlk501985731"/>
      <w:r>
        <w:rPr>
          <w:rFonts w:hint="eastAsia" w:ascii="宋体" w:hAnsi="宋体"/>
          <w:color w:val="auto"/>
          <w:sz w:val="24"/>
          <w:highlight w:val="none"/>
        </w:rPr>
        <w:t>5与山西路桥建设集团有限公司及其关联的试验检测机构具有关联关系的投标人不得参与本项目的投标</w:t>
      </w:r>
      <w:bookmarkEnd w:id="1"/>
      <w:r>
        <w:rPr>
          <w:rFonts w:hint="eastAsia" w:ascii="宋体" w:hAnsi="宋体"/>
          <w:color w:val="auto"/>
          <w:sz w:val="24"/>
          <w:highlight w:val="none"/>
          <w:lang w:eastAsia="zh-CN"/>
        </w:rPr>
        <w:t>；</w:t>
      </w:r>
      <w:r>
        <w:rPr>
          <w:rFonts w:hint="eastAsia" w:ascii="宋体" w:hAnsi="宋体"/>
          <w:color w:val="auto"/>
          <w:sz w:val="24"/>
          <w:highlight w:val="none"/>
          <w:lang w:val="en-US" w:eastAsia="zh-CN"/>
        </w:rPr>
        <w:t>与国道108线忻州境内砂河至石岭关段改建工程施工监理中标单位及其关联的试验检测机构具有关联关系的投标人不得参与本项目的投标。</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480" w:firstLineChars="200"/>
        <w:jc w:val="left"/>
        <w:textAlignment w:val="auto"/>
        <w:outlineLvl w:val="9"/>
        <w:rPr>
          <w:rFonts w:hint="eastAsia" w:ascii="宋体" w:hAnsi="宋体"/>
          <w:color w:val="auto"/>
          <w:sz w:val="24"/>
          <w:highlight w:val="none"/>
        </w:rPr>
      </w:pPr>
      <w:r>
        <w:rPr>
          <w:rFonts w:hint="eastAsia"/>
          <w:color w:val="auto"/>
          <w:sz w:val="24"/>
          <w:highlight w:val="none"/>
          <w:lang w:eastAsia="zh-CN"/>
        </w:rPr>
        <w:t>2</w:t>
      </w:r>
      <w:r>
        <w:rPr>
          <w:rFonts w:hint="eastAsia" w:ascii="宋体" w:hAnsi="宋体"/>
          <w:color w:val="auto"/>
          <w:sz w:val="24"/>
          <w:highlight w:val="none"/>
        </w:rPr>
        <w:t>.6投标人在“信用中国”网站（http://www.creditchina.gov.cn/）中未被列入</w:t>
      </w:r>
      <w:r>
        <w:rPr>
          <w:rFonts w:hint="eastAsia" w:ascii="宋体" w:hAnsi="宋体"/>
          <w:color w:val="auto"/>
          <w:sz w:val="24"/>
          <w:highlight w:val="none"/>
          <w:lang w:eastAsia="zh-CN"/>
        </w:rPr>
        <w:t>“严重失信主体名单”</w:t>
      </w:r>
      <w:r>
        <w:rPr>
          <w:rFonts w:hint="eastAsia" w:ascii="宋体" w:hAnsi="宋体"/>
          <w:color w:val="auto"/>
          <w:sz w:val="24"/>
          <w:highlight w:val="none"/>
        </w:rPr>
        <w:t>。</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480" w:firstLineChars="200"/>
        <w:jc w:val="left"/>
        <w:textAlignment w:val="auto"/>
        <w:outlineLvl w:val="9"/>
        <w:rPr>
          <w:rFonts w:hint="eastAsia" w:ascii="宋体" w:hAnsi="宋体"/>
          <w:color w:val="auto"/>
          <w:sz w:val="24"/>
          <w:highlight w:val="none"/>
        </w:rPr>
      </w:pPr>
      <w:r>
        <w:rPr>
          <w:rFonts w:hint="eastAsia"/>
          <w:color w:val="auto"/>
          <w:sz w:val="24"/>
          <w:highlight w:val="none"/>
          <w:lang w:eastAsia="zh-CN"/>
        </w:rPr>
        <w:t>2</w:t>
      </w:r>
      <w:r>
        <w:rPr>
          <w:rFonts w:hint="eastAsia" w:ascii="宋体" w:hAnsi="宋体"/>
          <w:color w:val="auto"/>
          <w:sz w:val="24"/>
          <w:highlight w:val="none"/>
        </w:rPr>
        <w:t>.7投标人在国家企业信用信息公示系统（</w:t>
      </w:r>
      <w:r>
        <w:rPr>
          <w:rFonts w:hint="eastAsia" w:ascii="宋体" w:hAnsi="宋体"/>
          <w:color w:val="auto"/>
          <w:sz w:val="24"/>
          <w:highlight w:val="none"/>
        </w:rPr>
        <w:fldChar w:fldCharType="begin"/>
      </w:r>
      <w:r>
        <w:rPr>
          <w:rFonts w:hint="eastAsia" w:ascii="宋体" w:hAnsi="宋体"/>
          <w:color w:val="auto"/>
          <w:sz w:val="24"/>
          <w:highlight w:val="none"/>
        </w:rPr>
        <w:instrText xml:space="preserve"> HYPERLINK "http://www.gsxt.gov.cn/" \h </w:instrText>
      </w:r>
      <w:r>
        <w:rPr>
          <w:rFonts w:hint="eastAsia" w:ascii="宋体" w:hAnsi="宋体"/>
          <w:color w:val="auto"/>
          <w:sz w:val="24"/>
          <w:highlight w:val="none"/>
        </w:rPr>
        <w:fldChar w:fldCharType="separate"/>
      </w:r>
      <w:r>
        <w:rPr>
          <w:rFonts w:hint="eastAsia" w:ascii="宋体" w:hAnsi="宋体"/>
          <w:color w:val="auto"/>
          <w:sz w:val="24"/>
          <w:highlight w:val="none"/>
        </w:rPr>
        <w:t>http://www.gsxt.gov.cn/</w:t>
      </w:r>
      <w:r>
        <w:rPr>
          <w:rFonts w:hint="eastAsia" w:ascii="宋体" w:hAnsi="宋体"/>
          <w:color w:val="auto"/>
          <w:sz w:val="24"/>
          <w:highlight w:val="none"/>
        </w:rPr>
        <w:fldChar w:fldCharType="end"/>
      </w:r>
      <w:r>
        <w:rPr>
          <w:rFonts w:hint="eastAsia" w:ascii="宋体" w:hAnsi="宋体"/>
          <w:color w:val="auto"/>
          <w:sz w:val="24"/>
          <w:highlight w:val="none"/>
        </w:rPr>
        <w:t>）中未被列入严重违法失信企业名单。</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480" w:firstLineChars="200"/>
        <w:jc w:val="left"/>
        <w:textAlignment w:val="auto"/>
        <w:outlineLvl w:val="9"/>
        <w:rPr>
          <w:rFonts w:hint="eastAsia" w:ascii="宋体" w:hAnsi="宋体"/>
          <w:color w:val="auto"/>
          <w:sz w:val="24"/>
          <w:highlight w:val="none"/>
        </w:rPr>
      </w:pPr>
      <w:r>
        <w:rPr>
          <w:rFonts w:hint="eastAsia"/>
          <w:color w:val="auto"/>
          <w:sz w:val="24"/>
          <w:highlight w:val="none"/>
          <w:lang w:eastAsia="zh-CN"/>
        </w:rPr>
        <w:t>2</w:t>
      </w:r>
      <w:r>
        <w:rPr>
          <w:rFonts w:hint="eastAsia" w:ascii="宋体" w:hAnsi="宋体"/>
          <w:color w:val="auto"/>
          <w:sz w:val="24"/>
          <w:highlight w:val="none"/>
        </w:rPr>
        <w:t>.8投标人及其法定代表人、拟派项目负责人近三年内（</w:t>
      </w:r>
      <w:r>
        <w:rPr>
          <w:rFonts w:hint="eastAsia" w:ascii="宋体" w:hAnsi="宋体"/>
          <w:color w:val="auto"/>
          <w:sz w:val="24"/>
          <w:highlight w:val="none"/>
          <w:lang w:eastAsia="zh-CN"/>
        </w:rPr>
        <w:t>2019年</w:t>
      </w:r>
      <w:r>
        <w:rPr>
          <w:rFonts w:hint="eastAsia"/>
          <w:color w:val="auto"/>
          <w:sz w:val="24"/>
          <w:highlight w:val="none"/>
          <w:lang w:val="en-US" w:eastAsia="zh-CN"/>
        </w:rPr>
        <w:t>10月</w:t>
      </w:r>
      <w:r>
        <w:rPr>
          <w:rFonts w:hint="eastAsia" w:ascii="宋体" w:hAnsi="宋体"/>
          <w:color w:val="auto"/>
          <w:sz w:val="24"/>
          <w:highlight w:val="none"/>
          <w:lang w:val="en-US" w:eastAsia="zh-CN"/>
        </w:rPr>
        <w:t>1日</w:t>
      </w:r>
      <w:r>
        <w:rPr>
          <w:rFonts w:hint="eastAsia" w:ascii="宋体" w:hAnsi="宋体"/>
          <w:color w:val="auto"/>
          <w:sz w:val="24"/>
          <w:highlight w:val="none"/>
        </w:rPr>
        <w:t>至今）无行贿犯罪行为。</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480" w:firstLineChars="200"/>
        <w:jc w:val="left"/>
        <w:textAlignment w:val="auto"/>
        <w:outlineLvl w:val="9"/>
        <w:rPr>
          <w:rFonts w:hint="eastAsia" w:ascii="宋体" w:hAnsi="宋体"/>
          <w:color w:val="auto"/>
          <w:sz w:val="24"/>
          <w:highlight w:val="none"/>
        </w:rPr>
      </w:pPr>
      <w:r>
        <w:rPr>
          <w:rFonts w:hint="eastAsia"/>
          <w:color w:val="auto"/>
          <w:sz w:val="24"/>
          <w:highlight w:val="none"/>
          <w:lang w:eastAsia="zh-CN"/>
        </w:rPr>
        <w:t>2</w:t>
      </w:r>
      <w:r>
        <w:rPr>
          <w:rFonts w:hint="eastAsia" w:ascii="宋体" w:hAnsi="宋体"/>
          <w:color w:val="auto"/>
          <w:sz w:val="24"/>
          <w:highlight w:val="none"/>
        </w:rPr>
        <w:t>.9投标人</w:t>
      </w:r>
      <w:r>
        <w:rPr>
          <w:rFonts w:hint="eastAsia" w:ascii="宋体" w:hAnsi="宋体"/>
          <w:color w:val="auto"/>
          <w:sz w:val="24"/>
          <w:highlight w:val="none"/>
          <w:lang w:eastAsia="zh-CN"/>
        </w:rPr>
        <w:t>有效且最新年度</w:t>
      </w:r>
      <w:r>
        <w:rPr>
          <w:rFonts w:hint="eastAsia" w:ascii="宋体" w:hAnsi="宋体"/>
          <w:color w:val="auto"/>
          <w:sz w:val="24"/>
          <w:highlight w:val="none"/>
        </w:rPr>
        <w:t>在公路水运试验检测管理信息系统中信用等级评价为B级及以上。</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560" w:firstLineChars="200"/>
        <w:jc w:val="left"/>
        <w:textAlignment w:val="auto"/>
        <w:outlineLvl w:val="9"/>
        <w:rPr>
          <w:rFonts w:hint="eastAsia" w:eastAsia="黑体" w:asciiTheme="minorHAnsi" w:hAnsiTheme="minorHAnsi" w:cstheme="minorBidi"/>
          <w:bCs/>
          <w:color w:val="auto"/>
          <w:kern w:val="2"/>
          <w:sz w:val="28"/>
          <w:szCs w:val="28"/>
          <w:highlight w:val="none"/>
          <w:lang w:val="en-US" w:eastAsia="zh-CN" w:bidi="ar-SA"/>
        </w:rPr>
      </w:pPr>
      <w:r>
        <w:rPr>
          <w:rFonts w:hint="eastAsia" w:eastAsia="黑体" w:asciiTheme="minorHAnsi" w:hAnsiTheme="minorHAnsi" w:cstheme="minorBidi"/>
          <w:bCs/>
          <w:color w:val="auto"/>
          <w:kern w:val="2"/>
          <w:sz w:val="28"/>
          <w:szCs w:val="28"/>
          <w:highlight w:val="none"/>
          <w:lang w:val="en-US" w:eastAsia="zh-CN" w:bidi="ar-SA"/>
        </w:rPr>
        <w:t>三、评标办法</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480" w:firstLineChars="200"/>
        <w:jc w:val="left"/>
        <w:textAlignment w:val="auto"/>
        <w:outlineLvl w:val="9"/>
        <w:rPr>
          <w:rFonts w:hint="default" w:ascii="Times New Roman" w:hAnsi="Times New Roman" w:eastAsia="宋体" w:cs="Times New Roman"/>
          <w:color w:val="auto"/>
          <w:sz w:val="24"/>
          <w:highlight w:val="none"/>
          <w:lang w:val="en-US" w:eastAsia="zh-CN"/>
        </w:rPr>
      </w:pPr>
    </w:p>
    <w:p>
      <w:pPr>
        <w:spacing w:line="440" w:lineRule="exact"/>
        <w:jc w:val="center"/>
        <w:rPr>
          <w:rFonts w:ascii="宋体" w:hAnsi="宋体"/>
          <w:color w:val="auto"/>
          <w:sz w:val="24"/>
          <w:szCs w:val="24"/>
          <w:highlight w:val="none"/>
        </w:rPr>
      </w:pPr>
      <w:r>
        <w:rPr>
          <w:rFonts w:hint="eastAsia" w:ascii="宋体" w:hAnsi="宋体"/>
          <w:b/>
          <w:color w:val="auto"/>
          <w:sz w:val="30"/>
          <w:szCs w:val="30"/>
          <w:highlight w:val="none"/>
        </w:rPr>
        <w:t>评标办法（双信封合理低价法）</w:t>
      </w:r>
    </w:p>
    <w:p>
      <w:pPr>
        <w:spacing w:line="440" w:lineRule="exact"/>
        <w:rPr>
          <w:rFonts w:ascii="宋体" w:hAnsi="宋体"/>
          <w:b/>
          <w:color w:val="auto"/>
          <w:sz w:val="24"/>
          <w:szCs w:val="24"/>
          <w:highlight w:val="none"/>
        </w:rPr>
      </w:pPr>
      <w:r>
        <w:rPr>
          <w:rFonts w:hint="eastAsia" w:ascii="宋体" w:hAnsi="宋体"/>
          <w:b/>
          <w:color w:val="auto"/>
          <w:sz w:val="24"/>
          <w:szCs w:val="24"/>
          <w:highlight w:val="none"/>
        </w:rPr>
        <w:t>评标办法前附表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4"/>
        <w:gridCol w:w="1774"/>
        <w:gridCol w:w="7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exact"/>
          <w:tblHeader/>
          <w:jc w:val="center"/>
        </w:trPr>
        <w:tc>
          <w:tcPr>
            <w:tcW w:w="2738" w:type="dxa"/>
            <w:gridSpan w:val="2"/>
            <w:noWrap w:val="0"/>
            <w:vAlign w:val="center"/>
          </w:tcPr>
          <w:p>
            <w:pPr>
              <w:spacing w:line="240" w:lineRule="atLeast"/>
              <w:ind w:left="105" w:leftChars="50"/>
              <w:jc w:val="center"/>
              <w:rPr>
                <w:rFonts w:ascii="宋体" w:hAnsi="宋体"/>
                <w:b/>
                <w:color w:val="auto"/>
                <w:szCs w:val="21"/>
                <w:highlight w:val="none"/>
              </w:rPr>
            </w:pPr>
            <w:r>
              <w:rPr>
                <w:rFonts w:ascii="宋体" w:hAnsi="宋体"/>
                <w:b/>
                <w:color w:val="auto"/>
                <w:szCs w:val="21"/>
                <w:highlight w:val="none"/>
              </w:rPr>
              <w:t>条款号</w:t>
            </w:r>
          </w:p>
        </w:tc>
        <w:tc>
          <w:tcPr>
            <w:tcW w:w="7018" w:type="dxa"/>
            <w:noWrap w:val="0"/>
            <w:vAlign w:val="center"/>
          </w:tcPr>
          <w:p>
            <w:pPr>
              <w:spacing w:line="240" w:lineRule="atLeast"/>
              <w:ind w:left="105" w:leftChars="50" w:right="105" w:rightChars="50"/>
              <w:jc w:val="center"/>
              <w:rPr>
                <w:rFonts w:ascii="宋体" w:hAnsi="宋体"/>
                <w:b/>
                <w:color w:val="auto"/>
                <w:szCs w:val="21"/>
                <w:highlight w:val="none"/>
              </w:rPr>
            </w:pPr>
            <w:r>
              <w:rPr>
                <w:rFonts w:ascii="宋体" w:hAnsi="宋体"/>
                <w:b/>
                <w:color w:val="auto"/>
                <w:szCs w:val="21"/>
                <w:highlight w:val="none"/>
              </w:rPr>
              <w:t>评审因素与标准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exact"/>
          <w:jc w:val="center"/>
        </w:trPr>
        <w:tc>
          <w:tcPr>
            <w:tcW w:w="964" w:type="dxa"/>
            <w:noWrap w:val="0"/>
            <w:vAlign w:val="center"/>
          </w:tcPr>
          <w:p>
            <w:pPr>
              <w:spacing w:line="240" w:lineRule="atLeast"/>
              <w:ind w:left="105" w:leftChars="50"/>
              <w:jc w:val="center"/>
              <w:rPr>
                <w:rFonts w:ascii="宋体" w:hAnsi="宋体"/>
                <w:color w:val="auto"/>
                <w:szCs w:val="21"/>
                <w:highlight w:val="none"/>
              </w:rPr>
            </w:pPr>
            <w:r>
              <w:rPr>
                <w:rFonts w:hint="eastAsia" w:ascii="宋体" w:hAnsi="宋体"/>
                <w:color w:val="auto"/>
                <w:szCs w:val="21"/>
                <w:highlight w:val="none"/>
              </w:rPr>
              <w:t>1</w:t>
            </w:r>
          </w:p>
        </w:tc>
        <w:tc>
          <w:tcPr>
            <w:tcW w:w="1774" w:type="dxa"/>
            <w:noWrap w:val="0"/>
            <w:vAlign w:val="center"/>
          </w:tcPr>
          <w:p>
            <w:pPr>
              <w:spacing w:line="240" w:lineRule="atLeast"/>
              <w:ind w:left="105" w:leftChars="50"/>
              <w:jc w:val="center"/>
              <w:rPr>
                <w:rFonts w:ascii="宋体" w:hAnsi="宋体"/>
                <w:color w:val="auto"/>
                <w:szCs w:val="21"/>
                <w:highlight w:val="none"/>
              </w:rPr>
            </w:pPr>
            <w:r>
              <w:rPr>
                <w:rFonts w:hint="eastAsia" w:ascii="宋体" w:hAnsi="宋体"/>
                <w:color w:val="auto"/>
                <w:szCs w:val="21"/>
                <w:highlight w:val="none"/>
              </w:rPr>
              <w:t>评标方法</w:t>
            </w:r>
          </w:p>
        </w:tc>
        <w:tc>
          <w:tcPr>
            <w:tcW w:w="7018" w:type="dxa"/>
            <w:noWrap w:val="0"/>
            <w:vAlign w:val="center"/>
          </w:tcPr>
          <w:p>
            <w:pPr>
              <w:spacing w:line="240" w:lineRule="atLeast"/>
              <w:ind w:left="105" w:leftChars="49" w:right="105" w:rightChars="50" w:hanging="2" w:hangingChars="1"/>
              <w:rPr>
                <w:rFonts w:ascii="宋体" w:hAnsi="宋体"/>
                <w:color w:val="auto"/>
                <w:szCs w:val="21"/>
                <w:highlight w:val="none"/>
              </w:rPr>
            </w:pPr>
            <w:r>
              <w:rPr>
                <w:rFonts w:hint="eastAsia" w:ascii="宋体" w:hAnsi="宋体"/>
                <w:color w:val="auto"/>
                <w:szCs w:val="21"/>
                <w:highlight w:val="none"/>
              </w:rPr>
              <w:t>评分相等时，评标委员会依次按照以下优先顺序推荐中标候选人或确定中标人：</w:t>
            </w:r>
          </w:p>
          <w:p>
            <w:pPr>
              <w:spacing w:line="240" w:lineRule="atLeast"/>
              <w:ind w:left="105" w:leftChars="49" w:right="105" w:rightChars="50" w:hanging="2" w:hangingChars="1"/>
              <w:rPr>
                <w:rFonts w:ascii="宋体" w:hAnsi="宋体"/>
                <w:color w:val="auto"/>
                <w:szCs w:val="21"/>
                <w:highlight w:val="none"/>
              </w:rPr>
            </w:pPr>
            <w:r>
              <w:rPr>
                <w:rFonts w:hint="eastAsia" w:ascii="宋体" w:hAnsi="宋体"/>
                <w:color w:val="auto"/>
                <w:szCs w:val="21"/>
                <w:highlight w:val="none"/>
              </w:rPr>
              <w:t>（1）评标价低的投标人优先；</w:t>
            </w:r>
          </w:p>
          <w:p>
            <w:pPr>
              <w:spacing w:line="240" w:lineRule="atLeast"/>
              <w:ind w:left="105" w:leftChars="49" w:right="105" w:rightChars="50" w:hanging="2" w:hangingChars="1"/>
              <w:rPr>
                <w:rFonts w:ascii="宋体" w:hAnsi="宋体"/>
                <w:color w:val="auto"/>
                <w:szCs w:val="21"/>
                <w:highlight w:val="none"/>
              </w:rPr>
            </w:pPr>
            <w:r>
              <w:rPr>
                <w:rFonts w:hint="eastAsia" w:ascii="宋体" w:hAnsi="宋体"/>
                <w:color w:val="auto"/>
                <w:szCs w:val="21"/>
                <w:highlight w:val="none"/>
              </w:rPr>
              <w:t>（2）在公路水运工程试验检测管理信息系统中，</w:t>
            </w:r>
            <w:r>
              <w:rPr>
                <w:rFonts w:hint="eastAsia" w:ascii="宋体" w:hAnsi="宋体"/>
                <w:color w:val="auto"/>
                <w:szCs w:val="21"/>
                <w:highlight w:val="none"/>
                <w:lang w:eastAsia="zh-CN"/>
              </w:rPr>
              <w:t>有效且最新年度</w:t>
            </w:r>
            <w:r>
              <w:rPr>
                <w:rFonts w:hint="eastAsia" w:ascii="宋体" w:hAnsi="宋体"/>
                <w:color w:val="auto"/>
                <w:szCs w:val="21"/>
                <w:highlight w:val="none"/>
              </w:rPr>
              <w:t>的信用评价结果中较高信用等级的投标人优先；</w:t>
            </w:r>
          </w:p>
          <w:p>
            <w:pPr>
              <w:spacing w:line="240" w:lineRule="atLeast"/>
              <w:ind w:left="105" w:leftChars="49" w:right="105" w:rightChars="50" w:hanging="2" w:hangingChars="1"/>
              <w:rPr>
                <w:rFonts w:ascii="宋体" w:hAnsi="宋体"/>
                <w:color w:val="auto"/>
                <w:szCs w:val="21"/>
                <w:highlight w:val="none"/>
              </w:rPr>
            </w:pPr>
            <w:r>
              <w:rPr>
                <w:rFonts w:hint="eastAsia" w:ascii="宋体" w:hAnsi="宋体"/>
                <w:color w:val="auto"/>
                <w:szCs w:val="21"/>
                <w:highlight w:val="none"/>
              </w:rPr>
              <w:t>（3）按规定上传电子投标文件较早的投标人优先。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964" w:type="dxa"/>
            <w:noWrap w:val="0"/>
            <w:vAlign w:val="center"/>
          </w:tcPr>
          <w:p>
            <w:pPr>
              <w:spacing w:line="240" w:lineRule="atLeast"/>
              <w:ind w:left="105" w:leftChars="50"/>
              <w:jc w:val="left"/>
              <w:rPr>
                <w:rFonts w:ascii="宋体" w:hAnsi="宋体"/>
                <w:color w:val="auto"/>
                <w:szCs w:val="21"/>
                <w:highlight w:val="none"/>
              </w:rPr>
            </w:pPr>
            <w:r>
              <w:rPr>
                <w:rFonts w:ascii="宋体" w:hAnsi="宋体"/>
                <w:color w:val="auto"/>
                <w:szCs w:val="21"/>
                <w:highlight w:val="none"/>
              </w:rPr>
              <w:t>2.1.1</w:t>
            </w:r>
          </w:p>
          <w:p>
            <w:pPr>
              <w:spacing w:line="240" w:lineRule="atLeast"/>
              <w:ind w:left="105" w:leftChars="50"/>
              <w:jc w:val="left"/>
              <w:rPr>
                <w:rFonts w:ascii="宋体" w:hAnsi="宋体"/>
                <w:color w:val="auto"/>
                <w:szCs w:val="21"/>
                <w:highlight w:val="none"/>
              </w:rPr>
            </w:pPr>
            <w:r>
              <w:rPr>
                <w:rFonts w:ascii="宋体" w:hAnsi="宋体"/>
                <w:color w:val="auto"/>
                <w:szCs w:val="21"/>
                <w:highlight w:val="none"/>
              </w:rPr>
              <w:t>2.1.3</w:t>
            </w:r>
          </w:p>
        </w:tc>
        <w:tc>
          <w:tcPr>
            <w:tcW w:w="1774" w:type="dxa"/>
            <w:noWrap w:val="0"/>
            <w:vAlign w:val="center"/>
          </w:tcPr>
          <w:p>
            <w:pPr>
              <w:snapToGrid w:val="0"/>
              <w:spacing w:line="240" w:lineRule="atLeast"/>
              <w:contextualSpacing/>
              <w:jc w:val="center"/>
              <w:rPr>
                <w:rFonts w:ascii="宋体" w:hAnsi="宋体"/>
                <w:color w:val="auto"/>
                <w:szCs w:val="21"/>
                <w:highlight w:val="none"/>
              </w:rPr>
            </w:pPr>
            <w:r>
              <w:rPr>
                <w:rFonts w:ascii="宋体" w:hAnsi="宋体"/>
                <w:color w:val="auto"/>
                <w:szCs w:val="21"/>
                <w:highlight w:val="none"/>
              </w:rPr>
              <w:t>形式评审</w:t>
            </w:r>
          </w:p>
          <w:p>
            <w:pPr>
              <w:snapToGrid w:val="0"/>
              <w:spacing w:line="240" w:lineRule="atLeast"/>
              <w:contextualSpacing/>
              <w:jc w:val="center"/>
              <w:rPr>
                <w:rFonts w:ascii="宋体" w:hAnsi="宋体"/>
                <w:color w:val="auto"/>
                <w:szCs w:val="21"/>
                <w:highlight w:val="none"/>
              </w:rPr>
            </w:pPr>
            <w:r>
              <w:rPr>
                <w:rFonts w:ascii="宋体" w:hAnsi="宋体"/>
                <w:color w:val="auto"/>
                <w:szCs w:val="21"/>
                <w:highlight w:val="none"/>
              </w:rPr>
              <w:t>与响应性</w:t>
            </w:r>
          </w:p>
          <w:p>
            <w:pPr>
              <w:snapToGrid w:val="0"/>
              <w:spacing w:line="240" w:lineRule="atLeast"/>
              <w:contextualSpacing/>
              <w:jc w:val="center"/>
              <w:rPr>
                <w:rFonts w:ascii="宋体" w:hAnsi="宋体"/>
                <w:color w:val="auto"/>
                <w:szCs w:val="21"/>
                <w:highlight w:val="none"/>
              </w:rPr>
            </w:pPr>
            <w:r>
              <w:rPr>
                <w:rFonts w:ascii="宋体" w:hAnsi="宋体"/>
                <w:color w:val="auto"/>
                <w:szCs w:val="21"/>
                <w:highlight w:val="none"/>
              </w:rPr>
              <w:t>评审标准</w:t>
            </w:r>
          </w:p>
          <w:p>
            <w:pPr>
              <w:snapToGrid w:val="0"/>
              <w:spacing w:line="240" w:lineRule="atLeast"/>
              <w:contextualSpacing/>
              <w:jc w:val="center"/>
              <w:rPr>
                <w:rFonts w:ascii="宋体" w:hAnsi="宋体"/>
                <w:color w:val="auto"/>
                <w:szCs w:val="21"/>
                <w:highlight w:val="none"/>
              </w:rPr>
            </w:pPr>
            <w:r>
              <w:rPr>
                <w:rFonts w:hint="eastAsia" w:ascii="宋体" w:hAnsi="宋体"/>
                <w:b/>
                <w:color w:val="auto"/>
                <w:szCs w:val="21"/>
                <w:highlight w:val="none"/>
              </w:rPr>
              <w:t>注：适用于第一信封（商务及技术文件）</w:t>
            </w:r>
          </w:p>
        </w:tc>
        <w:tc>
          <w:tcPr>
            <w:tcW w:w="7018" w:type="dxa"/>
            <w:noWrap w:val="0"/>
            <w:vAlign w:val="center"/>
          </w:tcPr>
          <w:p>
            <w:pPr>
              <w:spacing w:line="240" w:lineRule="atLeast"/>
              <w:ind w:left="105" w:leftChars="50" w:right="105" w:rightChars="50"/>
              <w:rPr>
                <w:color w:val="auto"/>
                <w:highlight w:val="none"/>
              </w:rPr>
            </w:pPr>
            <w:r>
              <w:rPr>
                <w:rFonts w:hint="eastAsia"/>
                <w:color w:val="auto"/>
                <w:highlight w:val="none"/>
              </w:rPr>
              <w:t>第一个信封（商务及技术文件）评审标准：</w:t>
            </w:r>
          </w:p>
          <w:p>
            <w:pPr>
              <w:spacing w:line="240" w:lineRule="atLeast"/>
              <w:ind w:left="105" w:leftChars="50" w:right="105" w:rightChars="50"/>
              <w:rPr>
                <w:color w:val="auto"/>
                <w:highlight w:val="none"/>
              </w:rPr>
            </w:pPr>
            <w:r>
              <w:rPr>
                <w:rFonts w:hint="eastAsia"/>
                <w:color w:val="auto"/>
                <w:highlight w:val="none"/>
              </w:rPr>
              <w:t xml:space="preserve">（1）投标文件按照招标文件规定的格式、内容填写，字迹清晰可辨： </w:t>
            </w:r>
          </w:p>
          <w:p>
            <w:pPr>
              <w:spacing w:line="240" w:lineRule="atLeast"/>
              <w:ind w:left="105" w:leftChars="50" w:right="105" w:rightChars="50" w:firstLine="105" w:firstLineChars="50"/>
              <w:rPr>
                <w:color w:val="auto"/>
                <w:highlight w:val="none"/>
              </w:rPr>
            </w:pPr>
            <w:r>
              <w:rPr>
                <w:rFonts w:hint="eastAsia"/>
                <w:color w:val="auto"/>
                <w:highlight w:val="none"/>
              </w:rPr>
              <w:t xml:space="preserve">a.投标函按招标文件规定填报了项目名称、标段号、补遗书编号（如有）、项目负责人、检测服务期限、质量要求及安全目标； </w:t>
            </w:r>
          </w:p>
          <w:p>
            <w:pPr>
              <w:spacing w:line="240" w:lineRule="atLeast"/>
              <w:ind w:left="105" w:leftChars="50" w:right="105" w:rightChars="50" w:firstLine="105" w:firstLineChars="50"/>
              <w:rPr>
                <w:color w:val="auto"/>
                <w:highlight w:val="none"/>
              </w:rPr>
            </w:pPr>
            <w:r>
              <w:rPr>
                <w:rFonts w:hint="eastAsia"/>
                <w:color w:val="auto"/>
                <w:highlight w:val="none"/>
              </w:rPr>
              <w:t>b.投标文件组成齐全完整，内容均按规定填写。</w:t>
            </w:r>
          </w:p>
          <w:p>
            <w:pPr>
              <w:spacing w:line="240" w:lineRule="atLeast"/>
              <w:ind w:left="105" w:leftChars="50" w:right="105" w:rightChars="50"/>
              <w:rPr>
                <w:color w:val="auto"/>
                <w:highlight w:val="none"/>
              </w:rPr>
            </w:pPr>
            <w:r>
              <w:rPr>
                <w:rFonts w:hint="eastAsia"/>
                <w:color w:val="auto"/>
                <w:highlight w:val="none"/>
              </w:rPr>
              <w:t>（2）投标文件上法定代表人的签字、投标人的单位章盖章齐全，符合招标文件规定。</w:t>
            </w:r>
          </w:p>
          <w:p>
            <w:pPr>
              <w:spacing w:line="240" w:lineRule="atLeast"/>
              <w:ind w:left="105" w:leftChars="50" w:right="105" w:rightChars="50"/>
              <w:rPr>
                <w:color w:val="auto"/>
                <w:highlight w:val="none"/>
              </w:rPr>
            </w:pPr>
            <w:r>
              <w:rPr>
                <w:rFonts w:hint="eastAsia"/>
                <w:color w:val="auto"/>
                <w:highlight w:val="none"/>
              </w:rPr>
              <w:t xml:space="preserve">（3）投标人按照招标文件的规定提供了投标保证金： </w:t>
            </w:r>
          </w:p>
          <w:p>
            <w:pPr>
              <w:spacing w:line="240" w:lineRule="atLeast"/>
              <w:ind w:left="105" w:leftChars="50" w:right="105" w:rightChars="50" w:firstLine="105" w:firstLineChars="50"/>
              <w:rPr>
                <w:color w:val="auto"/>
                <w:highlight w:val="none"/>
              </w:rPr>
            </w:pPr>
            <w:r>
              <w:rPr>
                <w:rFonts w:hint="eastAsia"/>
                <w:color w:val="auto"/>
                <w:highlight w:val="none"/>
              </w:rPr>
              <w:t xml:space="preserve">a.投标保证金金额符合招标文件规定的金额，且投标保证金有效期不少于投标有效期； </w:t>
            </w:r>
          </w:p>
          <w:p>
            <w:pPr>
              <w:spacing w:line="240" w:lineRule="atLeast"/>
              <w:ind w:left="105" w:leftChars="50" w:right="105" w:rightChars="50" w:firstLine="105" w:firstLineChars="50"/>
              <w:rPr>
                <w:color w:val="auto"/>
                <w:highlight w:val="none"/>
              </w:rPr>
            </w:pPr>
            <w:r>
              <w:rPr>
                <w:rFonts w:hint="eastAsia"/>
                <w:color w:val="auto"/>
                <w:highlight w:val="none"/>
              </w:rPr>
              <w:t xml:space="preserve">b.若投标保证金采用现金或支票形式提交，投标人应在递交投标文件截止时间之前，将投标保证金由投标人的基本账户转入招标人指定账户； </w:t>
            </w:r>
          </w:p>
          <w:p>
            <w:pPr>
              <w:spacing w:line="240" w:lineRule="atLeast"/>
              <w:ind w:left="105" w:leftChars="50" w:right="105" w:rightChars="50" w:firstLine="0" w:firstLineChars="0"/>
              <w:rPr>
                <w:color w:val="auto"/>
                <w:highlight w:val="none"/>
              </w:rPr>
            </w:pPr>
            <w:r>
              <w:rPr>
                <w:rFonts w:hint="eastAsia"/>
                <w:color w:val="auto"/>
                <w:highlight w:val="none"/>
              </w:rPr>
              <w:t>c.若投标保证金采用保函形式提交，保函的格式、开具保函的机构均满足招标文件要求，保函原件应在递交投标文件截止时间之前向招标人提交。</w:t>
            </w:r>
          </w:p>
          <w:p>
            <w:pPr>
              <w:spacing w:line="240" w:lineRule="atLeast"/>
              <w:ind w:left="105" w:leftChars="50" w:right="105" w:rightChars="50"/>
              <w:rPr>
                <w:color w:val="auto"/>
                <w:highlight w:val="none"/>
              </w:rPr>
            </w:pPr>
            <w:r>
              <w:rPr>
                <w:rFonts w:hint="eastAsia"/>
                <w:color w:val="auto"/>
                <w:highlight w:val="none"/>
              </w:rPr>
              <w:t>（4）投标人法定代表人提供了法定代表人身份证明。</w:t>
            </w:r>
          </w:p>
          <w:p>
            <w:pPr>
              <w:spacing w:line="240" w:lineRule="atLeast"/>
              <w:ind w:left="105" w:leftChars="50" w:right="105" w:rightChars="50"/>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）同一投标人未提交两个以上不同的投标文件，但招标文件要求提交备选投标的除外。</w:t>
            </w:r>
          </w:p>
          <w:p>
            <w:pPr>
              <w:spacing w:line="240" w:lineRule="atLeast"/>
              <w:ind w:left="105" w:leftChars="50" w:right="105" w:rightChars="50"/>
              <w:rPr>
                <w:rFonts w:hint="eastAsia" w:eastAsia="宋体"/>
                <w:color w:val="auto"/>
                <w:highlight w:val="none"/>
                <w:lang w:val="en-US" w:eastAsia="zh-CN"/>
              </w:rPr>
            </w:pPr>
            <w:r>
              <w:rPr>
                <w:rFonts w:hint="eastAsia"/>
                <w:color w:val="auto"/>
                <w:highlight w:val="none"/>
              </w:rPr>
              <w:t>（</w:t>
            </w:r>
            <w:r>
              <w:rPr>
                <w:rFonts w:hint="eastAsia"/>
                <w:color w:val="auto"/>
                <w:highlight w:val="none"/>
                <w:lang w:val="en-US" w:eastAsia="zh-CN"/>
              </w:rPr>
              <w:t>6</w:t>
            </w:r>
            <w:r>
              <w:rPr>
                <w:rFonts w:hint="eastAsia"/>
                <w:color w:val="auto"/>
                <w:highlight w:val="none"/>
              </w:rPr>
              <w:t>）</w:t>
            </w:r>
            <w:r>
              <w:rPr>
                <w:rFonts w:hint="eastAsia"/>
                <w:color w:val="auto"/>
                <w:highlight w:val="none"/>
                <w:lang w:val="en-US" w:eastAsia="zh-CN"/>
              </w:rPr>
              <w:t>投标人未以联合体形式投标。</w:t>
            </w:r>
          </w:p>
          <w:p>
            <w:pPr>
              <w:spacing w:line="240" w:lineRule="atLeast"/>
              <w:ind w:left="105" w:leftChars="50" w:right="105" w:rightChars="50"/>
              <w:rPr>
                <w:color w:val="auto"/>
                <w:highlight w:val="none"/>
              </w:rPr>
            </w:pPr>
            <w:r>
              <w:rPr>
                <w:rFonts w:hint="eastAsia"/>
                <w:color w:val="auto"/>
                <w:highlight w:val="none"/>
                <w:lang w:eastAsia="zh-CN"/>
              </w:rPr>
              <w:t>（</w:t>
            </w:r>
            <w:r>
              <w:rPr>
                <w:rFonts w:hint="eastAsia"/>
                <w:color w:val="auto"/>
                <w:highlight w:val="none"/>
                <w:lang w:val="en-US" w:eastAsia="zh-CN"/>
              </w:rPr>
              <w:t>7</w:t>
            </w:r>
            <w:r>
              <w:rPr>
                <w:rFonts w:hint="eastAsia"/>
                <w:color w:val="auto"/>
                <w:highlight w:val="none"/>
                <w:lang w:eastAsia="zh-CN"/>
              </w:rPr>
              <w:t>）</w:t>
            </w:r>
            <w:r>
              <w:rPr>
                <w:rFonts w:hint="eastAsia"/>
                <w:color w:val="auto"/>
                <w:highlight w:val="none"/>
              </w:rPr>
              <w:t>投标文件中未出现有关投标报价的内容。</w:t>
            </w:r>
          </w:p>
          <w:p>
            <w:pPr>
              <w:spacing w:line="240" w:lineRule="atLeast"/>
              <w:ind w:left="105" w:leftChars="50" w:right="105" w:rightChars="50"/>
              <w:rPr>
                <w:color w:val="auto"/>
                <w:highlight w:val="none"/>
              </w:rPr>
            </w:pPr>
            <w:r>
              <w:rPr>
                <w:rFonts w:hint="eastAsia"/>
                <w:color w:val="auto"/>
                <w:highlight w:val="none"/>
              </w:rPr>
              <w:t>（</w:t>
            </w:r>
            <w:r>
              <w:rPr>
                <w:rFonts w:hint="eastAsia"/>
                <w:color w:val="auto"/>
                <w:highlight w:val="none"/>
                <w:lang w:val="en-US" w:eastAsia="zh-CN"/>
              </w:rPr>
              <w:t>8</w:t>
            </w:r>
            <w:r>
              <w:rPr>
                <w:rFonts w:hint="eastAsia"/>
                <w:color w:val="auto"/>
                <w:highlight w:val="none"/>
              </w:rPr>
              <w:t>）投标文件载明的招标项目完成期限符合招标文件规定。</w:t>
            </w:r>
          </w:p>
          <w:p>
            <w:pPr>
              <w:spacing w:line="240" w:lineRule="atLeast"/>
              <w:ind w:left="105" w:leftChars="50" w:right="105" w:rightChars="50"/>
              <w:rPr>
                <w:color w:val="auto"/>
                <w:highlight w:val="none"/>
              </w:rPr>
            </w:pPr>
            <w:r>
              <w:rPr>
                <w:rFonts w:hint="eastAsia"/>
                <w:color w:val="auto"/>
                <w:highlight w:val="none"/>
              </w:rPr>
              <w:t>（</w:t>
            </w:r>
            <w:r>
              <w:rPr>
                <w:rFonts w:hint="eastAsia"/>
                <w:color w:val="auto"/>
                <w:highlight w:val="none"/>
                <w:lang w:val="en-US" w:eastAsia="zh-CN"/>
              </w:rPr>
              <w:t>9</w:t>
            </w:r>
            <w:r>
              <w:rPr>
                <w:rFonts w:hint="eastAsia"/>
                <w:color w:val="auto"/>
                <w:highlight w:val="none"/>
              </w:rPr>
              <w:t>）投标文件对招标文件的实质性要求和条件作出响应。</w:t>
            </w:r>
          </w:p>
          <w:p>
            <w:pPr>
              <w:spacing w:line="240" w:lineRule="atLeast"/>
              <w:ind w:left="105" w:leftChars="50" w:right="105" w:rightChars="50"/>
              <w:rPr>
                <w:color w:val="auto"/>
                <w:highlight w:val="none"/>
              </w:rPr>
            </w:pPr>
            <w:r>
              <w:rPr>
                <w:rFonts w:hint="eastAsia"/>
                <w:color w:val="auto"/>
                <w:highlight w:val="none"/>
              </w:rPr>
              <w:t>（</w:t>
            </w:r>
            <w:r>
              <w:rPr>
                <w:rFonts w:hint="eastAsia"/>
                <w:color w:val="auto"/>
                <w:highlight w:val="none"/>
                <w:lang w:val="en-US" w:eastAsia="zh-CN"/>
              </w:rPr>
              <w:t>10</w:t>
            </w:r>
            <w:r>
              <w:rPr>
                <w:rFonts w:hint="eastAsia"/>
                <w:color w:val="auto"/>
                <w:highlight w:val="none"/>
              </w:rPr>
              <w:t xml:space="preserve">）权利义务符合招标文件规定： </w:t>
            </w:r>
          </w:p>
          <w:p>
            <w:pPr>
              <w:spacing w:line="240" w:lineRule="atLeast"/>
              <w:ind w:left="105" w:leftChars="50" w:right="105" w:rightChars="50" w:firstLine="105" w:firstLineChars="50"/>
              <w:rPr>
                <w:color w:val="auto"/>
                <w:highlight w:val="none"/>
              </w:rPr>
            </w:pPr>
            <w:r>
              <w:rPr>
                <w:rFonts w:hint="eastAsia"/>
                <w:color w:val="auto"/>
                <w:highlight w:val="none"/>
              </w:rPr>
              <w:t>a.投标人应接受招标文件规定的风险划分原则，未提出新的风险划分办法；</w:t>
            </w:r>
          </w:p>
          <w:p>
            <w:pPr>
              <w:spacing w:line="240" w:lineRule="atLeast"/>
              <w:ind w:left="105" w:leftChars="50" w:right="105" w:rightChars="50" w:firstLine="105" w:firstLineChars="50"/>
              <w:rPr>
                <w:color w:val="auto"/>
                <w:highlight w:val="none"/>
              </w:rPr>
            </w:pPr>
            <w:r>
              <w:rPr>
                <w:rFonts w:hint="eastAsia"/>
                <w:color w:val="auto"/>
                <w:highlight w:val="none"/>
              </w:rPr>
              <w:t>b.投标人未增加委托人的责任范围，或减少投标人义务；</w:t>
            </w:r>
          </w:p>
          <w:p>
            <w:pPr>
              <w:spacing w:line="240" w:lineRule="atLeast"/>
              <w:ind w:left="105" w:leftChars="50" w:right="105" w:rightChars="50" w:firstLine="105" w:firstLineChars="50"/>
              <w:rPr>
                <w:color w:val="auto"/>
                <w:highlight w:val="none"/>
              </w:rPr>
            </w:pPr>
            <w:r>
              <w:rPr>
                <w:rFonts w:hint="eastAsia"/>
                <w:color w:val="auto"/>
                <w:highlight w:val="none"/>
              </w:rPr>
              <w:t xml:space="preserve">c.投标人未提出不同的支付办法； </w:t>
            </w:r>
          </w:p>
          <w:p>
            <w:pPr>
              <w:spacing w:line="240" w:lineRule="atLeast"/>
              <w:ind w:left="105" w:leftChars="50" w:right="105" w:rightChars="50" w:firstLine="105" w:firstLineChars="50"/>
              <w:rPr>
                <w:color w:val="auto"/>
                <w:highlight w:val="none"/>
              </w:rPr>
            </w:pPr>
            <w:r>
              <w:rPr>
                <w:rFonts w:hint="eastAsia"/>
                <w:color w:val="auto"/>
                <w:highlight w:val="none"/>
              </w:rPr>
              <w:t xml:space="preserve">d.投标人对合同纠纷、事故处理办法未提出异议； </w:t>
            </w:r>
          </w:p>
          <w:p>
            <w:pPr>
              <w:spacing w:line="240" w:lineRule="atLeast"/>
              <w:ind w:left="105" w:leftChars="50" w:right="105" w:rightChars="50" w:firstLine="105" w:firstLineChars="50"/>
              <w:rPr>
                <w:color w:val="auto"/>
                <w:highlight w:val="none"/>
              </w:rPr>
            </w:pPr>
            <w:r>
              <w:rPr>
                <w:rFonts w:hint="eastAsia"/>
                <w:color w:val="auto"/>
                <w:highlight w:val="none"/>
              </w:rPr>
              <w:t xml:space="preserve">e.投标人在投标活动中无欺诈行为； </w:t>
            </w:r>
          </w:p>
          <w:p>
            <w:pPr>
              <w:spacing w:line="240" w:lineRule="atLeast"/>
              <w:ind w:left="105" w:leftChars="50" w:right="105" w:rightChars="50" w:firstLine="105" w:firstLineChars="50"/>
              <w:rPr>
                <w:color w:val="auto"/>
                <w:highlight w:val="none"/>
              </w:rPr>
            </w:pPr>
            <w:r>
              <w:rPr>
                <w:rFonts w:hint="eastAsia"/>
                <w:color w:val="auto"/>
                <w:highlight w:val="none"/>
              </w:rPr>
              <w:t>f.投标人未对合同条款有重要保留。</w:t>
            </w:r>
          </w:p>
          <w:p>
            <w:pPr>
              <w:spacing w:line="240" w:lineRule="atLeast"/>
              <w:ind w:left="105" w:leftChars="50" w:right="105" w:rightChars="50"/>
              <w:rPr>
                <w:color w:val="auto"/>
                <w:highlight w:val="none"/>
              </w:rPr>
            </w:pPr>
            <w:r>
              <w:rPr>
                <w:rFonts w:hint="eastAsia"/>
                <w:color w:val="auto"/>
                <w:highlight w:val="none"/>
              </w:rPr>
              <w:t>（1</w:t>
            </w:r>
            <w:r>
              <w:rPr>
                <w:rFonts w:hint="eastAsia"/>
                <w:color w:val="auto"/>
                <w:highlight w:val="none"/>
                <w:lang w:val="en-US" w:eastAsia="zh-CN"/>
              </w:rPr>
              <w:t>1</w:t>
            </w:r>
            <w:r>
              <w:rPr>
                <w:rFonts w:hint="eastAsia"/>
                <w:color w:val="auto"/>
                <w:highlight w:val="none"/>
              </w:rPr>
              <w:t xml:space="preserve">） </w:t>
            </w:r>
            <w:r>
              <w:rPr>
                <w:rFonts w:hint="eastAsia"/>
                <w:color w:val="auto"/>
                <w:highlight w:val="none"/>
                <w:lang w:val="zh-CN"/>
              </w:rPr>
              <w:t>电子投标文件符合招</w:t>
            </w:r>
            <w:r>
              <w:rPr>
                <w:rFonts w:hint="eastAsia"/>
                <w:color w:val="auto"/>
                <w:highlight w:val="none"/>
              </w:rPr>
              <w:t>标文件规定且不存在投标人须知第10.8款第一条规定的情形。</w:t>
            </w:r>
          </w:p>
          <w:p>
            <w:pPr>
              <w:spacing w:line="240" w:lineRule="atLeast"/>
              <w:ind w:left="105" w:leftChars="50" w:right="105" w:rightChars="50"/>
              <w:rPr>
                <w:color w:val="auto"/>
                <w:highlight w:val="none"/>
              </w:rPr>
            </w:pPr>
            <w:r>
              <w:rPr>
                <w:rFonts w:hint="eastAsia"/>
                <w:color w:val="auto"/>
                <w:highlight w:val="none"/>
              </w:rPr>
              <w:t>（1</w:t>
            </w:r>
            <w:r>
              <w:rPr>
                <w:rFonts w:hint="eastAsia"/>
                <w:color w:val="auto"/>
                <w:highlight w:val="none"/>
                <w:lang w:val="en-US" w:eastAsia="zh-CN"/>
              </w:rPr>
              <w:t>2</w:t>
            </w:r>
            <w:r>
              <w:rPr>
                <w:rFonts w:hint="eastAsia"/>
                <w:color w:val="auto"/>
                <w:highlight w:val="none"/>
              </w:rPr>
              <w:t>） 投标文件没有附有招标人不能接受的其它条件。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8" w:hRule="atLeast"/>
          <w:jc w:val="center"/>
        </w:trPr>
        <w:tc>
          <w:tcPr>
            <w:tcW w:w="964" w:type="dxa"/>
            <w:noWrap w:val="0"/>
            <w:vAlign w:val="center"/>
          </w:tcPr>
          <w:p>
            <w:pPr>
              <w:spacing w:line="240" w:lineRule="atLeast"/>
              <w:ind w:left="105" w:leftChars="50" w:right="105" w:rightChars="50"/>
              <w:rPr>
                <w:rFonts w:ascii="宋体" w:hAnsi="宋体"/>
                <w:color w:val="auto"/>
                <w:szCs w:val="21"/>
                <w:highlight w:val="none"/>
              </w:rPr>
            </w:pPr>
            <w:r>
              <w:rPr>
                <w:rFonts w:hint="eastAsia" w:ascii="宋体" w:hAnsi="宋体"/>
                <w:color w:val="auto"/>
                <w:szCs w:val="21"/>
                <w:highlight w:val="none"/>
              </w:rPr>
              <w:t>2.1.2</w:t>
            </w:r>
          </w:p>
        </w:tc>
        <w:tc>
          <w:tcPr>
            <w:tcW w:w="1774" w:type="dxa"/>
            <w:noWrap w:val="0"/>
            <w:vAlign w:val="center"/>
          </w:tcPr>
          <w:p>
            <w:pPr>
              <w:spacing w:line="240" w:lineRule="atLeast"/>
              <w:ind w:right="105" w:rightChars="50"/>
              <w:jc w:val="center"/>
              <w:rPr>
                <w:rFonts w:ascii="宋体" w:hAnsi="宋体"/>
                <w:color w:val="auto"/>
                <w:szCs w:val="21"/>
                <w:highlight w:val="none"/>
              </w:rPr>
            </w:pPr>
            <w:r>
              <w:rPr>
                <w:rFonts w:hint="eastAsia" w:ascii="宋体" w:hAnsi="宋体"/>
                <w:color w:val="auto"/>
                <w:szCs w:val="21"/>
                <w:highlight w:val="none"/>
              </w:rPr>
              <w:t>资格评审标准</w:t>
            </w:r>
          </w:p>
          <w:p>
            <w:pPr>
              <w:spacing w:line="240" w:lineRule="atLeast"/>
              <w:ind w:left="105" w:leftChars="50" w:right="105" w:rightChars="50"/>
              <w:rPr>
                <w:rFonts w:ascii="宋体" w:hAnsi="宋体"/>
                <w:color w:val="auto"/>
                <w:szCs w:val="21"/>
                <w:highlight w:val="none"/>
              </w:rPr>
            </w:pPr>
            <w:r>
              <w:rPr>
                <w:rFonts w:hint="eastAsia" w:ascii="宋体" w:hAnsi="宋体"/>
                <w:b/>
                <w:color w:val="auto"/>
                <w:szCs w:val="21"/>
                <w:highlight w:val="none"/>
              </w:rPr>
              <w:t>注：适用于第一信封（商务及技术文件）</w:t>
            </w:r>
          </w:p>
        </w:tc>
        <w:tc>
          <w:tcPr>
            <w:tcW w:w="7018" w:type="dxa"/>
            <w:noWrap w:val="0"/>
            <w:vAlign w:val="center"/>
          </w:tcPr>
          <w:p>
            <w:pPr>
              <w:spacing w:line="240" w:lineRule="atLeast"/>
              <w:ind w:left="105" w:leftChars="50" w:right="105" w:rightChars="50"/>
              <w:rPr>
                <w:color w:val="auto"/>
                <w:highlight w:val="none"/>
              </w:rPr>
            </w:pPr>
            <w:r>
              <w:rPr>
                <w:rFonts w:hint="eastAsia"/>
                <w:color w:val="auto"/>
                <w:highlight w:val="none"/>
              </w:rPr>
              <w:t>(1)投标人具备有效的营业执照、基本账户开户许可证（或基本账户存款信息），并且合法有效；</w:t>
            </w:r>
          </w:p>
          <w:p>
            <w:pPr>
              <w:spacing w:line="240" w:lineRule="atLeast"/>
              <w:ind w:left="105" w:leftChars="50" w:right="105" w:rightChars="50"/>
              <w:rPr>
                <w:color w:val="auto"/>
                <w:highlight w:val="none"/>
              </w:rPr>
            </w:pPr>
            <w:r>
              <w:rPr>
                <w:rFonts w:hint="eastAsia"/>
                <w:color w:val="auto"/>
                <w:highlight w:val="none"/>
              </w:rPr>
              <w:t>(2)投标人的资质符合招标文件</w:t>
            </w:r>
            <w:r>
              <w:rPr>
                <w:rFonts w:hint="eastAsia"/>
                <w:color w:val="auto"/>
                <w:highlight w:val="none"/>
                <w:lang w:val="en-US" w:eastAsia="zh-CN"/>
              </w:rPr>
              <w:t>附录1</w:t>
            </w:r>
            <w:r>
              <w:rPr>
                <w:rFonts w:hint="eastAsia"/>
                <w:color w:val="auto"/>
                <w:highlight w:val="none"/>
              </w:rPr>
              <w:t>规定；</w:t>
            </w:r>
          </w:p>
          <w:p>
            <w:pPr>
              <w:spacing w:line="240" w:lineRule="atLeast"/>
              <w:ind w:left="105" w:leftChars="50" w:right="105" w:rightChars="50"/>
              <w:rPr>
                <w:color w:val="auto"/>
                <w:highlight w:val="none"/>
              </w:rPr>
            </w:pPr>
            <w:r>
              <w:rPr>
                <w:rFonts w:hint="eastAsia"/>
                <w:color w:val="auto"/>
                <w:highlight w:val="none"/>
              </w:rPr>
              <w:t>(3)投标人的业绩符合招标文件</w:t>
            </w:r>
            <w:r>
              <w:rPr>
                <w:rFonts w:hint="eastAsia"/>
                <w:color w:val="auto"/>
                <w:highlight w:val="none"/>
                <w:lang w:val="en-US" w:eastAsia="zh-CN"/>
              </w:rPr>
              <w:t>附录2</w:t>
            </w:r>
            <w:r>
              <w:rPr>
                <w:rFonts w:hint="eastAsia"/>
                <w:color w:val="auto"/>
                <w:highlight w:val="none"/>
              </w:rPr>
              <w:t>规定；</w:t>
            </w:r>
          </w:p>
          <w:p>
            <w:pPr>
              <w:spacing w:line="240" w:lineRule="atLeast"/>
              <w:ind w:left="105" w:leftChars="50" w:right="105" w:rightChars="50"/>
              <w:rPr>
                <w:rFonts w:hint="eastAsia"/>
                <w:color w:val="auto"/>
                <w:highlight w:val="none"/>
              </w:rPr>
            </w:pPr>
            <w:r>
              <w:rPr>
                <w:rFonts w:hint="eastAsia"/>
                <w:color w:val="auto"/>
                <w:highlight w:val="none"/>
              </w:rPr>
              <w:t>(4)投标人的</w:t>
            </w:r>
            <w:r>
              <w:rPr>
                <w:rFonts w:hint="eastAsia"/>
                <w:color w:val="auto"/>
                <w:highlight w:val="none"/>
                <w:lang w:val="en-US" w:eastAsia="zh-CN"/>
              </w:rPr>
              <w:t>财务</w:t>
            </w:r>
            <w:r>
              <w:rPr>
                <w:rFonts w:hint="eastAsia"/>
                <w:color w:val="auto"/>
                <w:highlight w:val="none"/>
              </w:rPr>
              <w:t>符合招标文件</w:t>
            </w:r>
            <w:r>
              <w:rPr>
                <w:rFonts w:hint="eastAsia"/>
                <w:color w:val="auto"/>
                <w:highlight w:val="none"/>
                <w:lang w:val="en-US" w:eastAsia="zh-CN"/>
              </w:rPr>
              <w:t>附录3</w:t>
            </w:r>
            <w:r>
              <w:rPr>
                <w:rFonts w:hint="eastAsia"/>
                <w:color w:val="auto"/>
                <w:highlight w:val="none"/>
              </w:rPr>
              <w:t>规定</w:t>
            </w:r>
            <w:r>
              <w:rPr>
                <w:rFonts w:hint="eastAsia"/>
                <w:color w:val="auto"/>
                <w:highlight w:val="none"/>
                <w:lang w:eastAsia="zh-CN"/>
              </w:rPr>
              <w:t>；</w:t>
            </w:r>
          </w:p>
          <w:p>
            <w:pPr>
              <w:spacing w:line="240" w:lineRule="atLeast"/>
              <w:ind w:left="105" w:leftChars="50" w:right="105" w:rightChars="50"/>
              <w:rPr>
                <w:rFonts w:hint="eastAsia" w:eastAsia="宋体"/>
                <w:color w:val="auto"/>
                <w:highlight w:val="none"/>
                <w:lang w:eastAsia="zh-CN"/>
              </w:rPr>
            </w:pPr>
            <w:r>
              <w:rPr>
                <w:rFonts w:hint="eastAsia"/>
                <w:color w:val="auto"/>
                <w:highlight w:val="none"/>
              </w:rPr>
              <w:t>(5)投标人的信誉符合招标文件</w:t>
            </w:r>
            <w:r>
              <w:rPr>
                <w:rFonts w:hint="eastAsia"/>
                <w:color w:val="auto"/>
                <w:highlight w:val="none"/>
                <w:lang w:val="en-US" w:eastAsia="zh-CN"/>
              </w:rPr>
              <w:t>附录4</w:t>
            </w:r>
            <w:r>
              <w:rPr>
                <w:rFonts w:hint="eastAsia"/>
                <w:color w:val="auto"/>
                <w:highlight w:val="none"/>
              </w:rPr>
              <w:t>规定</w:t>
            </w:r>
            <w:r>
              <w:rPr>
                <w:rFonts w:hint="eastAsia"/>
                <w:color w:val="auto"/>
                <w:highlight w:val="none"/>
                <w:lang w:eastAsia="zh-CN"/>
              </w:rPr>
              <w:t>；</w:t>
            </w:r>
          </w:p>
          <w:p>
            <w:pPr>
              <w:spacing w:line="240" w:lineRule="atLeast"/>
              <w:ind w:left="105" w:leftChars="50" w:right="105" w:rightChars="50"/>
              <w:rPr>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)投标人的项目负责人资格、在岗情况符合招标文件</w:t>
            </w:r>
            <w:r>
              <w:rPr>
                <w:rFonts w:hint="eastAsia"/>
                <w:color w:val="auto"/>
                <w:highlight w:val="none"/>
                <w:lang w:val="en-US" w:eastAsia="zh-CN"/>
              </w:rPr>
              <w:t>附录5</w:t>
            </w:r>
            <w:r>
              <w:rPr>
                <w:rFonts w:hint="eastAsia"/>
                <w:color w:val="auto"/>
                <w:highlight w:val="none"/>
              </w:rPr>
              <w:t>规定；</w:t>
            </w:r>
          </w:p>
          <w:p>
            <w:pPr>
              <w:spacing w:line="240" w:lineRule="atLeast"/>
              <w:ind w:left="105" w:leftChars="50" w:right="105" w:rightChars="50"/>
              <w:rPr>
                <w:rFonts w:hint="eastAsia" w:eastAsia="仿宋_GB2312"/>
                <w:color w:val="auto"/>
                <w:highlight w:val="none"/>
                <w:lang w:eastAsia="zh-CN"/>
              </w:rPr>
            </w:pPr>
            <w:r>
              <w:rPr>
                <w:rFonts w:hint="eastAsia"/>
                <w:color w:val="auto"/>
                <w:highlight w:val="none"/>
              </w:rPr>
              <w:t>(</w:t>
            </w:r>
            <w:r>
              <w:rPr>
                <w:rFonts w:hint="eastAsia"/>
                <w:color w:val="auto"/>
                <w:highlight w:val="none"/>
                <w:lang w:val="en-US" w:eastAsia="zh-CN"/>
              </w:rPr>
              <w:t>7</w:t>
            </w:r>
            <w:r>
              <w:rPr>
                <w:rFonts w:hint="eastAsia"/>
                <w:color w:val="auto"/>
                <w:highlight w:val="none"/>
              </w:rPr>
              <w:t>)投标人不存在第二章“投标人须知”第1.4.3和1.4.4项规定的任何一种情形</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3" w:hRule="atLeast"/>
          <w:jc w:val="center"/>
        </w:trPr>
        <w:tc>
          <w:tcPr>
            <w:tcW w:w="964" w:type="dxa"/>
            <w:noWrap w:val="0"/>
            <w:vAlign w:val="center"/>
          </w:tcPr>
          <w:p>
            <w:pPr>
              <w:spacing w:line="240" w:lineRule="atLeast"/>
              <w:ind w:left="105" w:leftChars="50" w:right="105" w:rightChars="50"/>
              <w:jc w:val="center"/>
              <w:rPr>
                <w:rFonts w:ascii="宋体" w:hAnsi="宋体"/>
                <w:color w:val="auto"/>
                <w:szCs w:val="21"/>
                <w:highlight w:val="none"/>
              </w:rPr>
            </w:pPr>
            <w:r>
              <w:rPr>
                <w:rFonts w:hint="eastAsia" w:ascii="宋体" w:hAnsi="宋体"/>
                <w:color w:val="auto"/>
                <w:szCs w:val="21"/>
                <w:highlight w:val="none"/>
              </w:rPr>
              <w:t>2.1.1</w:t>
            </w:r>
          </w:p>
          <w:p>
            <w:pPr>
              <w:spacing w:line="240" w:lineRule="atLeast"/>
              <w:ind w:left="105" w:leftChars="50" w:right="105" w:rightChars="50"/>
              <w:jc w:val="center"/>
              <w:rPr>
                <w:rFonts w:ascii="宋体" w:hAnsi="宋体"/>
                <w:color w:val="auto"/>
                <w:szCs w:val="21"/>
                <w:highlight w:val="none"/>
              </w:rPr>
            </w:pPr>
            <w:r>
              <w:rPr>
                <w:rFonts w:hint="eastAsia" w:ascii="宋体" w:hAnsi="宋体"/>
                <w:color w:val="auto"/>
                <w:szCs w:val="21"/>
                <w:highlight w:val="none"/>
              </w:rPr>
              <w:t>2.1.3</w:t>
            </w:r>
          </w:p>
        </w:tc>
        <w:tc>
          <w:tcPr>
            <w:tcW w:w="1774" w:type="dxa"/>
            <w:noWrap w:val="0"/>
            <w:vAlign w:val="center"/>
          </w:tcPr>
          <w:p>
            <w:pPr>
              <w:spacing w:line="240" w:lineRule="atLeast"/>
              <w:ind w:left="105" w:leftChars="50" w:right="105" w:rightChars="50"/>
              <w:jc w:val="center"/>
              <w:rPr>
                <w:rFonts w:ascii="宋体" w:hAnsi="宋体"/>
                <w:color w:val="auto"/>
                <w:szCs w:val="21"/>
                <w:highlight w:val="none"/>
              </w:rPr>
            </w:pPr>
            <w:r>
              <w:rPr>
                <w:rFonts w:hint="eastAsia" w:ascii="宋体" w:hAnsi="宋体"/>
                <w:color w:val="auto"/>
                <w:szCs w:val="21"/>
                <w:highlight w:val="none"/>
              </w:rPr>
              <w:t>形式评审与响应性评审标准</w:t>
            </w:r>
          </w:p>
          <w:p>
            <w:pPr>
              <w:spacing w:line="240" w:lineRule="atLeast"/>
              <w:ind w:left="105" w:leftChars="50" w:right="105" w:rightChars="50"/>
              <w:jc w:val="center"/>
              <w:rPr>
                <w:rFonts w:ascii="宋体" w:hAnsi="宋体"/>
                <w:color w:val="auto"/>
                <w:szCs w:val="21"/>
                <w:highlight w:val="none"/>
              </w:rPr>
            </w:pPr>
            <w:r>
              <w:rPr>
                <w:rFonts w:hint="eastAsia" w:ascii="宋体" w:hAnsi="宋体"/>
                <w:b/>
                <w:color w:val="auto"/>
                <w:szCs w:val="21"/>
                <w:highlight w:val="none"/>
              </w:rPr>
              <w:t>注：适用于第二信封（报价文件）</w:t>
            </w:r>
          </w:p>
        </w:tc>
        <w:tc>
          <w:tcPr>
            <w:tcW w:w="7018" w:type="dxa"/>
            <w:noWrap w:val="0"/>
            <w:vAlign w:val="center"/>
          </w:tcPr>
          <w:p>
            <w:pPr>
              <w:spacing w:line="240" w:lineRule="atLeast"/>
              <w:ind w:left="105" w:leftChars="50" w:right="105" w:rightChars="50"/>
              <w:rPr>
                <w:rFonts w:ascii="宋体" w:hAnsi="宋体"/>
                <w:b/>
                <w:color w:val="auto"/>
                <w:szCs w:val="21"/>
                <w:highlight w:val="none"/>
              </w:rPr>
            </w:pPr>
            <w:r>
              <w:rPr>
                <w:rFonts w:hint="eastAsia"/>
                <w:color w:val="auto"/>
                <w:highlight w:val="none"/>
              </w:rPr>
              <w:t>(1)</w:t>
            </w:r>
            <w:r>
              <w:rPr>
                <w:rFonts w:hint="eastAsia" w:ascii="宋体" w:hAnsi="宋体"/>
                <w:b/>
                <w:color w:val="auto"/>
                <w:szCs w:val="21"/>
                <w:highlight w:val="none"/>
              </w:rPr>
              <w:t>投标文件按照招标文件规定的格式、内容填写，字迹清晰可辨：</w:t>
            </w:r>
          </w:p>
          <w:p>
            <w:pPr>
              <w:spacing w:line="240" w:lineRule="atLeast"/>
              <w:ind w:left="50" w:right="105" w:rightChars="50" w:firstLine="210" w:firstLineChars="100"/>
              <w:rPr>
                <w:rFonts w:ascii="宋体" w:hAnsi="宋体"/>
                <w:color w:val="auto"/>
                <w:szCs w:val="21"/>
                <w:highlight w:val="none"/>
              </w:rPr>
            </w:pPr>
            <w:r>
              <w:rPr>
                <w:rFonts w:hint="eastAsia" w:ascii="宋体" w:hAnsi="宋体"/>
                <w:color w:val="auto"/>
                <w:szCs w:val="21"/>
                <w:highlight w:val="none"/>
              </w:rPr>
              <w:t>a．投标函按招标文件规定填报了项目名称、标段号、补遗书编号（如有）、投标价（包括大写金额和小写金额）；</w:t>
            </w:r>
          </w:p>
          <w:p>
            <w:pPr>
              <w:spacing w:line="240" w:lineRule="atLeast"/>
              <w:ind w:left="50" w:right="105" w:rightChars="50" w:firstLine="210" w:firstLineChars="100"/>
              <w:rPr>
                <w:rFonts w:ascii="宋体" w:hAnsi="宋体"/>
                <w:color w:val="auto"/>
                <w:szCs w:val="21"/>
                <w:highlight w:val="none"/>
              </w:rPr>
            </w:pPr>
            <w:r>
              <w:rPr>
                <w:rFonts w:hint="eastAsia" w:ascii="宋体" w:hAnsi="宋体"/>
                <w:color w:val="auto"/>
                <w:szCs w:val="21"/>
                <w:highlight w:val="none"/>
              </w:rPr>
              <w:t>b．投标函文字与招标文件规定一致，未进行修改和删减；</w:t>
            </w:r>
          </w:p>
          <w:p>
            <w:pPr>
              <w:spacing w:line="240" w:lineRule="atLeast"/>
              <w:ind w:left="50" w:right="105" w:rightChars="50" w:firstLine="210" w:firstLineChars="100"/>
              <w:rPr>
                <w:rFonts w:ascii="宋体" w:hAnsi="宋体"/>
                <w:color w:val="auto"/>
                <w:szCs w:val="21"/>
                <w:highlight w:val="none"/>
              </w:rPr>
            </w:pPr>
            <w:r>
              <w:rPr>
                <w:rFonts w:hint="eastAsia" w:ascii="宋体" w:hAnsi="宋体"/>
                <w:color w:val="auto"/>
                <w:szCs w:val="21"/>
                <w:highlight w:val="none"/>
              </w:rPr>
              <w:t>c．投标文件组成齐全完整，内容均按规定填写。</w:t>
            </w:r>
          </w:p>
          <w:p>
            <w:pPr>
              <w:spacing w:line="240" w:lineRule="atLeast"/>
              <w:ind w:left="105" w:leftChars="50" w:right="105" w:rightChars="50"/>
              <w:rPr>
                <w:rFonts w:ascii="宋体" w:hAnsi="宋体"/>
                <w:b/>
                <w:color w:val="auto"/>
                <w:szCs w:val="21"/>
                <w:highlight w:val="none"/>
              </w:rPr>
            </w:pPr>
            <w:r>
              <w:rPr>
                <w:rFonts w:hint="eastAsia"/>
                <w:color w:val="auto"/>
                <w:highlight w:val="none"/>
              </w:rPr>
              <w:t>(2)</w:t>
            </w:r>
            <w:r>
              <w:rPr>
                <w:rFonts w:hint="eastAsia" w:ascii="宋体" w:hAnsi="宋体"/>
                <w:b/>
                <w:color w:val="auto"/>
                <w:szCs w:val="21"/>
                <w:highlight w:val="none"/>
              </w:rPr>
              <w:t>投标文件上法定代表人签字、投标人的单位章盖章齐全，符合招标文件规定；</w:t>
            </w:r>
          </w:p>
          <w:p>
            <w:pPr>
              <w:spacing w:line="240" w:lineRule="atLeast"/>
              <w:ind w:left="105" w:leftChars="50" w:right="105" w:rightChars="50"/>
              <w:rPr>
                <w:b/>
                <w:bCs/>
                <w:color w:val="auto"/>
                <w:highlight w:val="none"/>
              </w:rPr>
            </w:pPr>
            <w:r>
              <w:rPr>
                <w:rFonts w:hint="eastAsia"/>
                <w:b/>
                <w:bCs/>
                <w:color w:val="auto"/>
                <w:highlight w:val="none"/>
              </w:rPr>
              <w:t>(3)投标报价未超过招标文件设定的最高投标限价（如有）；</w:t>
            </w:r>
          </w:p>
          <w:p>
            <w:pPr>
              <w:spacing w:line="240" w:lineRule="atLeast"/>
              <w:ind w:left="105" w:leftChars="50" w:right="105" w:rightChars="50"/>
              <w:rPr>
                <w:rFonts w:ascii="宋体" w:hAnsi="宋体"/>
                <w:b/>
                <w:bCs/>
                <w:color w:val="auto"/>
                <w:szCs w:val="21"/>
                <w:highlight w:val="none"/>
              </w:rPr>
            </w:pPr>
            <w:r>
              <w:rPr>
                <w:rFonts w:hint="eastAsia"/>
                <w:b/>
                <w:bCs/>
                <w:color w:val="auto"/>
                <w:highlight w:val="none"/>
              </w:rPr>
              <w:t>(4)投标报价的大写金额能够确定具体数值；</w:t>
            </w:r>
          </w:p>
          <w:p>
            <w:pPr>
              <w:spacing w:line="240" w:lineRule="atLeast"/>
              <w:ind w:left="105" w:leftChars="50" w:right="105" w:rightChars="50"/>
              <w:rPr>
                <w:rFonts w:ascii="宋体" w:hAnsi="宋体"/>
                <w:color w:val="auto"/>
                <w:szCs w:val="21"/>
                <w:highlight w:val="none"/>
              </w:rPr>
            </w:pPr>
            <w:r>
              <w:rPr>
                <w:rFonts w:hint="eastAsia"/>
                <w:b/>
                <w:bCs/>
                <w:color w:val="auto"/>
                <w:highlight w:val="none"/>
              </w:rPr>
              <w:t>(5)同一投标人未提交两个以上不同的投标报价，但招标文件要求提交备选投标的除外</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6" w:hRule="atLeast"/>
          <w:jc w:val="center"/>
        </w:trPr>
        <w:tc>
          <w:tcPr>
            <w:tcW w:w="964" w:type="dxa"/>
            <w:noWrap w:val="0"/>
            <w:vAlign w:val="center"/>
          </w:tcPr>
          <w:p>
            <w:pPr>
              <w:spacing w:line="240" w:lineRule="atLeast"/>
              <w:ind w:right="113"/>
              <w:jc w:val="center"/>
              <w:rPr>
                <w:rFonts w:ascii="宋体" w:hAnsi="宋体"/>
                <w:color w:val="auto"/>
                <w:szCs w:val="21"/>
                <w:highlight w:val="none"/>
              </w:rPr>
            </w:pPr>
            <w:r>
              <w:rPr>
                <w:rFonts w:ascii="宋体" w:hAnsi="宋体"/>
                <w:color w:val="auto"/>
                <w:szCs w:val="21"/>
                <w:highlight w:val="none"/>
              </w:rPr>
              <w:t>2.2.1</w:t>
            </w:r>
          </w:p>
        </w:tc>
        <w:tc>
          <w:tcPr>
            <w:tcW w:w="1774" w:type="dxa"/>
            <w:noWrap w:val="0"/>
            <w:vAlign w:val="center"/>
          </w:tcPr>
          <w:p>
            <w:pPr>
              <w:spacing w:line="240" w:lineRule="atLeast"/>
              <w:jc w:val="center"/>
              <w:rPr>
                <w:rFonts w:ascii="宋体" w:hAnsi="宋体"/>
                <w:color w:val="auto"/>
                <w:szCs w:val="21"/>
                <w:highlight w:val="none"/>
              </w:rPr>
            </w:pPr>
            <w:r>
              <w:rPr>
                <w:rFonts w:ascii="宋体" w:hAnsi="宋体"/>
                <w:color w:val="auto"/>
                <w:szCs w:val="21"/>
                <w:highlight w:val="none"/>
              </w:rPr>
              <w:t>分值构成</w:t>
            </w:r>
          </w:p>
          <w:p>
            <w:pPr>
              <w:spacing w:line="240" w:lineRule="atLeast"/>
              <w:jc w:val="center"/>
              <w:rPr>
                <w:rFonts w:ascii="宋体" w:hAnsi="宋体"/>
                <w:color w:val="auto"/>
                <w:szCs w:val="21"/>
                <w:highlight w:val="none"/>
              </w:rPr>
            </w:pPr>
            <w:r>
              <w:rPr>
                <w:rFonts w:hint="eastAsia" w:ascii="宋体" w:hAnsi="宋体"/>
                <w:color w:val="auto"/>
                <w:szCs w:val="21"/>
                <w:highlight w:val="none"/>
              </w:rPr>
              <w:t>（总分100分）</w:t>
            </w:r>
          </w:p>
        </w:tc>
        <w:tc>
          <w:tcPr>
            <w:tcW w:w="7018" w:type="dxa"/>
            <w:noWrap w:val="0"/>
            <w:vAlign w:val="center"/>
          </w:tcPr>
          <w:p>
            <w:pPr>
              <w:spacing w:line="240" w:lineRule="atLeast"/>
              <w:ind w:left="103" w:leftChars="49" w:right="105" w:rightChars="50"/>
              <w:rPr>
                <w:rFonts w:ascii="宋体" w:hAnsi="宋体" w:cs="宋体"/>
                <w:bCs/>
                <w:color w:val="auto"/>
                <w:szCs w:val="21"/>
                <w:highlight w:val="none"/>
              </w:rPr>
            </w:pPr>
            <w:r>
              <w:rPr>
                <w:rFonts w:hint="eastAsia" w:ascii="宋体" w:hAnsi="宋体" w:cs="宋体"/>
                <w:bCs/>
                <w:color w:val="auto"/>
                <w:szCs w:val="21"/>
                <w:highlight w:val="none"/>
              </w:rPr>
              <w:t>评标价：</w:t>
            </w:r>
            <w:r>
              <w:rPr>
                <w:rFonts w:hint="eastAsia" w:ascii="宋体" w:hAnsi="宋体" w:cs="宋体"/>
                <w:bCs/>
                <w:color w:val="auto"/>
                <w:szCs w:val="21"/>
                <w:highlight w:val="none"/>
                <w:u w:val="single"/>
              </w:rPr>
              <w:t>100</w:t>
            </w:r>
            <w:r>
              <w:rPr>
                <w:rFonts w:hint="eastAsia" w:ascii="宋体" w:hAnsi="宋体" w:cs="宋体"/>
                <w:bCs/>
                <w:color w:val="auto"/>
                <w:szCs w:val="21"/>
                <w:highlight w:val="none"/>
              </w:rPr>
              <w:t>分</w:t>
            </w:r>
          </w:p>
          <w:p>
            <w:pPr>
              <w:spacing w:line="240" w:lineRule="atLeast"/>
              <w:ind w:left="103" w:leftChars="49" w:right="105" w:rightChars="50"/>
              <w:rPr>
                <w:rFonts w:ascii="宋体" w:hAnsi="宋体" w:cs="宋体"/>
                <w:bCs/>
                <w:color w:val="auto"/>
                <w:szCs w:val="21"/>
                <w:highlight w:val="none"/>
              </w:rPr>
            </w:pPr>
            <w:r>
              <w:rPr>
                <w:rFonts w:hint="eastAsia" w:ascii="宋体" w:hAnsi="宋体" w:cs="宋体"/>
                <w:bCs/>
                <w:color w:val="auto"/>
                <w:szCs w:val="21"/>
                <w:highlight w:val="none"/>
              </w:rPr>
              <w:t>信用得分：见 2.2.4 款</w:t>
            </w:r>
          </w:p>
          <w:p>
            <w:pPr>
              <w:spacing w:line="240" w:lineRule="atLeast"/>
              <w:ind w:left="103" w:leftChars="49" w:right="105" w:rightChars="50"/>
              <w:rPr>
                <w:rFonts w:ascii="宋体" w:hAnsi="宋体" w:cs="宋体"/>
                <w:bCs/>
                <w:color w:val="auto"/>
                <w:szCs w:val="21"/>
                <w:highlight w:val="none"/>
              </w:rPr>
            </w:pPr>
            <w:r>
              <w:rPr>
                <w:rFonts w:hint="eastAsia" w:ascii="宋体" w:hAnsi="宋体" w:cs="宋体"/>
                <w:bCs/>
                <w:color w:val="auto"/>
                <w:szCs w:val="21"/>
                <w:highlight w:val="none"/>
              </w:rPr>
              <w:t xml:space="preserve">投标人得分=评标价得分（C）+信用得分（D） </w:t>
            </w:r>
          </w:p>
          <w:p>
            <w:pPr>
              <w:spacing w:line="240" w:lineRule="atLeast"/>
              <w:ind w:left="103" w:leftChars="49" w:right="105" w:rightChars="50"/>
              <w:rPr>
                <w:b/>
                <w:color w:val="auto"/>
                <w:highlight w:val="none"/>
              </w:rPr>
            </w:pPr>
            <w:r>
              <w:rPr>
                <w:rFonts w:hint="eastAsia" w:ascii="宋体" w:hAnsi="宋体" w:cs="宋体"/>
                <w:bCs/>
                <w:color w:val="auto"/>
                <w:szCs w:val="21"/>
                <w:highlight w:val="none"/>
              </w:rPr>
              <w:t>其他因素分值：0分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7" w:hRule="atLeast"/>
          <w:jc w:val="center"/>
        </w:trPr>
        <w:tc>
          <w:tcPr>
            <w:tcW w:w="964" w:type="dxa"/>
            <w:noWrap w:val="0"/>
            <w:vAlign w:val="center"/>
          </w:tcPr>
          <w:p>
            <w:pPr>
              <w:spacing w:line="240" w:lineRule="atLeast"/>
              <w:ind w:right="113"/>
              <w:jc w:val="center"/>
              <w:rPr>
                <w:rFonts w:ascii="宋体" w:hAnsi="宋体"/>
                <w:color w:val="auto"/>
                <w:szCs w:val="21"/>
                <w:highlight w:val="none"/>
              </w:rPr>
            </w:pPr>
            <w:r>
              <w:rPr>
                <w:rFonts w:ascii="宋体" w:hAnsi="宋体"/>
                <w:color w:val="auto"/>
                <w:szCs w:val="21"/>
                <w:highlight w:val="none"/>
              </w:rPr>
              <w:t>2.2.2</w:t>
            </w:r>
          </w:p>
        </w:tc>
        <w:tc>
          <w:tcPr>
            <w:tcW w:w="1774" w:type="dxa"/>
            <w:noWrap w:val="0"/>
            <w:vAlign w:val="center"/>
          </w:tcPr>
          <w:p>
            <w:pPr>
              <w:spacing w:line="240" w:lineRule="atLeast"/>
              <w:ind w:left="36" w:leftChars="17" w:right="113" w:firstLine="86" w:firstLineChars="41"/>
              <w:jc w:val="center"/>
              <w:rPr>
                <w:rFonts w:ascii="宋体" w:hAnsi="宋体"/>
                <w:color w:val="auto"/>
                <w:szCs w:val="21"/>
                <w:highlight w:val="none"/>
              </w:rPr>
            </w:pPr>
            <w:r>
              <w:rPr>
                <w:rFonts w:ascii="宋体" w:hAnsi="宋体"/>
                <w:color w:val="auto"/>
                <w:szCs w:val="21"/>
                <w:highlight w:val="none"/>
              </w:rPr>
              <w:t>评标基准价计算方法</w:t>
            </w:r>
          </w:p>
        </w:tc>
        <w:tc>
          <w:tcPr>
            <w:tcW w:w="7018" w:type="dxa"/>
            <w:noWrap w:val="0"/>
            <w:vAlign w:val="center"/>
          </w:tcPr>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评标基准价的计算：</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（1）评标价的确定： 有效评标价＝第二个信封开标现场未被宣布为无效投标的投标报价函投 标总价的文字报价</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出现第二章“投标人须知”第 5.2.4 项所规定情况的投标文件，应做投标无 效处理，其投标报价视为无效报价，不参与任何计算。</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（2）确定最终控制价上限 G2</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第一个信封开标现场随机抽取投标控制价上限的下浮系数 X1。</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（X1 为 0.5%、1%、1.5%、2%、2.5%、3%六个数值中的一个）。 最终控制价上限 G2=G1×（1-X1） G1=各标段最高投标限价（含暂列金额）。</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如投标人评标价高于本标段的 G2，则视其为超出招标人的支付能力，将 不再参与后续任何计算，按投标无效处理。</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（3）确定理论成本价 LC</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同一标段中所有不高于 G2 的有效评标价的算术平均值的 50%（当有效评 标价有 5 个及以上时，应去掉其中的最高值和最低值）与 G2 的 50%相加 后，乘以成本价系数 Z 所得数值为该标段的理论成本价。 LC=（0.5×G2+0.5×SP1）×0.85</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SP1——该标段所有不高于 G2 的有效评标价的算术平均值（当有效评标 价有 5 个及以上时，应去掉其中的最高值和最低值）</w:t>
            </w:r>
          </w:p>
          <w:p>
            <w:pPr>
              <w:spacing w:line="240" w:lineRule="atLeast"/>
              <w:ind w:left="104" w:leftChars="49" w:right="105" w:rightChars="50" w:hanging="1"/>
              <w:rPr>
                <w:rFonts w:ascii="宋体" w:hAnsi="宋体" w:cs="宋体"/>
                <w:bCs/>
                <w:color w:val="auto"/>
                <w:szCs w:val="21"/>
                <w:highlight w:val="none"/>
              </w:rPr>
            </w:pPr>
            <w:r>
              <w:rPr>
                <w:rFonts w:ascii="宋体" w:hAnsi="宋体" w:cs="宋体"/>
                <w:bCs/>
                <w:color w:val="auto"/>
                <w:szCs w:val="21"/>
                <w:highlight w:val="none"/>
              </w:rPr>
              <w:t>Z——0.85</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（4）确定评标基准价 JZ</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评标基准价＝［最终投标控制价上限×加权系数＋有效评标价算术平均 值×（1-加权系数）］×评标基准价系数</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式中：加权系数（X2）应从 0.3、0.35、0.4 中选取，评标基准价系数（X3） 应从 0.96、0.97、0.98、0.99 中选取，均由投标人代表或现场监督在开标现场 随机抽取确定。</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有效评标价指评标价介于理论成本价（含）与相应最终投标控制价上限</w:t>
            </w:r>
          </w:p>
          <w:p>
            <w:pPr>
              <w:spacing w:line="240" w:lineRule="atLeast"/>
              <w:ind w:left="103" w:right="105" w:rightChars="50" w:hanging="1"/>
              <w:rPr>
                <w:rFonts w:ascii="宋体" w:hAnsi="宋体" w:cs="宋体"/>
                <w:bCs/>
                <w:color w:val="auto"/>
                <w:szCs w:val="21"/>
                <w:highlight w:val="none"/>
              </w:rPr>
            </w:pPr>
            <w:r>
              <w:rPr>
                <w:rFonts w:hint="eastAsia" w:ascii="宋体" w:hAnsi="宋体" w:cs="宋体"/>
                <w:bCs/>
                <w:color w:val="auto"/>
                <w:szCs w:val="21"/>
                <w:highlight w:val="none"/>
              </w:rPr>
              <w:t>（含）范围内的评标价。当有效评标价数量大于 5 时，应去掉其中的最高和最低值，再进行有效评标价算术平均值计算。</w:t>
            </w:r>
          </w:p>
          <w:p>
            <w:pPr>
              <w:spacing w:line="240" w:lineRule="atLeast"/>
              <w:ind w:left="103" w:right="105" w:rightChars="50" w:hanging="1"/>
              <w:rPr>
                <w:rFonts w:ascii="宋体" w:hAnsi="宋体" w:cs="宋体"/>
                <w:bCs/>
                <w:color w:val="auto"/>
                <w:szCs w:val="21"/>
                <w:highlight w:val="none"/>
              </w:rPr>
            </w:pPr>
            <w:r>
              <w:rPr>
                <w:rFonts w:hint="eastAsia" w:ascii="宋体" w:hAnsi="宋体" w:cs="宋体"/>
                <w:bCs/>
                <w:color w:val="auto"/>
                <w:szCs w:val="21"/>
                <w:highlight w:val="none"/>
              </w:rPr>
              <w:t>在评标过程中，评标委员会应对招标人计算的评标基准价进行复核，存 在计算错误的应予以修正并在评标报告中作出说明。除此之外，评标基准价 在整个评标期间保持不变，不随任何因素发生变化。</w:t>
            </w:r>
          </w:p>
          <w:p>
            <w:pPr>
              <w:spacing w:line="240" w:lineRule="atLeast"/>
              <w:ind w:left="103" w:right="105" w:rightChars="50" w:hanging="1"/>
              <w:rPr>
                <w:rFonts w:ascii="宋体" w:hAnsi="宋体" w:cs="宋体"/>
                <w:bCs/>
                <w:color w:val="auto"/>
                <w:szCs w:val="21"/>
                <w:highlight w:val="none"/>
              </w:rPr>
            </w:pPr>
          </w:p>
          <w:p>
            <w:pPr>
              <w:spacing w:line="240" w:lineRule="atLeast"/>
              <w:ind w:left="103" w:right="105" w:rightChars="50" w:hanging="1"/>
              <w:rPr>
                <w:rFonts w:ascii="宋体" w:hAnsi="宋体" w:cs="宋体"/>
                <w:bCs/>
                <w:color w:val="auto"/>
                <w:szCs w:val="21"/>
                <w:highlight w:val="none"/>
              </w:rPr>
            </w:pPr>
            <w:r>
              <w:rPr>
                <w:rFonts w:hint="eastAsia" w:ascii="宋体" w:hAnsi="宋体" w:cs="宋体"/>
                <w:bCs/>
                <w:color w:val="auto"/>
                <w:szCs w:val="21"/>
                <w:highlight w:val="none"/>
              </w:rPr>
              <w:t>上述相关系数（X1、X2、X3）在开标现场由按标段随机抽取。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jc w:val="center"/>
        </w:trPr>
        <w:tc>
          <w:tcPr>
            <w:tcW w:w="964" w:type="dxa"/>
            <w:noWrap w:val="0"/>
            <w:vAlign w:val="center"/>
          </w:tcPr>
          <w:p>
            <w:pPr>
              <w:spacing w:line="240" w:lineRule="atLeast"/>
              <w:ind w:right="113"/>
              <w:jc w:val="center"/>
              <w:rPr>
                <w:rFonts w:ascii="宋体" w:hAnsi="宋体"/>
                <w:color w:val="auto"/>
                <w:szCs w:val="21"/>
                <w:highlight w:val="none"/>
              </w:rPr>
            </w:pPr>
            <w:r>
              <w:rPr>
                <w:rFonts w:ascii="宋体" w:hAnsi="宋体"/>
                <w:color w:val="auto"/>
                <w:szCs w:val="21"/>
                <w:highlight w:val="none"/>
              </w:rPr>
              <w:t>2.2.3</w:t>
            </w:r>
          </w:p>
        </w:tc>
        <w:tc>
          <w:tcPr>
            <w:tcW w:w="1774" w:type="dxa"/>
            <w:noWrap w:val="0"/>
            <w:vAlign w:val="center"/>
          </w:tcPr>
          <w:p>
            <w:pPr>
              <w:spacing w:line="240" w:lineRule="atLeast"/>
              <w:jc w:val="center"/>
              <w:rPr>
                <w:rFonts w:ascii="宋体" w:hAnsi="宋体" w:cs="宋体"/>
                <w:color w:val="auto"/>
                <w:szCs w:val="21"/>
                <w:highlight w:val="none"/>
              </w:rPr>
            </w:pPr>
            <w:r>
              <w:rPr>
                <w:rFonts w:ascii="宋体" w:hAnsi="宋体" w:cs="宋体"/>
                <w:color w:val="auto"/>
                <w:szCs w:val="21"/>
                <w:highlight w:val="none"/>
              </w:rPr>
              <w:t>评标价的偏差率计算公式</w:t>
            </w:r>
          </w:p>
        </w:tc>
        <w:tc>
          <w:tcPr>
            <w:tcW w:w="7018" w:type="dxa"/>
            <w:noWrap w:val="0"/>
            <w:vAlign w:val="center"/>
          </w:tcPr>
          <w:p>
            <w:pPr>
              <w:spacing w:line="240" w:lineRule="atLeast"/>
              <w:ind w:left="103" w:right="105" w:rightChars="50"/>
              <w:jc w:val="left"/>
              <w:rPr>
                <w:color w:val="auto"/>
                <w:highlight w:val="none"/>
              </w:rPr>
            </w:pPr>
            <w:r>
              <w:rPr>
                <w:color w:val="auto"/>
                <w:highlight w:val="none"/>
              </w:rPr>
              <w:t>偏差率=100%×</w:t>
            </w:r>
            <w:r>
              <w:rPr>
                <w:rFonts w:hint="eastAsia" w:ascii="宋体" w:hAnsi="宋体" w:cs="宋体"/>
                <w:color w:val="auto"/>
                <w:highlight w:val="none"/>
                <w:lang w:eastAsia="zh-CN"/>
              </w:rPr>
              <w:t>（</w:t>
            </w:r>
            <w:r>
              <w:rPr>
                <w:color w:val="auto"/>
                <w:highlight w:val="none"/>
              </w:rPr>
              <w:t>评标价－评标基准价</w:t>
            </w:r>
            <w:r>
              <w:rPr>
                <w:rFonts w:hint="eastAsia" w:ascii="宋体" w:hAnsi="宋体" w:cs="宋体"/>
                <w:color w:val="auto"/>
                <w:highlight w:val="none"/>
                <w:lang w:eastAsia="zh-CN"/>
              </w:rPr>
              <w:t>）</w:t>
            </w:r>
            <w:r>
              <w:rPr>
                <w:color w:val="auto"/>
                <w:highlight w:val="none"/>
              </w:rPr>
              <w:t>/评标基准价</w:t>
            </w:r>
          </w:p>
          <w:p>
            <w:pPr>
              <w:pStyle w:val="2"/>
              <w:spacing w:line="240" w:lineRule="atLeast"/>
              <w:ind w:left="103" w:right="105" w:rightChars="50"/>
              <w:rPr>
                <w:color w:val="auto"/>
                <w:highlight w:val="none"/>
              </w:rPr>
            </w:pPr>
            <w:r>
              <w:rPr>
                <w:rFonts w:hint="eastAsia" w:ascii="宋体" w:hAnsi="宋体" w:eastAsia="宋体" w:cs="宋体"/>
                <w:color w:val="auto"/>
                <w:sz w:val="21"/>
                <w:szCs w:val="21"/>
                <w:highlight w:val="none"/>
              </w:rPr>
              <w:t>偏差率保留至小数点后四位，小数点后第五位“四舍五入”。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jc w:val="center"/>
        </w:trPr>
        <w:tc>
          <w:tcPr>
            <w:tcW w:w="964" w:type="dxa"/>
            <w:noWrap w:val="0"/>
            <w:vAlign w:val="center"/>
          </w:tcPr>
          <w:p>
            <w:pPr>
              <w:spacing w:line="240" w:lineRule="atLeast"/>
              <w:ind w:right="113"/>
              <w:jc w:val="center"/>
              <w:rPr>
                <w:rFonts w:ascii="宋体" w:hAnsi="宋体"/>
                <w:color w:val="auto"/>
                <w:szCs w:val="21"/>
                <w:highlight w:val="none"/>
              </w:rPr>
            </w:pPr>
            <w:r>
              <w:rPr>
                <w:rFonts w:ascii="宋体" w:hAnsi="宋体"/>
                <w:color w:val="auto"/>
                <w:szCs w:val="21"/>
                <w:highlight w:val="none"/>
              </w:rPr>
              <w:t>2.2.4</w:t>
            </w:r>
          </w:p>
          <w:p>
            <w:pPr>
              <w:spacing w:line="240" w:lineRule="atLeast"/>
              <w:ind w:right="113"/>
              <w:jc w:val="center"/>
              <w:rPr>
                <w:rFonts w:ascii="宋体" w:hAnsi="宋体"/>
                <w:color w:val="auto"/>
                <w:szCs w:val="21"/>
                <w:highlight w:val="none"/>
              </w:rPr>
            </w:pPr>
            <w:r>
              <w:rPr>
                <w:rFonts w:ascii="宋体" w:hAnsi="宋体"/>
                <w:color w:val="auto"/>
                <w:szCs w:val="21"/>
                <w:highlight w:val="none"/>
              </w:rPr>
              <w:t>（1）</w:t>
            </w:r>
          </w:p>
        </w:tc>
        <w:tc>
          <w:tcPr>
            <w:tcW w:w="1774" w:type="dxa"/>
            <w:noWrap w:val="0"/>
            <w:vAlign w:val="center"/>
          </w:tcPr>
          <w:p>
            <w:pPr>
              <w:spacing w:line="240" w:lineRule="atLeast"/>
              <w:ind w:left="105" w:right="113"/>
              <w:jc w:val="center"/>
              <w:rPr>
                <w:rFonts w:ascii="宋体" w:hAnsi="宋体"/>
                <w:color w:val="auto"/>
                <w:szCs w:val="21"/>
                <w:highlight w:val="none"/>
              </w:rPr>
            </w:pPr>
            <w:r>
              <w:rPr>
                <w:rFonts w:ascii="宋体" w:hAnsi="宋体"/>
                <w:color w:val="auto"/>
                <w:szCs w:val="21"/>
                <w:highlight w:val="none"/>
              </w:rPr>
              <w:t>评标价得分</w:t>
            </w:r>
          </w:p>
        </w:tc>
        <w:tc>
          <w:tcPr>
            <w:tcW w:w="7018" w:type="dxa"/>
            <w:noWrap w:val="0"/>
            <w:vAlign w:val="top"/>
          </w:tcPr>
          <w:p>
            <w:pPr>
              <w:spacing w:line="240" w:lineRule="atLeast"/>
              <w:ind w:left="103" w:right="105" w:rightChars="50" w:hanging="1"/>
              <w:rPr>
                <w:rFonts w:ascii="宋体" w:hAnsi="宋体" w:cs="宋体"/>
                <w:bCs/>
                <w:color w:val="auto"/>
                <w:szCs w:val="21"/>
                <w:highlight w:val="none"/>
              </w:rPr>
            </w:pPr>
            <w:r>
              <w:rPr>
                <w:rFonts w:ascii="宋体" w:hAnsi="宋体" w:cs="宋体"/>
                <w:bCs/>
                <w:color w:val="auto"/>
                <w:szCs w:val="21"/>
                <w:highlight w:val="none"/>
              </w:rPr>
              <w:t>评标价得分计算（满分100 分）：</w:t>
            </w:r>
          </w:p>
          <w:p>
            <w:pPr>
              <w:spacing w:line="240" w:lineRule="atLeast"/>
              <w:ind w:left="103" w:right="105" w:rightChars="50" w:hanging="1"/>
              <w:rPr>
                <w:rFonts w:ascii="Adobe 仿宋 Std R" w:hAnsi="Adobe 仿宋 Std R" w:eastAsia="Adobe 仿宋 Std R" w:cs="Adobe 仿宋 Std R"/>
                <w:color w:val="auto"/>
                <w:szCs w:val="21"/>
                <w:highlight w:val="none"/>
              </w:rPr>
            </w:pPr>
            <w:r>
              <w:rPr>
                <w:rFonts w:ascii="宋体" w:hAnsi="宋体" w:cs="宋体"/>
                <w:bCs/>
                <w:color w:val="auto"/>
                <w:szCs w:val="21"/>
                <w:highlight w:val="none"/>
              </w:rPr>
              <w:t>评标价得分C的计算公式（得分保留三位小数，小数点后第四位“四舍五入如果投标人的评标价＞评标基准价，则评标价得分C=100-偏差率×100×E1； 如果投标人的评标价≤评标基准价，则评标价得分C=100+偏差率×100×E2。 其中：E1=2；E2=1。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jc w:val="center"/>
        </w:trPr>
        <w:tc>
          <w:tcPr>
            <w:tcW w:w="964" w:type="dxa"/>
            <w:noWrap w:val="0"/>
            <w:vAlign w:val="center"/>
          </w:tcPr>
          <w:p>
            <w:pPr>
              <w:spacing w:line="240" w:lineRule="atLeast"/>
              <w:ind w:right="113"/>
              <w:jc w:val="center"/>
              <w:rPr>
                <w:rFonts w:ascii="宋体" w:hAnsi="宋体"/>
                <w:color w:val="auto"/>
                <w:szCs w:val="21"/>
                <w:highlight w:val="none"/>
              </w:rPr>
            </w:pPr>
            <w:r>
              <w:rPr>
                <w:rFonts w:ascii="宋体" w:hAnsi="宋体"/>
                <w:color w:val="auto"/>
                <w:szCs w:val="21"/>
                <w:highlight w:val="none"/>
              </w:rPr>
              <w:t>2.2.4</w:t>
            </w:r>
          </w:p>
          <w:p>
            <w:pPr>
              <w:spacing w:line="240" w:lineRule="atLeast"/>
              <w:ind w:right="113"/>
              <w:jc w:val="center"/>
              <w:rPr>
                <w:rFonts w:ascii="宋体" w:hAnsi="宋体"/>
                <w:color w:val="auto"/>
                <w:szCs w:val="21"/>
                <w:highlight w:val="none"/>
              </w:rPr>
            </w:pPr>
            <w:r>
              <w:rPr>
                <w:rFonts w:hint="eastAsia" w:ascii="宋体" w:hAnsi="宋体"/>
                <w:color w:val="auto"/>
                <w:szCs w:val="21"/>
                <w:highlight w:val="none"/>
              </w:rPr>
              <w:t>（2）</w:t>
            </w:r>
          </w:p>
        </w:tc>
        <w:tc>
          <w:tcPr>
            <w:tcW w:w="1774" w:type="dxa"/>
            <w:noWrap w:val="0"/>
            <w:vAlign w:val="center"/>
          </w:tcPr>
          <w:p>
            <w:pPr>
              <w:spacing w:line="240" w:lineRule="atLeast"/>
              <w:jc w:val="center"/>
              <w:rPr>
                <w:rFonts w:ascii="宋体" w:hAnsi="宋体" w:cs="宋体"/>
                <w:color w:val="auto"/>
                <w:szCs w:val="21"/>
                <w:highlight w:val="none"/>
              </w:rPr>
            </w:pPr>
            <w:r>
              <w:rPr>
                <w:rFonts w:hint="eastAsia" w:ascii="宋体" w:hAnsi="宋体" w:cs="宋体"/>
                <w:color w:val="auto"/>
                <w:szCs w:val="21"/>
                <w:highlight w:val="none"/>
              </w:rPr>
              <w:t>信用得分</w:t>
            </w:r>
          </w:p>
        </w:tc>
        <w:tc>
          <w:tcPr>
            <w:tcW w:w="7018" w:type="dxa"/>
            <w:noWrap w:val="0"/>
            <w:vAlign w:val="center"/>
          </w:tcPr>
          <w:p>
            <w:pPr>
              <w:spacing w:line="240" w:lineRule="atLeast"/>
              <w:ind w:left="103" w:right="105" w:rightChars="50"/>
              <w:jc w:val="left"/>
              <w:rPr>
                <w:color w:val="auto"/>
                <w:highlight w:val="none"/>
              </w:rPr>
            </w:pPr>
            <w:r>
              <w:rPr>
                <w:rFonts w:hint="eastAsia"/>
                <w:color w:val="auto"/>
                <w:highlight w:val="none"/>
              </w:rPr>
              <w:t>公路水运试验检测管理信息系统中</w:t>
            </w:r>
            <w:r>
              <w:rPr>
                <w:rFonts w:hint="eastAsia"/>
                <w:color w:val="auto"/>
                <w:highlight w:val="none"/>
                <w:lang w:eastAsia="zh-CN"/>
              </w:rPr>
              <w:t>有效且最新年度</w:t>
            </w:r>
            <w:r>
              <w:rPr>
                <w:rFonts w:hint="eastAsia"/>
                <w:color w:val="auto"/>
                <w:highlight w:val="none"/>
              </w:rPr>
              <w:t>信用评价，</w:t>
            </w:r>
            <w:r>
              <w:rPr>
                <w:color w:val="auto"/>
                <w:highlight w:val="none"/>
              </w:rPr>
              <w:t>信用得分 D 的计算方法如下表所示：</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07"/>
              <w:gridCol w:w="1419"/>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4007" w:type="dxa"/>
                  <w:noWrap w:val="0"/>
                  <w:vAlign w:val="center"/>
                </w:tcPr>
                <w:p>
                  <w:pPr>
                    <w:spacing w:line="240" w:lineRule="atLeast"/>
                    <w:ind w:right="105" w:rightChars="50"/>
                    <w:jc w:val="center"/>
                    <w:rPr>
                      <w:color w:val="auto"/>
                      <w:highlight w:val="none"/>
                    </w:rPr>
                  </w:pPr>
                  <w:r>
                    <w:rPr>
                      <w:rFonts w:hint="eastAsia"/>
                      <w:color w:val="auto"/>
                      <w:highlight w:val="none"/>
                    </w:rPr>
                    <w:t>投标人</w:t>
                  </w:r>
                </w:p>
              </w:tc>
              <w:tc>
                <w:tcPr>
                  <w:tcW w:w="1419" w:type="dxa"/>
                  <w:noWrap w:val="0"/>
                  <w:vAlign w:val="center"/>
                </w:tcPr>
                <w:p>
                  <w:pPr>
                    <w:spacing w:line="240" w:lineRule="atLeast"/>
                    <w:ind w:right="105" w:rightChars="50"/>
                    <w:jc w:val="center"/>
                    <w:rPr>
                      <w:color w:val="auto"/>
                      <w:highlight w:val="none"/>
                    </w:rPr>
                  </w:pPr>
                  <w:r>
                    <w:rPr>
                      <w:rFonts w:hint="eastAsia"/>
                      <w:color w:val="auto"/>
                      <w:highlight w:val="none"/>
                    </w:rPr>
                    <w:t>信用等级</w:t>
                  </w:r>
                </w:p>
              </w:tc>
              <w:tc>
                <w:tcPr>
                  <w:tcW w:w="1454" w:type="dxa"/>
                  <w:noWrap w:val="0"/>
                  <w:vAlign w:val="center"/>
                </w:tcPr>
                <w:p>
                  <w:pPr>
                    <w:spacing w:line="240" w:lineRule="atLeast"/>
                    <w:ind w:right="-69" w:rightChars="-33"/>
                    <w:jc w:val="center"/>
                    <w:rPr>
                      <w:color w:val="auto"/>
                      <w:highlight w:val="none"/>
                    </w:rPr>
                  </w:pPr>
                  <w:r>
                    <w:rPr>
                      <w:rFonts w:hint="eastAsia"/>
                      <w:color w:val="auto"/>
                      <w:highlight w:val="none"/>
                    </w:rPr>
                    <w:t>信用得分D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4007" w:type="dxa"/>
                  <w:vMerge w:val="restart"/>
                  <w:noWrap w:val="0"/>
                  <w:vAlign w:val="center"/>
                </w:tcPr>
                <w:p>
                  <w:pPr>
                    <w:spacing w:line="240" w:lineRule="atLeast"/>
                    <w:ind w:right="105" w:rightChars="50"/>
                    <w:jc w:val="center"/>
                    <w:rPr>
                      <w:color w:val="auto"/>
                      <w:highlight w:val="none"/>
                    </w:rPr>
                  </w:pPr>
                  <w:r>
                    <w:rPr>
                      <w:rFonts w:hint="eastAsia"/>
                      <w:color w:val="auto"/>
                      <w:highlight w:val="none"/>
                    </w:rPr>
                    <w:t>第二个信封开标现场排名第1名至第n名的投标人</w:t>
                  </w:r>
                </w:p>
              </w:tc>
              <w:tc>
                <w:tcPr>
                  <w:tcW w:w="1419" w:type="dxa"/>
                  <w:noWrap w:val="0"/>
                  <w:vAlign w:val="center"/>
                </w:tcPr>
                <w:p>
                  <w:pPr>
                    <w:spacing w:line="240" w:lineRule="atLeast"/>
                    <w:ind w:right="105" w:rightChars="50"/>
                    <w:jc w:val="center"/>
                    <w:rPr>
                      <w:color w:val="auto"/>
                      <w:highlight w:val="none"/>
                    </w:rPr>
                  </w:pPr>
                  <w:r>
                    <w:rPr>
                      <w:rFonts w:hint="eastAsia"/>
                      <w:color w:val="auto"/>
                      <w:highlight w:val="none"/>
                    </w:rPr>
                    <w:t>AA</w:t>
                  </w:r>
                </w:p>
              </w:tc>
              <w:tc>
                <w:tcPr>
                  <w:tcW w:w="1454" w:type="dxa"/>
                  <w:noWrap w:val="0"/>
                  <w:vAlign w:val="center"/>
                </w:tcPr>
                <w:p>
                  <w:pPr>
                    <w:spacing w:line="240" w:lineRule="atLeast"/>
                    <w:ind w:right="-69" w:rightChars="-33"/>
                    <w:jc w:val="center"/>
                    <w:rPr>
                      <w:color w:val="auto"/>
                      <w:highlight w:val="none"/>
                    </w:rPr>
                  </w:pPr>
                  <w:r>
                    <w:rPr>
                      <w:rFonts w:hint="eastAsia"/>
                      <w:color w:val="auto"/>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4007" w:type="dxa"/>
                  <w:vMerge w:val="continue"/>
                  <w:noWrap w:val="0"/>
                  <w:vAlign w:val="center"/>
                </w:tcPr>
                <w:p>
                  <w:pPr>
                    <w:spacing w:line="240" w:lineRule="atLeast"/>
                    <w:ind w:right="105" w:rightChars="50"/>
                    <w:jc w:val="center"/>
                    <w:rPr>
                      <w:color w:val="auto"/>
                      <w:highlight w:val="none"/>
                    </w:rPr>
                  </w:pPr>
                </w:p>
              </w:tc>
              <w:tc>
                <w:tcPr>
                  <w:tcW w:w="1419" w:type="dxa"/>
                  <w:noWrap w:val="0"/>
                  <w:vAlign w:val="center"/>
                </w:tcPr>
                <w:p>
                  <w:pPr>
                    <w:spacing w:line="240" w:lineRule="atLeast"/>
                    <w:ind w:right="105" w:rightChars="50"/>
                    <w:jc w:val="center"/>
                    <w:rPr>
                      <w:color w:val="auto"/>
                      <w:highlight w:val="none"/>
                    </w:rPr>
                  </w:pPr>
                  <w:r>
                    <w:rPr>
                      <w:rFonts w:hint="eastAsia"/>
                      <w:color w:val="auto"/>
                      <w:highlight w:val="none"/>
                    </w:rPr>
                    <w:t>A</w:t>
                  </w:r>
                </w:p>
              </w:tc>
              <w:tc>
                <w:tcPr>
                  <w:tcW w:w="1454" w:type="dxa"/>
                  <w:noWrap w:val="0"/>
                  <w:vAlign w:val="center"/>
                </w:tcPr>
                <w:p>
                  <w:pPr>
                    <w:spacing w:line="240" w:lineRule="atLeast"/>
                    <w:ind w:right="-69" w:rightChars="-33"/>
                    <w:jc w:val="center"/>
                    <w:rPr>
                      <w:color w:val="auto"/>
                      <w:highlight w:val="none"/>
                    </w:rPr>
                  </w:pPr>
                  <w:r>
                    <w:rPr>
                      <w:rFonts w:hint="eastAsia"/>
                      <w:color w:val="auto"/>
                      <w:highlight w:val="none"/>
                    </w:rPr>
                    <w:t>0.5a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4007" w:type="dxa"/>
                  <w:vMerge w:val="continue"/>
                  <w:noWrap w:val="0"/>
                  <w:vAlign w:val="center"/>
                </w:tcPr>
                <w:p>
                  <w:pPr>
                    <w:spacing w:line="240" w:lineRule="atLeast"/>
                    <w:ind w:right="105" w:rightChars="50"/>
                    <w:jc w:val="center"/>
                    <w:rPr>
                      <w:color w:val="auto"/>
                      <w:highlight w:val="none"/>
                    </w:rPr>
                  </w:pPr>
                </w:p>
              </w:tc>
              <w:tc>
                <w:tcPr>
                  <w:tcW w:w="1419" w:type="dxa"/>
                  <w:noWrap w:val="0"/>
                  <w:vAlign w:val="center"/>
                </w:tcPr>
                <w:p>
                  <w:pPr>
                    <w:spacing w:line="240" w:lineRule="atLeast"/>
                    <w:ind w:right="105" w:rightChars="50"/>
                    <w:jc w:val="center"/>
                    <w:rPr>
                      <w:color w:val="auto"/>
                      <w:highlight w:val="none"/>
                    </w:rPr>
                  </w:pPr>
                  <w:r>
                    <w:rPr>
                      <w:rFonts w:hint="eastAsia"/>
                      <w:color w:val="auto"/>
                      <w:highlight w:val="none"/>
                    </w:rPr>
                    <w:t>B</w:t>
                  </w:r>
                </w:p>
              </w:tc>
              <w:tc>
                <w:tcPr>
                  <w:tcW w:w="1454" w:type="dxa"/>
                  <w:noWrap w:val="0"/>
                  <w:vAlign w:val="center"/>
                </w:tcPr>
                <w:p>
                  <w:pPr>
                    <w:spacing w:line="240" w:lineRule="atLeast"/>
                    <w:ind w:right="-69" w:rightChars="-33"/>
                    <w:jc w:val="center"/>
                    <w:rPr>
                      <w:color w:val="auto"/>
                      <w:highlight w:val="none"/>
                    </w:rPr>
                  </w:pPr>
                  <w:r>
                    <w:rPr>
                      <w:rFonts w:hint="eastAsia"/>
                      <w:color w:val="auto"/>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4007" w:type="dxa"/>
                  <w:vMerge w:val="continue"/>
                  <w:noWrap w:val="0"/>
                  <w:vAlign w:val="center"/>
                </w:tcPr>
                <w:p>
                  <w:pPr>
                    <w:spacing w:line="240" w:lineRule="atLeast"/>
                    <w:ind w:right="105" w:rightChars="50"/>
                    <w:jc w:val="center"/>
                    <w:rPr>
                      <w:color w:val="auto"/>
                      <w:highlight w:val="none"/>
                    </w:rPr>
                  </w:pPr>
                </w:p>
              </w:tc>
              <w:tc>
                <w:tcPr>
                  <w:tcW w:w="1419" w:type="dxa"/>
                  <w:noWrap w:val="0"/>
                  <w:vAlign w:val="center"/>
                </w:tcPr>
                <w:p>
                  <w:pPr>
                    <w:spacing w:line="240" w:lineRule="atLeast"/>
                    <w:ind w:right="105" w:rightChars="50"/>
                    <w:jc w:val="center"/>
                    <w:rPr>
                      <w:color w:val="auto"/>
                      <w:highlight w:val="none"/>
                    </w:rPr>
                  </w:pPr>
                  <w:r>
                    <w:rPr>
                      <w:rFonts w:hint="eastAsia"/>
                      <w:color w:val="auto"/>
                      <w:highlight w:val="none"/>
                    </w:rPr>
                    <w:t>C</w:t>
                  </w:r>
                </w:p>
              </w:tc>
              <w:tc>
                <w:tcPr>
                  <w:tcW w:w="1454" w:type="dxa"/>
                  <w:noWrap w:val="0"/>
                  <w:vAlign w:val="center"/>
                </w:tcPr>
                <w:p>
                  <w:pPr>
                    <w:spacing w:line="240" w:lineRule="atLeast"/>
                    <w:ind w:right="-69" w:rightChars="-33"/>
                    <w:jc w:val="center"/>
                    <w:rPr>
                      <w:color w:val="auto"/>
                      <w:highlight w:val="none"/>
                    </w:rPr>
                  </w:pPr>
                  <w:r>
                    <w:rPr>
                      <w:rFonts w:hint="eastAsia"/>
                      <w:color w:val="auto"/>
                      <w:highlight w:val="none"/>
                    </w:rPr>
                    <w:t>-0.5a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jc w:val="center"/>
              </w:trPr>
              <w:tc>
                <w:tcPr>
                  <w:tcW w:w="4007" w:type="dxa"/>
                  <w:noWrap w:val="0"/>
                  <w:vAlign w:val="center"/>
                </w:tcPr>
                <w:p>
                  <w:pPr>
                    <w:spacing w:line="240" w:lineRule="atLeast"/>
                    <w:ind w:right="105" w:rightChars="50"/>
                    <w:jc w:val="center"/>
                    <w:rPr>
                      <w:color w:val="auto"/>
                      <w:highlight w:val="none"/>
                    </w:rPr>
                  </w:pPr>
                  <w:r>
                    <w:rPr>
                      <w:rFonts w:hint="eastAsia"/>
                      <w:color w:val="auto"/>
                      <w:highlight w:val="none"/>
                    </w:rPr>
                    <w:t>第二个信封开标现场排名第n名之后的投标人</w:t>
                  </w:r>
                </w:p>
              </w:tc>
              <w:tc>
                <w:tcPr>
                  <w:tcW w:w="1419" w:type="dxa"/>
                  <w:noWrap w:val="0"/>
                  <w:vAlign w:val="center"/>
                </w:tcPr>
                <w:p>
                  <w:pPr>
                    <w:spacing w:line="240" w:lineRule="atLeast"/>
                    <w:ind w:right="105" w:rightChars="50"/>
                    <w:jc w:val="center"/>
                    <w:rPr>
                      <w:color w:val="auto"/>
                      <w:highlight w:val="none"/>
                    </w:rPr>
                  </w:pPr>
                  <w:r>
                    <w:rPr>
                      <w:rFonts w:hint="eastAsia"/>
                      <w:color w:val="auto"/>
                      <w:highlight w:val="none"/>
                    </w:rPr>
                    <w:t>------</w:t>
                  </w:r>
                </w:p>
              </w:tc>
              <w:tc>
                <w:tcPr>
                  <w:tcW w:w="1454" w:type="dxa"/>
                  <w:noWrap w:val="0"/>
                  <w:vAlign w:val="center"/>
                </w:tcPr>
                <w:p>
                  <w:pPr>
                    <w:spacing w:line="240" w:lineRule="atLeast"/>
                    <w:ind w:right="-69" w:rightChars="-33"/>
                    <w:jc w:val="center"/>
                    <w:rPr>
                      <w:color w:val="auto"/>
                      <w:highlight w:val="none"/>
                    </w:rPr>
                  </w:pPr>
                  <w:r>
                    <w:rPr>
                      <w:rFonts w:hint="eastAsia"/>
                      <w:color w:val="auto"/>
                      <w:highlight w:val="none"/>
                    </w:rPr>
                    <w:t>0</w:t>
                  </w:r>
                </w:p>
              </w:tc>
            </w:tr>
          </w:tbl>
          <w:p>
            <w:pPr>
              <w:spacing w:line="240" w:lineRule="atLeast"/>
              <w:ind w:left="103" w:right="105" w:rightChars="50"/>
              <w:jc w:val="left"/>
              <w:rPr>
                <w:color w:val="auto"/>
                <w:highlight w:val="none"/>
              </w:rPr>
            </w:pPr>
            <w:r>
              <w:rPr>
                <w:rFonts w:hint="eastAsia"/>
                <w:color w:val="auto"/>
                <w:highlight w:val="none"/>
              </w:rPr>
              <w:t>注：</w:t>
            </w:r>
          </w:p>
          <w:p>
            <w:pPr>
              <w:spacing w:line="240" w:lineRule="atLeast"/>
              <w:ind w:left="103" w:right="105" w:rightChars="50"/>
              <w:jc w:val="left"/>
              <w:rPr>
                <w:color w:val="auto"/>
                <w:highlight w:val="none"/>
              </w:rPr>
            </w:pPr>
            <w:r>
              <w:rPr>
                <w:rFonts w:hint="eastAsia"/>
                <w:color w:val="auto"/>
                <w:highlight w:val="none"/>
              </w:rPr>
              <w:t>1、投标人第二个信封开标现场排名按以下原则确定：根据评标价得分计算公式计算投标人开标现场评标价得分，按由高到低的顺序进行排序。 投标人开标现场评标价得分相同时，以评标价较低的投标人排名在前；如评标价也相同时，以信用评价等级较高的投标人排名在前；如信用评价等级仍相同时，以按规定上传电子投标文件较早的投标人排名在前。</w:t>
            </w:r>
          </w:p>
          <w:p>
            <w:pPr>
              <w:spacing w:line="240" w:lineRule="atLeast"/>
              <w:ind w:left="103" w:right="105" w:rightChars="50"/>
              <w:jc w:val="left"/>
              <w:rPr>
                <w:color w:val="auto"/>
                <w:highlight w:val="none"/>
              </w:rPr>
            </w:pPr>
            <w:r>
              <w:rPr>
                <w:rFonts w:hint="eastAsia"/>
                <w:color w:val="auto"/>
                <w:highlight w:val="none"/>
              </w:rPr>
              <w:t>2、信用等级指公路水运试验检测管理信息系统中 20</w:t>
            </w:r>
            <w:r>
              <w:rPr>
                <w:rFonts w:hint="eastAsia"/>
                <w:color w:val="auto"/>
                <w:highlight w:val="none"/>
                <w:lang w:val="en-US" w:eastAsia="zh-CN"/>
              </w:rPr>
              <w:t>20</w:t>
            </w:r>
            <w:r>
              <w:rPr>
                <w:rFonts w:hint="eastAsia"/>
                <w:color w:val="auto"/>
                <w:highlight w:val="none"/>
              </w:rPr>
              <w:t xml:space="preserve"> 年度信用评价。</w:t>
            </w:r>
          </w:p>
          <w:p>
            <w:pPr>
              <w:spacing w:line="240" w:lineRule="atLeast"/>
              <w:ind w:left="103" w:right="105" w:rightChars="50"/>
              <w:jc w:val="left"/>
              <w:rPr>
                <w:color w:val="auto"/>
                <w:highlight w:val="none"/>
              </w:rPr>
            </w:pPr>
            <w:r>
              <w:rPr>
                <w:rFonts w:hint="eastAsia"/>
                <w:color w:val="auto"/>
                <w:highlight w:val="none"/>
              </w:rPr>
              <w:t>3、开标时有效投标人数量≥5 时，n=5；有效投标人数量＜5 时，n 按开标时有效投标人数量计。有效投标人指开标现场其投标文件未出现第二</w:t>
            </w:r>
          </w:p>
          <w:p>
            <w:pPr>
              <w:spacing w:line="240" w:lineRule="atLeast"/>
              <w:ind w:left="103" w:right="105" w:rightChars="50"/>
              <w:jc w:val="left"/>
              <w:rPr>
                <w:color w:val="auto"/>
                <w:highlight w:val="none"/>
              </w:rPr>
            </w:pPr>
            <w:r>
              <w:rPr>
                <w:rFonts w:hint="eastAsia"/>
                <w:color w:val="auto"/>
                <w:highlight w:val="none"/>
              </w:rPr>
              <w:t>章“投标人须知”第 5.2.4 项所规定情况的投标人。</w:t>
            </w:r>
          </w:p>
          <w:p>
            <w:pPr>
              <w:spacing w:line="240" w:lineRule="atLeast"/>
              <w:ind w:left="103" w:right="105" w:rightChars="50"/>
              <w:jc w:val="left"/>
              <w:rPr>
                <w:color w:val="auto"/>
                <w:highlight w:val="none"/>
              </w:rPr>
            </w:pPr>
            <w:r>
              <w:rPr>
                <w:rFonts w:hint="eastAsia"/>
                <w:color w:val="auto"/>
                <w:highlight w:val="none"/>
              </w:rPr>
              <w:t>4、信用等级调整基数 a＝（开标现场评标价得分排名第 1 的投标人的评 标价得分-开标现场评标价得分排名第 n 的投标人的评标价得分）/（n－</w:t>
            </w:r>
          </w:p>
          <w:p>
            <w:pPr>
              <w:spacing w:line="240" w:lineRule="atLeast"/>
              <w:ind w:left="103" w:right="105" w:rightChars="50"/>
              <w:jc w:val="left"/>
              <w:rPr>
                <w:color w:val="auto"/>
                <w:highlight w:val="none"/>
              </w:rPr>
            </w:pPr>
            <w:r>
              <w:rPr>
                <w:rFonts w:hint="eastAsia"/>
                <w:color w:val="auto"/>
                <w:highlight w:val="none"/>
              </w:rPr>
              <w:t>1），a 值保留小数点后两位，小数点后第三位“四舍五入”。a 值在开标时计算确定，一经确定，在整个评标期间保持不变。</w:t>
            </w:r>
          </w:p>
          <w:p>
            <w:pPr>
              <w:spacing w:line="240" w:lineRule="atLeast"/>
              <w:ind w:left="103" w:right="105" w:rightChars="50"/>
              <w:jc w:val="left"/>
              <w:rPr>
                <w:color w:val="auto"/>
                <w:highlight w:val="none"/>
              </w:rPr>
            </w:pPr>
            <w:r>
              <w:rPr>
                <w:rFonts w:hint="eastAsia"/>
                <w:color w:val="auto"/>
                <w:highlight w:val="none"/>
              </w:rPr>
              <w:t>5、信用得分 D 在整个评标期间保持不变，不随通过第二信封形式评审与 响应性评审和详细评审的投标人数量变化而变化。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jc w:val="center"/>
        </w:trPr>
        <w:tc>
          <w:tcPr>
            <w:tcW w:w="9756" w:type="dxa"/>
            <w:gridSpan w:val="3"/>
            <w:noWrap w:val="0"/>
            <w:vAlign w:val="center"/>
          </w:tcPr>
          <w:p>
            <w:pPr>
              <w:spacing w:line="240" w:lineRule="atLeast"/>
              <w:ind w:left="103" w:right="105" w:rightChars="50"/>
              <w:jc w:val="left"/>
              <w:rPr>
                <w:color w:val="auto"/>
                <w:highlight w:val="none"/>
              </w:rPr>
            </w:pPr>
            <w:r>
              <w:rPr>
                <w:rFonts w:hint="eastAsia"/>
                <w:color w:val="auto"/>
                <w:highlight w:val="none"/>
              </w:rPr>
              <w:t>需要补充的其他内容：无。</w:t>
            </w:r>
          </w:p>
        </w:tc>
      </w:tr>
    </w:tbl>
    <w:p>
      <w:pPr>
        <w:autoSpaceDE w:val="0"/>
        <w:autoSpaceDN w:val="0"/>
        <w:adjustRightInd w:val="0"/>
        <w:spacing w:line="270" w:lineRule="exact"/>
        <w:ind w:right="214"/>
        <w:jc w:val="right"/>
        <w:rPr>
          <w:rFonts w:ascii="宋体" w:hAnsi="宋体" w:cs="宋体"/>
          <w:b/>
          <w:color w:val="auto"/>
          <w:spacing w:val="7"/>
          <w:kern w:val="0"/>
          <w:position w:val="-2"/>
          <w:sz w:val="24"/>
          <w:szCs w:val="24"/>
          <w:highlight w:val="none"/>
        </w:rPr>
      </w:pPr>
    </w:p>
    <w:p>
      <w:pPr>
        <w:autoSpaceDE w:val="0"/>
        <w:autoSpaceDN w:val="0"/>
        <w:adjustRightInd w:val="0"/>
        <w:spacing w:line="270" w:lineRule="exact"/>
        <w:ind w:right="214"/>
        <w:jc w:val="left"/>
        <w:rPr>
          <w:rFonts w:ascii="宋体" w:hAnsi="宋体" w:cs="宋体"/>
          <w:b/>
          <w:color w:val="auto"/>
          <w:spacing w:val="7"/>
          <w:kern w:val="0"/>
          <w:position w:val="-2"/>
          <w:sz w:val="24"/>
          <w:szCs w:val="24"/>
          <w:highlight w:val="none"/>
        </w:rPr>
      </w:pPr>
    </w:p>
    <w:p>
      <w:pPr>
        <w:pStyle w:val="2"/>
        <w:rPr>
          <w:color w:val="auto"/>
          <w:highlight w:val="none"/>
        </w:rPr>
      </w:pPr>
    </w:p>
    <w:p>
      <w:pPr>
        <w:pStyle w:val="2"/>
        <w:rPr>
          <w:color w:val="auto"/>
          <w:highlight w:val="none"/>
        </w:rPr>
      </w:pPr>
    </w:p>
    <w:p>
      <w:pPr>
        <w:pStyle w:val="2"/>
        <w:rPr>
          <w:color w:val="auto"/>
          <w:highlight w:val="none"/>
        </w:rPr>
      </w:pPr>
    </w:p>
    <w:p>
      <w:pPr>
        <w:autoSpaceDE w:val="0"/>
        <w:autoSpaceDN w:val="0"/>
        <w:adjustRightInd w:val="0"/>
        <w:spacing w:line="270" w:lineRule="exact"/>
        <w:ind w:right="214"/>
        <w:jc w:val="right"/>
        <w:rPr>
          <w:rFonts w:ascii="宋体" w:hAnsi="宋体" w:cs="宋体"/>
          <w:b/>
          <w:color w:val="auto"/>
          <w:spacing w:val="7"/>
          <w:kern w:val="0"/>
          <w:position w:val="-2"/>
          <w:sz w:val="24"/>
          <w:szCs w:val="24"/>
          <w:highlight w:val="none"/>
        </w:rPr>
        <w:sectPr>
          <w:pgSz w:w="11906" w:h="16838"/>
          <w:pgMar w:top="1440" w:right="1080" w:bottom="1440" w:left="1080" w:header="1020" w:footer="1020" w:gutter="0"/>
          <w:cols w:space="720" w:num="1"/>
          <w:docGrid w:type="lines" w:linePitch="312" w:charSpace="0"/>
        </w:sectPr>
      </w:pPr>
    </w:p>
    <w:p>
      <w:pPr>
        <w:spacing w:line="440" w:lineRule="exact"/>
        <w:ind w:firstLine="482" w:firstLineChars="200"/>
        <w:jc w:val="left"/>
        <w:rPr>
          <w:rFonts w:ascii="宋体" w:hAnsi="宋体"/>
          <w:b/>
          <w:bCs/>
          <w:color w:val="auto"/>
          <w:sz w:val="24"/>
          <w:szCs w:val="24"/>
          <w:highlight w:val="none"/>
        </w:rPr>
      </w:pPr>
      <w:r>
        <w:rPr>
          <w:rFonts w:hint="eastAsia" w:ascii="宋体" w:hAnsi="宋体"/>
          <w:b/>
          <w:bCs/>
          <w:color w:val="auto"/>
          <w:sz w:val="24"/>
          <w:szCs w:val="24"/>
          <w:highlight w:val="none"/>
        </w:rPr>
        <w:t>1.</w:t>
      </w:r>
      <w:r>
        <w:rPr>
          <w:rFonts w:ascii="宋体" w:hAnsi="宋体"/>
          <w:b/>
          <w:bCs/>
          <w:color w:val="auto"/>
          <w:sz w:val="24"/>
          <w:szCs w:val="24"/>
          <w:highlight w:val="none"/>
        </w:rPr>
        <w:t>评标办法</w:t>
      </w:r>
    </w:p>
    <w:p>
      <w:pPr>
        <w:spacing w:line="440" w:lineRule="exact"/>
        <w:ind w:firstLine="480" w:firstLineChars="200"/>
        <w:jc w:val="left"/>
        <w:rPr>
          <w:rFonts w:ascii="宋体" w:hAnsi="宋体"/>
          <w:color w:val="auto"/>
          <w:sz w:val="24"/>
          <w:szCs w:val="24"/>
          <w:highlight w:val="none"/>
        </w:rPr>
      </w:pPr>
      <w:r>
        <w:rPr>
          <w:rFonts w:hint="eastAsia" w:ascii="宋体" w:hAnsi="宋体" w:cs="宋体"/>
          <w:color w:val="auto"/>
          <w:kern w:val="0"/>
          <w:sz w:val="24"/>
          <w:szCs w:val="24"/>
          <w:highlight w:val="none"/>
        </w:rPr>
        <w:t>本次评标采用合理低价法。评标委员会对满足招标文件实质性要求的投标文件，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spacing w:line="440" w:lineRule="exact"/>
        <w:ind w:firstLine="482" w:firstLineChars="200"/>
        <w:jc w:val="left"/>
        <w:rPr>
          <w:rFonts w:ascii="宋体" w:hAnsi="宋体"/>
          <w:b/>
          <w:bCs/>
          <w:color w:val="auto"/>
          <w:sz w:val="24"/>
          <w:szCs w:val="24"/>
          <w:highlight w:val="none"/>
        </w:rPr>
      </w:pPr>
      <w:r>
        <w:rPr>
          <w:rFonts w:ascii="宋体" w:hAnsi="宋体"/>
          <w:b/>
          <w:bCs/>
          <w:color w:val="auto"/>
          <w:sz w:val="24"/>
          <w:szCs w:val="24"/>
          <w:highlight w:val="none"/>
        </w:rPr>
        <w:t>2. 评审标准</w:t>
      </w:r>
    </w:p>
    <w:p>
      <w:pPr>
        <w:spacing w:line="440" w:lineRule="exact"/>
        <w:ind w:firstLine="482" w:firstLineChars="200"/>
        <w:jc w:val="left"/>
        <w:rPr>
          <w:rFonts w:ascii="宋体" w:hAnsi="宋体"/>
          <w:b/>
          <w:color w:val="auto"/>
          <w:sz w:val="24"/>
          <w:szCs w:val="24"/>
          <w:highlight w:val="none"/>
        </w:rPr>
      </w:pPr>
      <w:r>
        <w:rPr>
          <w:rFonts w:ascii="宋体" w:hAnsi="宋体"/>
          <w:b/>
          <w:color w:val="auto"/>
          <w:sz w:val="24"/>
          <w:szCs w:val="24"/>
          <w:highlight w:val="none"/>
        </w:rPr>
        <w:t>2.1 初步评审标准</w:t>
      </w:r>
    </w:p>
    <w:p>
      <w:pPr>
        <w:spacing w:line="44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2.1.1 形式评审标准：见评标办法前附表。</w:t>
      </w:r>
    </w:p>
    <w:p>
      <w:pPr>
        <w:spacing w:line="44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2.1.2 资格评审标准：见评标办法前附表。</w:t>
      </w:r>
    </w:p>
    <w:p>
      <w:pPr>
        <w:spacing w:line="44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2.1.3 响应性评审标准：见评标办法前附表。</w:t>
      </w:r>
    </w:p>
    <w:p>
      <w:pPr>
        <w:spacing w:line="440" w:lineRule="exact"/>
        <w:ind w:firstLine="482" w:firstLineChars="200"/>
        <w:jc w:val="left"/>
        <w:rPr>
          <w:rFonts w:ascii="宋体" w:hAnsi="宋体"/>
          <w:b/>
          <w:color w:val="auto"/>
          <w:sz w:val="24"/>
          <w:szCs w:val="24"/>
          <w:highlight w:val="none"/>
        </w:rPr>
      </w:pPr>
      <w:r>
        <w:rPr>
          <w:rFonts w:ascii="宋体" w:hAnsi="宋体"/>
          <w:b/>
          <w:color w:val="auto"/>
          <w:sz w:val="24"/>
          <w:szCs w:val="24"/>
          <w:highlight w:val="none"/>
        </w:rPr>
        <w:t>2.2  分值构成与评分标准</w:t>
      </w:r>
    </w:p>
    <w:p>
      <w:pPr>
        <w:spacing w:line="44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2.2.1 分值构成</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2.2.1 分值构成评标价：见评标办法前附表；</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2.2.2 评标基准价计算评标基准价计算方法：见评标办法前附表。</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2.2.3 评标价的偏差率计算评标价的偏差率计算公式：见评标办法前附表。</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2.2.4 评分标准评标价评分标准：见评标办法前附表；</w:t>
      </w:r>
    </w:p>
    <w:p>
      <w:pPr>
        <w:spacing w:line="440" w:lineRule="exact"/>
        <w:ind w:firstLine="482" w:firstLineChars="200"/>
        <w:jc w:val="left"/>
        <w:rPr>
          <w:rFonts w:ascii="宋体" w:hAnsi="宋体"/>
          <w:b/>
          <w:bCs/>
          <w:color w:val="auto"/>
          <w:sz w:val="24"/>
          <w:szCs w:val="24"/>
          <w:highlight w:val="none"/>
        </w:rPr>
      </w:pPr>
      <w:r>
        <w:rPr>
          <w:rFonts w:ascii="宋体" w:hAnsi="宋体"/>
          <w:b/>
          <w:bCs/>
          <w:color w:val="auto"/>
          <w:sz w:val="24"/>
          <w:szCs w:val="24"/>
          <w:highlight w:val="none"/>
        </w:rPr>
        <w:t>3. 评标程序</w:t>
      </w:r>
    </w:p>
    <w:p>
      <w:pPr>
        <w:spacing w:line="440" w:lineRule="exact"/>
        <w:ind w:firstLine="482" w:firstLineChars="200"/>
        <w:jc w:val="left"/>
        <w:rPr>
          <w:rFonts w:ascii="宋体" w:hAnsi="宋体"/>
          <w:b/>
          <w:color w:val="auto"/>
          <w:sz w:val="24"/>
          <w:szCs w:val="24"/>
          <w:highlight w:val="none"/>
        </w:rPr>
      </w:pPr>
      <w:bookmarkStart w:id="2" w:name="_Toc144974561"/>
      <w:bookmarkStart w:id="3" w:name="_Toc179632612"/>
      <w:bookmarkStart w:id="4" w:name="_Toc152042371"/>
      <w:bookmarkStart w:id="5" w:name="_Toc152045594"/>
      <w:r>
        <w:rPr>
          <w:rFonts w:ascii="宋体" w:hAnsi="宋体"/>
          <w:b/>
          <w:color w:val="auto"/>
          <w:sz w:val="24"/>
          <w:szCs w:val="24"/>
          <w:highlight w:val="none"/>
        </w:rPr>
        <w:t xml:space="preserve">3.1 </w:t>
      </w:r>
      <w:r>
        <w:rPr>
          <w:rFonts w:hint="eastAsia" w:ascii="宋体" w:hAnsi="宋体"/>
          <w:b/>
          <w:color w:val="auto"/>
          <w:sz w:val="24"/>
          <w:szCs w:val="24"/>
          <w:highlight w:val="none"/>
        </w:rPr>
        <w:t>第一信封</w:t>
      </w:r>
      <w:r>
        <w:rPr>
          <w:rFonts w:ascii="宋体" w:hAnsi="宋体"/>
          <w:b/>
          <w:color w:val="auto"/>
          <w:sz w:val="24"/>
          <w:szCs w:val="24"/>
          <w:highlight w:val="none"/>
        </w:rPr>
        <w:t>初步评审</w:t>
      </w:r>
      <w:bookmarkEnd w:id="2"/>
      <w:bookmarkEnd w:id="3"/>
      <w:bookmarkEnd w:id="4"/>
      <w:bookmarkEnd w:id="5"/>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3.1.1 评标委员会可以要求投标人提交第二章“投标人须知”第3.5.1项至第3.5.5项规定的有关证明和证件的原件，以便核验。评标委员会依据本章第2.1款规定的标准对投标文件第一个信封（商 务及技术文件）进行初步评审。有一项不符合评审标准的，评标委员会应否决其投标。</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3.1.2 通过第一个信封初步评审的投标人不足3个时，不再进行后续评审，所有投标人的第二个信封均不予开标，招标人将重新组织招标。</w:t>
      </w:r>
    </w:p>
    <w:p>
      <w:pPr>
        <w:spacing w:line="440" w:lineRule="exact"/>
        <w:ind w:firstLine="482" w:firstLineChars="200"/>
        <w:jc w:val="left"/>
        <w:rPr>
          <w:rFonts w:ascii="宋体" w:hAnsi="宋体"/>
          <w:b/>
          <w:color w:val="auto"/>
          <w:sz w:val="24"/>
          <w:szCs w:val="24"/>
          <w:highlight w:val="none"/>
        </w:rPr>
      </w:pPr>
      <w:r>
        <w:rPr>
          <w:rFonts w:hint="eastAsia" w:ascii="宋体" w:hAnsi="宋体"/>
          <w:b/>
          <w:color w:val="auto"/>
          <w:sz w:val="24"/>
          <w:szCs w:val="24"/>
          <w:highlight w:val="none"/>
        </w:rPr>
        <w:t>3.2第二个信封开标</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第一个信封（商务及技术文件）评审结束后，招标人将按照第二章“投标人须知”第5.1款规定的时间和地点对通过投标文件第一个信封（商务及技术文件）评审的投标文件第二个信封（报价文件）进行开标。</w:t>
      </w:r>
    </w:p>
    <w:p>
      <w:pPr>
        <w:spacing w:line="440" w:lineRule="exact"/>
        <w:ind w:firstLine="482" w:firstLineChars="200"/>
        <w:jc w:val="left"/>
        <w:rPr>
          <w:rFonts w:ascii="宋体" w:hAnsi="宋体"/>
          <w:b/>
          <w:color w:val="auto"/>
          <w:sz w:val="24"/>
          <w:szCs w:val="24"/>
          <w:highlight w:val="none"/>
        </w:rPr>
      </w:pPr>
      <w:r>
        <w:rPr>
          <w:rFonts w:ascii="宋体" w:hAnsi="宋体"/>
          <w:b/>
          <w:color w:val="auto"/>
          <w:sz w:val="24"/>
          <w:szCs w:val="24"/>
          <w:highlight w:val="none"/>
        </w:rPr>
        <w:t>3.3</w:t>
      </w:r>
      <w:r>
        <w:rPr>
          <w:rFonts w:hint="eastAsia" w:ascii="宋体" w:hAnsi="宋体"/>
          <w:b/>
          <w:color w:val="auto"/>
          <w:sz w:val="24"/>
          <w:szCs w:val="24"/>
          <w:highlight w:val="none"/>
        </w:rPr>
        <w:t>第二个信封初步评审</w:t>
      </w:r>
    </w:p>
    <w:p>
      <w:pPr>
        <w:pStyle w:val="2"/>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3.3.1 评标委员会依据本章第 2.1.1 项、第 2.1.3 项规定的评审标准对投标文件第二个信封（报价文件）进行初步评审。有一项不符合评审标准的，评标委员会应否决其投标。</w:t>
      </w:r>
    </w:p>
    <w:p>
      <w:pPr>
        <w:pStyle w:val="2"/>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3.3.2 投标报价有算术错误的，评标委员会按以下原则对投标报价进行修正，修正的价格经投标人书面确认后具有约束力。投标人不接受修正价格的，评标委员会应否决其投标。</w:t>
      </w:r>
    </w:p>
    <w:p>
      <w:pPr>
        <w:pStyle w:val="2"/>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（1）投标文件中的大写金额与小写金额不一致的，以大写金额为准；</w:t>
      </w:r>
    </w:p>
    <w:p>
      <w:pPr>
        <w:pStyle w:val="2"/>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（2）总价金额与依据单价计算出的结果不一致的，以单价金额为准修正总价，但单价金额小数 点有明显错误的除外；</w:t>
      </w:r>
    </w:p>
    <w:p>
      <w:pPr>
        <w:pStyle w:val="2"/>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（3）当单价与数量相乘不等于合价时，以单价计算为准，如果单价有明显的小数点位置差错， 应以标出的合价为准，同时对单价予以修正；</w:t>
      </w:r>
    </w:p>
    <w:p>
      <w:pPr>
        <w:pStyle w:val="2"/>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（4）当各子目的合价累计不等于总价时，应以各子目合价累计数为准，修正总价。</w:t>
      </w:r>
    </w:p>
    <w:p>
      <w:pPr>
        <w:pStyle w:val="2"/>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3.3.3 修正后的最终投标报价若超过最高投标限价（如有），评标委员会应否决其投标。</w:t>
      </w:r>
    </w:p>
    <w:p>
      <w:pPr>
        <w:pStyle w:val="2"/>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3.3.4 修正后的最终投标报价仅作为签订合同的一个依据，不参与评标价得分的计算。</w:t>
      </w:r>
    </w:p>
    <w:p>
      <w:pPr>
        <w:pStyle w:val="2"/>
        <w:spacing w:line="440" w:lineRule="exact"/>
        <w:ind w:firstLine="482" w:firstLineChars="200"/>
        <w:rPr>
          <w:rFonts w:ascii="宋体" w:hAnsi="宋体" w:eastAsia="宋体" w:cs="宋体"/>
          <w:b/>
          <w:color w:val="auto"/>
          <w:sz w:val="24"/>
          <w:highlight w:val="none"/>
        </w:rPr>
      </w:pPr>
      <w:r>
        <w:rPr>
          <w:rFonts w:hint="eastAsia" w:ascii="宋体" w:hAnsi="宋体" w:eastAsia="宋体" w:cs="宋体"/>
          <w:b/>
          <w:color w:val="auto"/>
          <w:sz w:val="24"/>
          <w:highlight w:val="none"/>
        </w:rPr>
        <w:t>3.4 第二个信封详细评审</w:t>
      </w:r>
    </w:p>
    <w:p>
      <w:pPr>
        <w:spacing w:line="4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3.4.1 评标委员会按本章第 2.2.</w:t>
      </w:r>
      <w:bookmarkStart w:id="11" w:name="_GoBack"/>
      <w:bookmarkEnd w:id="11"/>
      <w:r>
        <w:rPr>
          <w:rFonts w:hint="eastAsia" w:ascii="宋体" w:hAnsi="宋体" w:cs="宋体"/>
          <w:color w:val="auto"/>
          <w:sz w:val="24"/>
          <w:szCs w:val="24"/>
          <w:highlight w:val="none"/>
        </w:rPr>
        <w:t>4 项目规定的评审因素和分值进行打分，并计算出投标人的综合得分。</w:t>
      </w:r>
    </w:p>
    <w:p>
      <w:pPr>
        <w:spacing w:line="4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a.按本章第 2.2.4（1）目规定的评审因素和分值对评标价计算出得分A；</w:t>
      </w:r>
    </w:p>
    <w:p>
      <w:pPr>
        <w:spacing w:line="4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b.按本章第 2.2.4（2）目规定的评审因素和分值对信用得分计算出得分 B。</w:t>
      </w:r>
    </w:p>
    <w:p>
      <w:pPr>
        <w:spacing w:line="4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c.投标人综合得分=A+B</w:t>
      </w:r>
    </w:p>
    <w:p>
      <w:pPr>
        <w:spacing w:line="440" w:lineRule="exact"/>
        <w:ind w:firstLine="480" w:firstLineChars="200"/>
        <w:jc w:val="left"/>
        <w:rPr>
          <w:rFonts w:ascii="宋体" w:hAnsi="宋体"/>
          <w:color w:val="auto"/>
          <w:sz w:val="24"/>
          <w:szCs w:val="24"/>
          <w:highlight w:val="none"/>
        </w:rPr>
      </w:pPr>
      <w:r>
        <w:rPr>
          <w:rFonts w:hint="eastAsia" w:ascii="宋体" w:hAnsi="宋体" w:cs="宋体"/>
          <w:color w:val="auto"/>
          <w:sz w:val="24"/>
          <w:szCs w:val="24"/>
          <w:highlight w:val="none"/>
        </w:rPr>
        <w:t>3.4.2 评标委员会发现投标人的报价明显低于其他投标报价，使得其投标报价可能低于其个别成本的，应要求该投标人作出书面说明并提供相应的证明材料。投标人不能合理说明或不能提供相应证明 材料的，评标委员会应认定该投标人以低于成本报价竞标，并否决其投标。</w:t>
      </w:r>
    </w:p>
    <w:p>
      <w:pPr>
        <w:spacing w:line="440" w:lineRule="exact"/>
        <w:ind w:firstLine="482" w:firstLineChars="200"/>
        <w:jc w:val="left"/>
        <w:rPr>
          <w:rFonts w:ascii="宋体" w:hAnsi="宋体"/>
          <w:b/>
          <w:color w:val="auto"/>
          <w:sz w:val="24"/>
          <w:szCs w:val="24"/>
          <w:highlight w:val="none"/>
        </w:rPr>
      </w:pPr>
      <w:bookmarkStart w:id="6" w:name="_Toc234382659"/>
      <w:r>
        <w:rPr>
          <w:rFonts w:ascii="宋体" w:hAnsi="宋体"/>
          <w:b/>
          <w:color w:val="auto"/>
          <w:sz w:val="24"/>
          <w:szCs w:val="24"/>
          <w:highlight w:val="none"/>
        </w:rPr>
        <w:t>3.</w:t>
      </w:r>
      <w:r>
        <w:rPr>
          <w:rFonts w:hint="eastAsia" w:ascii="宋体" w:hAnsi="宋体"/>
          <w:b/>
          <w:color w:val="auto"/>
          <w:sz w:val="24"/>
          <w:szCs w:val="24"/>
          <w:highlight w:val="none"/>
        </w:rPr>
        <w:t>5</w:t>
      </w:r>
      <w:bookmarkEnd w:id="6"/>
      <w:r>
        <w:rPr>
          <w:rFonts w:hint="eastAsia" w:ascii="宋体" w:hAnsi="宋体"/>
          <w:b/>
          <w:color w:val="auto"/>
          <w:sz w:val="24"/>
          <w:szCs w:val="24"/>
          <w:highlight w:val="none"/>
        </w:rPr>
        <w:t>投标文件相关信息的核查</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3.5.1 在评标过程中，评标委员会应对投标人的资质、业绩、主要人员资历和目前在岗情况、信用等级等信息进行核实。若投标文件载明的信息使得投标人的资格条件不符合招标文件规定的，评标委员会应否决其投标。</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3.5.2 评标委员会应对在评标过程中发现的投标人与投标人之间、投标人与招标人之间存在的串 通投标的情形进行评审和认定。投标人存在串通投标、弄虚作假、行贿等违法行为的，评标委员会应 否决其投标。</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（1）有下列情形之一的，属于投标人相互串通投标：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a.投标人之间协商投标报价等投标文件的实质性内容；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b.投标人之间约定中标人；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c.投标人之间约定部分投标人放弃投标或中标；</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d.属于同一集团、协会、商会等组织成员的投标人按照该组织要求协同投标；</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e.投标人之间为谋取中标或排斥特定投标人而采取的其他联合行动。</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（2）有下列情形之一的，视为投标人相互串通投标：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a.不同投标人的投标文件由同一单位或个人编制；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b.不同投标人委托同一单位或个人办理投标事宜；</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c.不同投标人的投标文件载明的项目管理成员为同一人；</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d.不同投标人的投标文件异常一致或投标报价呈规律性差异；</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e.不同投标人的投标文件相互混装；</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f.不同投标人的投标保证金从同一单位或个人的账户转出。</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（3）有下列情形之一的，属于招标人与投标人串通投标：</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 a.招标人在开标前开启投标文件并将有关信息泄露给其他投标人;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b.招标人直接或间接向投标人泄露标底、评标委员会成员等信息；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c.招标人明示或暗示投标人压低或抬高投标报价；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d.招标人授意投标人撤换、修改投标文件；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e.招标人明示或暗示投标人为特定投标人中标提供方便；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f.招标人与投标人为谋求特定投标人中标而采取的其他串通行为。</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（4）投标人有下列情形之一的，属于弄虚作假的行为：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a.使用通过受让或租借等方式获取的资格、资质证书投标；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b.使用伪造、变造的许可证件；</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c.提供虚假的业绩；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d.提供虚假的项目负责人或主要技术人员简历、劳动关系证明；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e.提供虚假的信用状况；</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f.其他弄虚作假的行为。</w:t>
      </w:r>
    </w:p>
    <w:p>
      <w:pPr>
        <w:spacing w:line="440" w:lineRule="exact"/>
        <w:ind w:firstLine="482" w:firstLineChars="200"/>
        <w:jc w:val="left"/>
        <w:rPr>
          <w:rFonts w:ascii="宋体" w:hAnsi="宋体"/>
          <w:b/>
          <w:color w:val="auto"/>
          <w:sz w:val="24"/>
          <w:szCs w:val="24"/>
          <w:highlight w:val="none"/>
        </w:rPr>
      </w:pPr>
      <w:bookmarkStart w:id="7" w:name="_Toc144974563"/>
      <w:bookmarkStart w:id="8" w:name="_Toc152045596"/>
      <w:bookmarkStart w:id="9" w:name="_Toc152042373"/>
      <w:bookmarkStart w:id="10" w:name="_Toc179632614"/>
      <w:r>
        <w:rPr>
          <w:rFonts w:ascii="宋体" w:hAnsi="宋体"/>
          <w:b/>
          <w:color w:val="auto"/>
          <w:sz w:val="24"/>
          <w:szCs w:val="24"/>
          <w:highlight w:val="none"/>
        </w:rPr>
        <w:t>3.</w:t>
      </w:r>
      <w:r>
        <w:rPr>
          <w:rFonts w:hint="eastAsia" w:ascii="宋体" w:hAnsi="宋体"/>
          <w:b/>
          <w:color w:val="auto"/>
          <w:sz w:val="24"/>
          <w:szCs w:val="24"/>
          <w:highlight w:val="none"/>
        </w:rPr>
        <w:t>6</w:t>
      </w:r>
      <w:r>
        <w:rPr>
          <w:rFonts w:ascii="宋体" w:hAnsi="宋体"/>
          <w:b/>
          <w:color w:val="auto"/>
          <w:sz w:val="24"/>
          <w:szCs w:val="24"/>
          <w:highlight w:val="none"/>
        </w:rPr>
        <w:t>投标文件的澄清</w:t>
      </w:r>
      <w:bookmarkEnd w:id="7"/>
      <w:r>
        <w:rPr>
          <w:rFonts w:ascii="宋体" w:hAnsi="宋体"/>
          <w:b/>
          <w:color w:val="auto"/>
          <w:sz w:val="24"/>
          <w:szCs w:val="24"/>
          <w:highlight w:val="none"/>
        </w:rPr>
        <w:t>和</w:t>
      </w:r>
      <w:bookmarkEnd w:id="8"/>
      <w:bookmarkEnd w:id="9"/>
      <w:bookmarkEnd w:id="10"/>
      <w:r>
        <w:rPr>
          <w:rFonts w:hint="eastAsia" w:ascii="宋体" w:hAnsi="宋体"/>
          <w:b/>
          <w:color w:val="auto"/>
          <w:sz w:val="24"/>
          <w:szCs w:val="24"/>
          <w:highlight w:val="none"/>
        </w:rPr>
        <w:t>说明</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3.6.1 在评标过程中，评标委员会可以书面形式要求投标人对投标文件中含义不明确的内容、明 显文字或计算错误进行书面澄清或说明。评标委员会不接受投标人主动提出的澄清、说明。投标人不 按评标委员会要求澄清或说明的，评标委员会应否决其投标。</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3.6.2 澄清和说明不得超出投标文件的范围或改变投标文件的实质性内容（算术性错误的修正除 外）。投标人的书面澄清、说明属于投标文件的组成部分。</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3.6.3 评标委员会不得暗示或诱导投标人作出澄清、说明，对投标人提交的澄清、说明有疑问的， 可以要求投标人进一步澄清或说明，直至满足评标委员会的要求。</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3.6.4 凡超出招标文件规定的或给委托人带来未曾要求的利益的变化、偏差或其他因素在评标时 不予考虑。</w:t>
      </w:r>
    </w:p>
    <w:p>
      <w:pPr>
        <w:spacing w:line="440" w:lineRule="exact"/>
        <w:ind w:firstLine="482" w:firstLineChars="200"/>
        <w:jc w:val="left"/>
        <w:rPr>
          <w:rFonts w:ascii="宋体" w:hAnsi="宋体"/>
          <w:b/>
          <w:color w:val="auto"/>
          <w:sz w:val="24"/>
          <w:szCs w:val="24"/>
          <w:highlight w:val="none"/>
        </w:rPr>
      </w:pPr>
      <w:r>
        <w:rPr>
          <w:rFonts w:hint="eastAsia" w:ascii="宋体" w:hAnsi="宋体"/>
          <w:b/>
          <w:color w:val="auto"/>
          <w:sz w:val="24"/>
          <w:szCs w:val="24"/>
          <w:highlight w:val="none"/>
        </w:rPr>
        <w:t>3.7不得否决投标的情形</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投标文件存在第二章“投标人须知”第1.12.3项所列情形的，均视为细微偏差，</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评标委员会不得否决投标人的投标，应按照第二章“投标人须知”第1.12.4项规定的原则处理。</w:t>
      </w:r>
    </w:p>
    <w:p>
      <w:pPr>
        <w:spacing w:line="440" w:lineRule="exact"/>
        <w:ind w:firstLine="482" w:firstLineChars="200"/>
        <w:jc w:val="left"/>
        <w:rPr>
          <w:rFonts w:ascii="宋体" w:hAnsi="宋体"/>
          <w:b/>
          <w:color w:val="auto"/>
          <w:sz w:val="24"/>
          <w:szCs w:val="24"/>
          <w:highlight w:val="none"/>
        </w:rPr>
      </w:pPr>
      <w:r>
        <w:rPr>
          <w:rFonts w:ascii="宋体" w:hAnsi="宋体"/>
          <w:b/>
          <w:color w:val="auto"/>
          <w:sz w:val="24"/>
          <w:szCs w:val="24"/>
          <w:highlight w:val="none"/>
        </w:rPr>
        <w:t>3.</w:t>
      </w:r>
      <w:r>
        <w:rPr>
          <w:rFonts w:hint="eastAsia" w:ascii="宋体" w:hAnsi="宋体"/>
          <w:b/>
          <w:color w:val="auto"/>
          <w:sz w:val="24"/>
          <w:szCs w:val="24"/>
          <w:highlight w:val="none"/>
        </w:rPr>
        <w:t xml:space="preserve">8 </w:t>
      </w:r>
      <w:r>
        <w:rPr>
          <w:rFonts w:ascii="宋体" w:hAnsi="宋体"/>
          <w:b/>
          <w:color w:val="auto"/>
          <w:sz w:val="24"/>
          <w:szCs w:val="24"/>
          <w:highlight w:val="none"/>
        </w:rPr>
        <w:t>评标结果</w:t>
      </w:r>
    </w:p>
    <w:p>
      <w:pPr>
        <w:spacing w:line="44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8</w:t>
      </w:r>
      <w:r>
        <w:rPr>
          <w:rFonts w:ascii="宋体" w:hAnsi="宋体"/>
          <w:color w:val="auto"/>
          <w:sz w:val="24"/>
          <w:szCs w:val="24"/>
          <w:highlight w:val="none"/>
        </w:rPr>
        <w:t>.1除第二章“投标人须知”前附表授权直接确定中标人外，评标委员会按照得分由高到低的顺序推荐中标候选人。</w:t>
      </w:r>
    </w:p>
    <w:p>
      <w:pPr>
        <w:adjustRightInd w:val="0"/>
        <w:snapToGrid w:val="0"/>
        <w:spacing w:line="360" w:lineRule="auto"/>
        <w:ind w:firstLine="480" w:firstLineChars="200"/>
        <w:rPr>
          <w:rFonts w:hint="default" w:ascii="Times New Roman" w:hAnsi="Times New Roman" w:cs="Times New Roman" w:eastAsiaTheme="majorEastAsia"/>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8</w:t>
      </w:r>
      <w:r>
        <w:rPr>
          <w:rFonts w:ascii="宋体" w:hAnsi="宋体"/>
          <w:color w:val="auto"/>
          <w:sz w:val="24"/>
          <w:szCs w:val="24"/>
          <w:highlight w:val="none"/>
        </w:rPr>
        <w:t>.2 评标委员会完成评标后，应当向招标人提交书面评标报告。</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left"/>
        <w:textAlignment w:val="auto"/>
        <w:outlineLvl w:val="9"/>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四、其他需要公开的内容</w:t>
      </w:r>
    </w:p>
    <w:p>
      <w:pPr>
        <w:widowControl w:val="0"/>
        <w:numPr>
          <w:ilvl w:val="0"/>
          <w:numId w:val="0"/>
        </w:numPr>
        <w:spacing w:line="440" w:lineRule="exact"/>
        <w:ind w:firstLine="1205" w:firstLineChars="500"/>
        <w:jc w:val="both"/>
        <w:rPr>
          <w:rFonts w:hint="default" w:ascii="Times New Roman" w:hAnsi="Times New Roman" w:cs="Times New Roman"/>
          <w:sz w:val="24"/>
          <w:szCs w:val="24"/>
        </w:rPr>
      </w:pPr>
      <w:r>
        <w:rPr>
          <w:rFonts w:hint="default" w:ascii="Times New Roman" w:hAnsi="Times New Roman" w:cs="Times New Roman"/>
          <w:b/>
          <w:bCs/>
          <w:color w:val="auto"/>
          <w:sz w:val="24"/>
          <w:szCs w:val="24"/>
          <w:highlight w:val="none"/>
          <w:lang w:val="en-US" w:eastAsia="zh-CN"/>
        </w:rPr>
        <w:t>无</w:t>
      </w:r>
    </w:p>
    <w:sectPr>
      <w:footerReference r:id="rId3" w:type="default"/>
      <w:pgSz w:w="11906" w:h="16838"/>
      <w:pgMar w:top="1440" w:right="1417"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dobe 仿宋 Std R">
    <w:altName w:val="仿宋"/>
    <w:panose1 w:val="02020400000000000000"/>
    <w:charset w:val="28"/>
    <w:family w:val="roman"/>
    <w:pitch w:val="default"/>
    <w:sig w:usb0="00000000" w:usb1="00000000" w:usb2="00000016" w:usb3="00000000" w:csb0="00060007"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28"/>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17"/>
        <w:szCs w:val="17"/>
      </w:rPr>
    </w:pPr>
    <w:r>
      <w:rPr>
        <w:bCs/>
        <w:sz w:val="17"/>
        <w:szCs w:val="17"/>
      </w:rPr>
      <w:fldChar w:fldCharType="begin"/>
    </w:r>
    <w:r>
      <w:rPr>
        <w:bCs/>
        <w:sz w:val="17"/>
        <w:szCs w:val="17"/>
      </w:rPr>
      <w:instrText xml:space="preserve">PAGE</w:instrText>
    </w:r>
    <w:r>
      <w:rPr>
        <w:bCs/>
        <w:sz w:val="17"/>
        <w:szCs w:val="17"/>
      </w:rPr>
      <w:fldChar w:fldCharType="separate"/>
    </w:r>
    <w:r>
      <w:rPr>
        <w:bCs/>
        <w:sz w:val="17"/>
        <w:szCs w:val="17"/>
      </w:rPr>
      <w:t>91</w:t>
    </w:r>
    <w:r>
      <w:rPr>
        <w:bCs/>
        <w:sz w:val="17"/>
        <w:szCs w:val="17"/>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55DC6"/>
    <w:rsid w:val="01B92E1D"/>
    <w:rsid w:val="09B551F9"/>
    <w:rsid w:val="0B587E6F"/>
    <w:rsid w:val="0FF21B72"/>
    <w:rsid w:val="171C218B"/>
    <w:rsid w:val="18095B95"/>
    <w:rsid w:val="20B03E8E"/>
    <w:rsid w:val="24702E12"/>
    <w:rsid w:val="29AC4BAE"/>
    <w:rsid w:val="2B7C0ED6"/>
    <w:rsid w:val="2E050EB0"/>
    <w:rsid w:val="2E2D418B"/>
    <w:rsid w:val="2E6165FD"/>
    <w:rsid w:val="2FFA2478"/>
    <w:rsid w:val="305C7EEC"/>
    <w:rsid w:val="31B95F4C"/>
    <w:rsid w:val="396E1CF6"/>
    <w:rsid w:val="39BE388D"/>
    <w:rsid w:val="3D923777"/>
    <w:rsid w:val="3E143EF6"/>
    <w:rsid w:val="3E9A6831"/>
    <w:rsid w:val="40926817"/>
    <w:rsid w:val="40A52815"/>
    <w:rsid w:val="40E95C0F"/>
    <w:rsid w:val="429965A4"/>
    <w:rsid w:val="439371E5"/>
    <w:rsid w:val="44455C55"/>
    <w:rsid w:val="469351C0"/>
    <w:rsid w:val="477B2C86"/>
    <w:rsid w:val="4C651C11"/>
    <w:rsid w:val="4E7C29B7"/>
    <w:rsid w:val="531C501A"/>
    <w:rsid w:val="59123353"/>
    <w:rsid w:val="5C0A59E0"/>
    <w:rsid w:val="5CAB158E"/>
    <w:rsid w:val="5E2F57FB"/>
    <w:rsid w:val="62A51807"/>
    <w:rsid w:val="63E76B41"/>
    <w:rsid w:val="63E81479"/>
    <w:rsid w:val="65AC4128"/>
    <w:rsid w:val="65BB5EB6"/>
    <w:rsid w:val="66055335"/>
    <w:rsid w:val="67F17DEC"/>
    <w:rsid w:val="6AA8525F"/>
    <w:rsid w:val="6B9E1445"/>
    <w:rsid w:val="6BF56F8C"/>
    <w:rsid w:val="6C8A7DFE"/>
    <w:rsid w:val="6D535020"/>
    <w:rsid w:val="6D947924"/>
    <w:rsid w:val="6D97502C"/>
    <w:rsid w:val="6D9F315A"/>
    <w:rsid w:val="72322CE0"/>
    <w:rsid w:val="77B21384"/>
    <w:rsid w:val="79163302"/>
    <w:rsid w:val="7C76114C"/>
    <w:rsid w:val="7CA55DC6"/>
    <w:rsid w:val="7E2F3A34"/>
    <w:rsid w:val="7F8B446A"/>
    <w:rsid w:val="7FFC6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keepNext/>
      <w:keepLines/>
      <w:spacing w:beforeLines="50" w:afterLines="50"/>
      <w:jc w:val="center"/>
      <w:outlineLvl w:val="0"/>
    </w:pPr>
    <w:rPr>
      <w:rFonts w:eastAsia="黑体"/>
      <w:b/>
      <w:bCs/>
      <w:kern w:val="44"/>
      <w:sz w:val="36"/>
      <w:szCs w:val="44"/>
      <w:lang w:val="zh-CN"/>
    </w:rPr>
  </w:style>
  <w:style w:type="paragraph" w:styleId="4">
    <w:name w:val="heading 3"/>
    <w:basedOn w:val="1"/>
    <w:next w:val="1"/>
    <w:qFormat/>
    <w:uiPriority w:val="99"/>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46"/>
    </w:pPr>
    <w:rPr>
      <w:rFonts w:ascii="宋体" w:hAnsi="宋体" w:eastAsia="宋体"/>
      <w:sz w:val="23"/>
      <w:szCs w:val="23"/>
    </w:rPr>
  </w:style>
  <w:style w:type="paragraph" w:styleId="5">
    <w:name w:val="footer"/>
    <w:basedOn w:val="1"/>
    <w:qFormat/>
    <w:uiPriority w:val="99"/>
    <w:pPr>
      <w:tabs>
        <w:tab w:val="center" w:pos="4153"/>
        <w:tab w:val="right" w:pos="8306"/>
      </w:tabs>
      <w:snapToGrid w:val="0"/>
      <w:jc w:val="left"/>
    </w:pPr>
    <w:rPr>
      <w:sz w:val="18"/>
      <w:szCs w:val="18"/>
      <w:lang w:val="zh-CN"/>
    </w:rPr>
  </w:style>
  <w:style w:type="paragraph" w:styleId="6">
    <w:name w:val="footnote text"/>
    <w:basedOn w:val="1"/>
    <w:qFormat/>
    <w:uiPriority w:val="0"/>
    <w:pPr>
      <w:adjustRightInd w:val="0"/>
      <w:snapToGrid w:val="0"/>
      <w:spacing w:line="420" w:lineRule="atLeast"/>
      <w:ind w:firstLine="454"/>
      <w:jc w:val="left"/>
      <w:textAlignment w:val="baseline"/>
    </w:pPr>
    <w:rPr>
      <w:kern w:val="0"/>
      <w:sz w:val="18"/>
      <w:szCs w:val="20"/>
      <w:lang w:val="zh-CN"/>
    </w:rPr>
  </w:style>
  <w:style w:type="paragraph" w:styleId="7">
    <w:name w:val="Normal (Web)"/>
    <w:basedOn w:val="1"/>
    <w:qFormat/>
    <w:uiPriority w:val="0"/>
    <w:pPr>
      <w:widowControl/>
      <w:spacing w:before="100" w:beforeLines="0" w:beforeAutospacing="1" w:after="100" w:afterLines="0" w:afterAutospacing="1" w:line="432" w:lineRule="auto"/>
      <w:jc w:val="left"/>
    </w:pPr>
    <w:rPr>
      <w:rFonts w:ascii="宋体" w:hAnsi="宋体"/>
      <w:kern w:val="0"/>
      <w:szCs w:val="21"/>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otnote reference"/>
    <w:qFormat/>
    <w:uiPriority w:val="0"/>
    <w:rPr>
      <w:vertAlign w:val="superscript"/>
    </w:rPr>
  </w:style>
  <w:style w:type="paragraph" w:customStyle="1" w:styleId="12">
    <w:name w:val="Table Paragraph"/>
    <w:basedOn w:val="1"/>
    <w:qFormat/>
    <w:uiPriority w:val="1"/>
  </w:style>
  <w:style w:type="paragraph" w:customStyle="1" w:styleId="13">
    <w:name w:val="p0"/>
    <w:basedOn w:val="1"/>
    <w:qFormat/>
    <w:uiPriority w:val="0"/>
    <w:pPr>
      <w:widowControl/>
    </w:pPr>
    <w:rPr>
      <w:kern w:val="0"/>
      <w:szCs w:val="21"/>
    </w:rPr>
  </w:style>
  <w:style w:type="paragraph" w:customStyle="1" w:styleId="14">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6">
    <w:name w:val="font161"/>
    <w:qFormat/>
    <w:uiPriority w:val="9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2018-06-08T05:26:00Z</dcterms:created>
  <dc:creator>Regina</dc:creator>
  <cp:lastModifiedBy>lenovo</cp:lastModifiedBy>
  <dcterms:modified xsi:type="dcterms:W3CDTF">2022-10-28T00:40:37Z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197A66D5378D4E278ED57F96D79E6298</vt:lpwstr>
  </property>
</Properties>
</file>