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简体" w:cs="Times New Roman"/>
          <w:b/>
          <w:bCs/>
          <w:sz w:val="30"/>
          <w:szCs w:val="30"/>
          <w:lang w:eastAsia="zh-CN"/>
        </w:rPr>
      </w:pPr>
      <w:r>
        <w:rPr>
          <w:rFonts w:hint="eastAsia" w:ascii="Times New Roman" w:hAnsi="Times New Roman" w:eastAsia="方正小标宋简体" w:cs="Times New Roman"/>
          <w:b/>
          <w:bCs/>
          <w:sz w:val="30"/>
          <w:szCs w:val="30"/>
          <w:lang w:eastAsia="zh-CN"/>
        </w:rPr>
        <w:t>呼北国家高速公路山西省隰县至吉县段</w:t>
      </w:r>
    </w:p>
    <w:p>
      <w:pPr>
        <w:jc w:val="center"/>
        <w:rPr>
          <w:rFonts w:ascii="Times New Roman" w:hAnsi="Times New Roman" w:eastAsia="方正小标宋简体" w:cs="Times New Roman"/>
          <w:b/>
          <w:bCs/>
          <w:sz w:val="30"/>
          <w:szCs w:val="30"/>
        </w:rPr>
      </w:pPr>
      <w:r>
        <w:rPr>
          <w:rFonts w:hint="eastAsia" w:ascii="Times New Roman" w:hAnsi="Times New Roman" w:eastAsia="方正小标宋简体" w:cs="Times New Roman"/>
          <w:b/>
          <w:bCs/>
          <w:sz w:val="30"/>
          <w:szCs w:val="30"/>
          <w:lang w:eastAsia="zh-CN"/>
        </w:rPr>
        <w:t>路面、桥隧、交安、机电等工程交工验收检测服务</w:t>
      </w:r>
      <w:r>
        <w:rPr>
          <w:rFonts w:ascii="Times New Roman" w:hAnsi="Times New Roman" w:eastAsia="方正小标宋简体" w:cs="Times New Roman"/>
          <w:b/>
          <w:bCs/>
          <w:sz w:val="30"/>
          <w:szCs w:val="30"/>
        </w:rPr>
        <w:t>招标关键内容公开</w:t>
      </w:r>
    </w:p>
    <w:p>
      <w:pPr>
        <w:pStyle w:val="2"/>
      </w:pPr>
    </w:p>
    <w:p>
      <w:pPr>
        <w:keepNext w:val="0"/>
        <w:keepLines w:val="0"/>
        <w:pageBreakBefore w:val="0"/>
        <w:widowControl w:val="0"/>
        <w:wordWrap/>
        <w:topLinePunct w:val="0"/>
        <w:bidi w:val="0"/>
        <w:spacing w:line="360" w:lineRule="auto"/>
        <w:jc w:val="left"/>
        <w:rPr>
          <w:rFonts w:ascii="Times New Roman" w:hAnsi="Times New Roman" w:eastAsia="宋体" w:cs="Times New Roman"/>
          <w:b/>
          <w:bCs/>
          <w:kern w:val="21"/>
          <w:sz w:val="24"/>
        </w:rPr>
      </w:pPr>
      <w:r>
        <w:rPr>
          <w:rFonts w:ascii="Times New Roman" w:hAnsi="Times New Roman" w:eastAsia="宋体" w:cs="Times New Roman"/>
          <w:b/>
          <w:bCs/>
          <w:kern w:val="21"/>
          <w:sz w:val="24"/>
        </w:rPr>
        <w:t>一、项目概况与招标范围</w:t>
      </w:r>
    </w:p>
    <w:p>
      <w:pPr>
        <w:keepNext w:val="0"/>
        <w:keepLines w:val="0"/>
        <w:pageBreakBefore w:val="0"/>
        <w:widowControl w:val="0"/>
        <w:wordWrap/>
        <w:topLinePunct w:val="0"/>
        <w:bidi w:val="0"/>
        <w:adjustRightInd w:val="0"/>
        <w:spacing w:line="360" w:lineRule="auto"/>
        <w:ind w:firstLine="480" w:firstLineChars="200"/>
        <w:textAlignment w:val="baseline"/>
        <w:rPr>
          <w:rFonts w:hint="eastAsia" w:ascii="宋体" w:hAnsi="宋体" w:cs="宋体"/>
          <w:color w:val="000000"/>
          <w:kern w:val="0"/>
          <w:sz w:val="24"/>
          <w:szCs w:val="24"/>
          <w:highlight w:val="none"/>
        </w:rPr>
      </w:pPr>
      <w:r>
        <w:rPr>
          <w:rFonts w:ascii="Times New Roman" w:hAnsi="Times New Roman" w:cs="Times New Roman" w:eastAsiaTheme="majorEastAsia"/>
          <w:kern w:val="0"/>
          <w:sz w:val="24"/>
        </w:rPr>
        <w:t>1.1项目概况：</w:t>
      </w:r>
      <w:r>
        <w:rPr>
          <w:rFonts w:hint="eastAsia" w:ascii="宋体" w:hAnsi="宋体" w:cs="宋体"/>
          <w:color w:val="000000"/>
          <w:kern w:val="0"/>
          <w:sz w:val="24"/>
          <w:szCs w:val="24"/>
          <w:highlight w:val="none"/>
        </w:rPr>
        <w:t xml:space="preserve">项目概况： 呼北国家高速公路山西省隰县至吉县段起于隰县县城北20公里，路线经隰县、大宁县、吉县，止于吉县县城东9公里窑科，接吉县至河津高速公路吉县枢纽，路线全长105.6km,设计速度采用80km/h，主线路基宽度25.5m，双向四车道；隰县北和大宁互通连接线均按一级公路标准设计，采用沥青混凝土路面，设计速度分别为80km/h和60km/h,路基宽度分别为25.5m和23.0m。有特大桥 1367.5m/1座，大桥25139m/81座，中桥467.9m/6座，天桥77m/1座；长隧道14893m/7座，中长隧道1223m/2座，短隧道1774m/5座，连接线2753m/2处，国省道改路10297m/13处，其中互通立交5处，收费站4座，服务区3处，路段管理中心1处，隧道管理站2处，交安机电工程105.6km 。 </w:t>
      </w:r>
    </w:p>
    <w:p>
      <w:pPr>
        <w:pStyle w:val="2"/>
        <w:keepNext w:val="0"/>
        <w:keepLines w:val="0"/>
        <w:pageBreakBefore w:val="0"/>
        <w:widowControl w:val="0"/>
        <w:tabs>
          <w:tab w:val="left" w:pos="1709"/>
        </w:tabs>
        <w:kinsoku w:val="0"/>
        <w:wordWrap/>
        <w:overflowPunct w:val="0"/>
        <w:topLinePunct w:val="0"/>
        <w:autoSpaceDE w:val="0"/>
        <w:autoSpaceDN w:val="0"/>
        <w:bidi w:val="0"/>
        <w:adjustRightInd w:val="0"/>
        <w:spacing w:before="26" w:line="360" w:lineRule="auto"/>
        <w:ind w:firstLine="480" w:firstLineChars="200"/>
        <w:jc w:val="left"/>
        <w:rPr>
          <w:rFonts w:hint="eastAsia" w:ascii="Times New Roman" w:hAnsi="Times New Roman" w:cs="Times New Roman" w:eastAsiaTheme="majorEastAsia"/>
          <w:kern w:val="0"/>
          <w:sz w:val="24"/>
        </w:rPr>
      </w:pPr>
      <w:r>
        <w:rPr>
          <w:rFonts w:hint="eastAsia" w:ascii="Times New Roman" w:hAnsi="Times New Roman" w:cs="Times New Roman" w:eastAsiaTheme="majorEastAsia"/>
          <w:kern w:val="0"/>
          <w:sz w:val="24"/>
        </w:rPr>
        <w:t>1</w:t>
      </w:r>
      <w:r>
        <w:rPr>
          <w:rFonts w:ascii="Times New Roman" w:hAnsi="Times New Roman" w:cs="Times New Roman" w:eastAsiaTheme="majorEastAsia"/>
          <w:kern w:val="0"/>
          <w:sz w:val="24"/>
        </w:rPr>
        <w:t>.2</w:t>
      </w:r>
      <w:r>
        <w:rPr>
          <w:rFonts w:hint="eastAsia" w:ascii="Times New Roman" w:hAnsi="Times New Roman" w:cs="Times New Roman" w:eastAsiaTheme="majorEastAsia"/>
          <w:kern w:val="0"/>
          <w:sz w:val="24"/>
        </w:rPr>
        <w:t>本招标项目划分为2个标段，本次招标范围为：</w:t>
      </w:r>
    </w:p>
    <w:p>
      <w:pPr>
        <w:pStyle w:val="2"/>
        <w:keepNext w:val="0"/>
        <w:keepLines w:val="0"/>
        <w:pageBreakBefore w:val="0"/>
        <w:widowControl w:val="0"/>
        <w:tabs>
          <w:tab w:val="left" w:pos="1709"/>
        </w:tabs>
        <w:kinsoku w:val="0"/>
        <w:wordWrap/>
        <w:overflowPunct w:val="0"/>
        <w:topLinePunct w:val="0"/>
        <w:autoSpaceDE w:val="0"/>
        <w:autoSpaceDN w:val="0"/>
        <w:bidi w:val="0"/>
        <w:adjustRightInd w:val="0"/>
        <w:spacing w:before="26" w:line="360" w:lineRule="auto"/>
        <w:ind w:firstLine="480" w:firstLineChars="200"/>
        <w:jc w:val="left"/>
        <w:rPr>
          <w:rFonts w:hint="eastAsia" w:ascii="Times New Roman" w:hAnsi="Times New Roman" w:cs="Times New Roman" w:eastAsiaTheme="majorEastAsia"/>
          <w:kern w:val="0"/>
          <w:sz w:val="24"/>
        </w:rPr>
      </w:pPr>
      <w:r>
        <w:rPr>
          <w:rFonts w:hint="eastAsia" w:ascii="Times New Roman" w:hAnsi="Times New Roman" w:cs="Times New Roman" w:eastAsiaTheme="majorEastAsia"/>
          <w:kern w:val="0"/>
          <w:sz w:val="24"/>
        </w:rPr>
        <w:t>001标段：路面、桥梁、隧道及交安、机电工程交工验收质量检测，并按要求出具符合国家规范要求的检测报告。主要工作内容如下：包括K0+010～K58+059.638段大桥11983m/41座，中桥402m/5座，天桥77m/1座，全线路面工程（含互通立交5处，连接线2处,国省道改路13处）、隧道工程、交安工程及机电工程。</w:t>
      </w:r>
    </w:p>
    <w:p>
      <w:pPr>
        <w:pStyle w:val="2"/>
        <w:keepNext w:val="0"/>
        <w:keepLines w:val="0"/>
        <w:pageBreakBefore w:val="0"/>
        <w:widowControl w:val="0"/>
        <w:tabs>
          <w:tab w:val="left" w:pos="1709"/>
        </w:tabs>
        <w:kinsoku w:val="0"/>
        <w:wordWrap/>
        <w:overflowPunct w:val="0"/>
        <w:topLinePunct w:val="0"/>
        <w:autoSpaceDE w:val="0"/>
        <w:autoSpaceDN w:val="0"/>
        <w:bidi w:val="0"/>
        <w:adjustRightInd w:val="0"/>
        <w:spacing w:before="26" w:line="360" w:lineRule="auto"/>
        <w:ind w:firstLine="480" w:firstLineChars="200"/>
        <w:jc w:val="left"/>
        <w:rPr>
          <w:rFonts w:hint="eastAsia" w:ascii="Times New Roman" w:hAnsi="Times New Roman" w:cs="Times New Roman" w:eastAsiaTheme="majorEastAsia"/>
          <w:kern w:val="0"/>
          <w:sz w:val="24"/>
          <w:highlight w:val="none"/>
          <w:lang w:val="en-US" w:eastAsia="zh-CN"/>
        </w:rPr>
      </w:pPr>
      <w:r>
        <w:rPr>
          <w:rFonts w:hint="eastAsia" w:ascii="Times New Roman" w:hAnsi="Times New Roman" w:cs="Times New Roman" w:eastAsiaTheme="majorEastAsia"/>
          <w:kern w:val="0"/>
          <w:sz w:val="24"/>
        </w:rPr>
        <w:t>002标段：桥梁交工验收质量检测，并按要求出具符合国家规范要求的检测报告。主要工作内容如下</w:t>
      </w:r>
      <w:r>
        <w:rPr>
          <w:rFonts w:hint="eastAsia" w:ascii="Times New Roman" w:hAnsi="Times New Roman" w:cs="Times New Roman" w:eastAsiaTheme="majorEastAsia"/>
          <w:kern w:val="0"/>
          <w:sz w:val="24"/>
          <w:lang w:eastAsia="zh-CN"/>
        </w:rPr>
        <w:t>：</w:t>
      </w:r>
      <w:r>
        <w:rPr>
          <w:rFonts w:hint="eastAsia" w:ascii="Times New Roman" w:hAnsi="Times New Roman" w:cs="Times New Roman" w:eastAsiaTheme="majorEastAsia"/>
          <w:kern w:val="0"/>
          <w:sz w:val="24"/>
        </w:rPr>
        <w:t>主要包括K58+695.454～K106+256.413段桥梁工程交工检测服务，包含桥梁特大桥1367m/1座，大桥13156m/40座，中桥66m/1座 。</w:t>
      </w:r>
    </w:p>
    <w:p>
      <w:pPr>
        <w:pStyle w:val="2"/>
        <w:keepNext w:val="0"/>
        <w:keepLines w:val="0"/>
        <w:pageBreakBefore w:val="0"/>
        <w:widowControl w:val="0"/>
        <w:tabs>
          <w:tab w:val="left" w:pos="1709"/>
        </w:tabs>
        <w:kinsoku w:val="0"/>
        <w:wordWrap/>
        <w:overflowPunct w:val="0"/>
        <w:topLinePunct w:val="0"/>
        <w:autoSpaceDE w:val="0"/>
        <w:autoSpaceDN w:val="0"/>
        <w:bidi w:val="0"/>
        <w:adjustRightInd w:val="0"/>
        <w:spacing w:before="26" w:line="360" w:lineRule="auto"/>
        <w:ind w:left="0"/>
        <w:jc w:val="left"/>
        <w:rPr>
          <w:rFonts w:ascii="Times New Roman" w:hAnsi="Times New Roman" w:cs="Times New Roman"/>
          <w:b/>
          <w:bCs/>
          <w:kern w:val="21"/>
          <w:sz w:val="24"/>
          <w:szCs w:val="24"/>
        </w:rPr>
      </w:pPr>
      <w:r>
        <w:rPr>
          <w:rFonts w:ascii="Times New Roman" w:hAnsi="Times New Roman" w:cs="Times New Roman"/>
          <w:b/>
          <w:bCs/>
          <w:kern w:val="21"/>
          <w:sz w:val="24"/>
          <w:szCs w:val="24"/>
        </w:rPr>
        <w:t>二、投标人资格要求</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001标段、002标段</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.1本次招标要求投标人具备的资格条件：具备独立法人资格；具有有效的营业执照或事业单位法人证书；具有履行合同所必需的设备和专业技术能力；并具备下列资质及业绩要求：</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（1）资质要求：（同时具备以下资质）</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001标段：</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1.具有交通运输部颁发的公路工程试验检测综合甲级资质；</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2.交通运输部颁发的公路工程交通工程专项试验检测资质；</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3.具有省级及以上质量技术监督部门颁发的计量认证证书（CMA证书）。</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002标段：</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1.具有交通运输部颁发的公路工程试验检测综合甲级资质；</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2.具有省级及以上质量技术监督部门颁发的计量认证证书（CMA证书）。</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（2）业绩要求：</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001标段：</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近五年内（2017年9月1日至投标文件递交截止时间止，以合同协议书为准，至少独立承担过1项新（改）建高速公路路面工程、1项新（改）建高速公路桥梁工程、1项新（改）建高速公路隧道工程、1项新（改）建高速公路交安工程、1项新（改）建高速公路机电工程交工验收质量检测工作，若同一个业绩或多个业绩同时满足资格审查条件的可分别予以认定，业绩证明资料以合同协议书为准，如以上资料不能证明其单位业绩内容，须另附项目业主出具的证明材料。</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002标段：</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近五年内（2017年9月1日至投标文件递交截止时间止，以合同协议书为准，至少独立承担过1项新（改）建高速公路含桥梁工程交工验收的质量检测工作，业绩证明资料以合同协议书为准，如以上资料不能证明其单位业绩内容，须另附项目业主出具的证明材料。</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（3）人员要求：</w:t>
      </w:r>
      <w:r>
        <w:rPr>
          <w:rFonts w:hint="eastAsia" w:ascii="宋体" w:hAnsi="宋体" w:cs="宋体"/>
          <w:color w:val="auto"/>
          <w:kern w:val="0"/>
          <w:sz w:val="24"/>
          <w:highlight w:val="none"/>
        </w:rPr>
        <w:tab/>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001标段</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项目负责人1名</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资格要求：具有公路工程相关专业高级工程师或以上职称，持有交通运输部颁发的公路水运试验检测师资格证书（专业为道路工程或桥梁隧道工程或交通工程）或试验检测工程师资格证书（专业为公路或桥梁或隧道或交通安全设施或机电工程），且登记单位名称必须与投标人名称一致（以公路水运工程质量试验检测管理信息系统网页截图为准）。作为项目负责人近五年（2017年9月至今、以合同签订时间为准）至少承担过1项新(改)建高速公路交工验收检测服务业绩（提供合同协议书，如合同协议书未体现项目负责人姓名还应提供包含项目负责人姓名的中标通知书或业主证明材料等，否则业绩不予认定）。</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技术负责人1名</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资格要求：具有公路工程相关专业高级工程师或以上职称，持有交通运输部颁发的公路水运试验检测师资格证书（专业为道路工程或桥梁隧道工程或交通工程）或试验检测工程师资格证书（专业为公路或桥梁或隧道或交通安全设施或机电工程），且登记单位名称必须与投标人名称一致（以公路水运工程质量试验检测管理信息系统网页截图为准）。作为项目负责人或技术负责人近五年（2017年9月至今、以合同签订时间为准）至少承担过1项新(改)建高速公路交工验收检测服务业绩（提供合同协议书，如合同协议书未体现项目负责人或技术负责人姓名还应提供包含项目负责人或技术负责人姓名的中标通知书或业主证明材料等，否则业绩不予认定）。</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注：项目负责人、技术负责人试验检测师或试验检测工程师资格证书专业需共同涵盖本标段的检测内容。</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002标段：</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项目负责人1名</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资格要求：具有公路工程相关专业高级工程师或以上职称，持有交通运输部颁发的公路水运试验检测师资格证书（专业为桥梁隧道工程）或试验检测工程师资格证书（专业为桥梁），且登记单位名称必须与投标人名称一致（以公路水运工程质量试验检测管理信息系统网页截图为准）。作为项目负责人近五年（2017年9月至今、以合同签订时间为准）至少承担过1项新(改)建高速公路交工验收检测服务业绩（提供合同协议书，如合同协议书未体现项目负责人姓名还应提供包含项目负责人姓名的中标通知书或业主证明材料等，否则业绩不予认定）。</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技术负责人1名</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资格要求：具有公路工程相关专业高级工程师或以上职称，持有交通运输部颁发的公路水运试验检测师资格证书（专业为桥梁隧道工程）或试验检测工程师资格证书（专业为桥梁），且登记单位名称必须与投标人名称一致（以公路水运工程质量试验检测管理信息系统网页截图为准）。作为项目负责人或技术负责人近五年（2017年9月至今、以合同签订时间为准）至少承担过1项新(改)建高速公路交工验收检测服务业绩（提供合同协议书，如合同协议书未体现项目负责人或技术负责人姓名还应提供包含项目负责人或技术负责人姓名的中标通知书或业主证明材料等，否则业绩不予认定）。</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.2在“中国执行公开信息网”网站（http://www.zxgk.court.gov.cn）中被列入失信被执行人名单的投标人，不得参与本项目的投标。</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.3投标人在国家企业信用信息公示系统（http://www.gsxt.gov.cn/）中被列入严重违法失信企业名单的，不得参与本项目的投标（事业单位无需提供）。</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.4投标人、法定代表人和拟委任的项目负责人在近三年（2019年9月1日至今）有行贿犯罪行为的，不得参与本项目的投标。</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.5投标人近五年在交通工程建设领域因重、特大工程质量、安全事故受到省级及以上行政主管部门的通报，或在山西省公路工程建设项目中发生重大工程质量、安全等事故并受到通报的，不得参与本项目的投标。</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.6投标人与招标人存在利害关系且可能影响招标公正性的不得参加本项目投标。投标人具有下列情况之一的，不得同时参加同一标段投标，否则其投标均无效：</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（1）单位负责人为同一人或者存在控股、管理关系的不同单位； </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（2）具有投资参股关系的关联企业； </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（3）董事、监事、总经理、副总经理和财务负责人相互兼职的关联企业；</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4）001标段：为本标段提供过勘察设计（联合体牵头人：中国铁路设计集团有限公司，成员：山西交科公路勘察设计院、中交基础设施养护集团有限公司）、施工（山西路桥建设集团有限公司、山西路桥第二工程有限公司、山西路桥第六工程有限公司、山西路桥第七工程有限公司、山西路桥第八工程有限公司、中铁三局集团有限公司）、监理（山西交通建设监理咨询集团有限公司、山西振兴公路监理有限公司、山西交科公路工程咨询监理有限公司、北京华路捷公路工程技术咨询有限公司）、试验检测（山西省交通建设工程质量检测中心（有限公司）、铁正检测科技有限公司）、桥梁检测（陕西通宇公路研究所有限公司）、隧道监控量测超前预报（陕西通宇公路研究所有限公司、山西省交通建设工程质量检测中心（有限公司））服务的参建单位及其关联企业（关联企业是指单位负责人为同一人或者存在控股、管理关系的不同单位、具有投资参股关系的关联企业以及参建单位的全资子公司），不得再参加本标段的投标。</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002标段：为本标段提供过勘察设计（联合体牵头人：中国铁路设计集团有限公司，成员：山西交科公路勘察设计院、中交基础设施养护集团有限公司）、施工（山西路桥建设集团有限公司、山西路桥第六工程有限公司、山西路桥第七工程有限公司、山西路桥第八工程有限公司）、监理（山西振兴公路监理有限公司、山西交科公路工程咨询监理有限公司）、试验检测（铁正检测科技有限公司）服务的参建单位及其关联企业（关联企业是指单位负责人为同一人或者存在控股、管理关系的不同单位、具有投资参股关系的关联企业以及参建单位的全资子公司），不得再参加本标段的投标。</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.7本项目招标不接受联合体投标。</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480" w:firstLineChars="200"/>
        <w:textAlignment w:val="auto"/>
        <w:rPr>
          <w:rFonts w:hint="eastAsia" w:ascii="宋体" w:hAnsi="宋体" w:cs="宋体"/>
          <w:sz w:val="24"/>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 xml:space="preserve">.8本次招标投标人可以对两个标段都申请获取招标文件，最多可以成为一个标段的中标候选人，如同时在两个标段中排名第一时，将按照该投标人的投标文件《投标声明》的优先顺序推荐中标候选人，同时视为该投标人放弃其他标段的中标候选人资格。投标人应在投标文件中填写投标中标标段的优先顺序；若投标人未填写优先顺序，则由评标委员会推荐。 </w:t>
      </w:r>
      <w:r>
        <w:rPr>
          <w:rFonts w:hint="eastAsia" w:ascii="宋体" w:hAnsi="宋体" w:cs="宋体"/>
          <w:color w:val="auto"/>
          <w:sz w:val="24"/>
          <w:highlight w:val="none"/>
        </w:rPr>
        <w:t xml:space="preserve">    </w:t>
      </w:r>
    </w:p>
    <w:p>
      <w:pPr>
        <w:spacing w:line="360" w:lineRule="auto"/>
        <w:ind w:left="479" w:leftChars="228"/>
        <w:rPr>
          <w:rFonts w:hint="eastAsia" w:ascii="宋体" w:hAnsi="宋体" w:cs="宋体"/>
          <w:color w:val="auto"/>
          <w:sz w:val="24"/>
          <w:highlight w:val="none"/>
        </w:rPr>
      </w:pPr>
    </w:p>
    <w:p>
      <w:pPr>
        <w:adjustRightInd w:val="0"/>
        <w:spacing w:line="500" w:lineRule="exact"/>
        <w:textAlignment w:val="baseline"/>
        <w:rPr>
          <w:rFonts w:ascii="Times New Roman" w:hAnsi="Times New Roman" w:cs="Times New Roman"/>
          <w:b/>
          <w:bCs/>
          <w:kern w:val="21"/>
          <w:sz w:val="24"/>
        </w:rPr>
      </w:pPr>
      <w:r>
        <w:rPr>
          <w:rFonts w:ascii="Times New Roman" w:hAnsi="Times New Roman" w:cs="Times New Roman"/>
          <w:b/>
          <w:bCs/>
          <w:kern w:val="21"/>
          <w:sz w:val="24"/>
        </w:rPr>
        <w:br w:type="page"/>
      </w:r>
    </w:p>
    <w:p>
      <w:pPr>
        <w:pStyle w:val="2"/>
        <w:tabs>
          <w:tab w:val="left" w:pos="1852"/>
          <w:tab w:val="left" w:pos="2356"/>
          <w:tab w:val="left" w:pos="3726"/>
          <w:tab w:val="left" w:pos="4681"/>
          <w:tab w:val="left" w:pos="4823"/>
          <w:tab w:val="left" w:pos="6452"/>
          <w:tab w:val="left" w:pos="7291"/>
        </w:tabs>
        <w:spacing w:line="440" w:lineRule="exact"/>
        <w:ind w:left="0"/>
        <w:rPr>
          <w:rFonts w:ascii="Times New Roman" w:hAnsi="Times New Roman" w:cs="Times New Roman"/>
          <w:b/>
          <w:bCs/>
          <w:kern w:val="21"/>
          <w:sz w:val="24"/>
          <w:szCs w:val="24"/>
        </w:rPr>
      </w:pPr>
      <w:r>
        <w:rPr>
          <w:rFonts w:ascii="Times New Roman" w:hAnsi="Times New Roman" w:cs="Times New Roman"/>
          <w:b/>
          <w:bCs/>
          <w:kern w:val="21"/>
          <w:sz w:val="24"/>
          <w:szCs w:val="24"/>
        </w:rPr>
        <w:t>三、评标办法（</w:t>
      </w:r>
      <w:r>
        <w:rPr>
          <w:rFonts w:hint="eastAsia" w:ascii="Times New Roman" w:hAnsi="Times New Roman" w:cs="Times New Roman"/>
          <w:b/>
          <w:bCs/>
          <w:kern w:val="21"/>
          <w:sz w:val="24"/>
          <w:szCs w:val="24"/>
          <w:lang w:val="en-US" w:eastAsia="zh-CN"/>
        </w:rPr>
        <w:t>合理低价法</w:t>
      </w:r>
      <w:r>
        <w:rPr>
          <w:rFonts w:ascii="Times New Roman" w:hAnsi="Times New Roman" w:cs="Times New Roman"/>
          <w:b/>
          <w:bCs/>
          <w:kern w:val="21"/>
          <w:sz w:val="24"/>
          <w:szCs w:val="24"/>
        </w:rPr>
        <w:t>）</w:t>
      </w:r>
    </w:p>
    <w:p>
      <w:pPr>
        <w:spacing w:line="300" w:lineRule="exact"/>
        <w:ind w:firstLine="211" w:firstLineChars="100"/>
        <w:jc w:val="left"/>
        <w:rPr>
          <w:rFonts w:hint="eastAsia" w:ascii="宋体" w:hAnsi="宋体" w:cs="宋体"/>
          <w:b/>
          <w:color w:val="auto"/>
          <w:szCs w:val="21"/>
          <w:highlight w:val="none"/>
        </w:rPr>
      </w:pPr>
      <w:r>
        <w:rPr>
          <w:rFonts w:hint="eastAsia" w:ascii="宋体" w:hAnsi="宋体" w:cs="宋体"/>
          <w:b/>
          <w:color w:val="auto"/>
          <w:szCs w:val="21"/>
          <w:highlight w:val="none"/>
        </w:rPr>
        <w:t>评标办法前附表：</w:t>
      </w:r>
    </w:p>
    <w:tbl>
      <w:tblPr>
        <w:tblStyle w:val="1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41"/>
        <w:gridCol w:w="927"/>
        <w:gridCol w:w="71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8" w:hRule="atLeast"/>
          <w:tblHeader/>
          <w:jc w:val="center"/>
        </w:trPr>
        <w:tc>
          <w:tcPr>
            <w:tcW w:w="1668" w:type="dxa"/>
            <w:gridSpan w:val="2"/>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rPr>
              <w:t>条款号</w:t>
            </w:r>
          </w:p>
        </w:tc>
        <w:tc>
          <w:tcPr>
            <w:tcW w:w="7105"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rPr>
              <w:t>评审因素与评审标准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19" w:hRule="atLeast"/>
          <w:jc w:val="center"/>
        </w:trPr>
        <w:tc>
          <w:tcPr>
            <w:tcW w:w="0" w:type="auto"/>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Cs w:val="21"/>
              </w:rPr>
            </w:pPr>
            <w:r>
              <w:rPr>
                <w:rFonts w:hint="eastAsia" w:ascii="宋体" w:hAnsi="宋体" w:cs="宋体"/>
                <w:szCs w:val="21"/>
              </w:rPr>
              <w:t>1</w:t>
            </w:r>
          </w:p>
        </w:tc>
        <w:tc>
          <w:tcPr>
            <w:tcW w:w="927"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Cs w:val="21"/>
              </w:rPr>
            </w:pPr>
            <w:r>
              <w:rPr>
                <w:rFonts w:hint="eastAsia" w:ascii="宋体" w:hAnsi="宋体" w:cs="宋体"/>
                <w:szCs w:val="21"/>
              </w:rPr>
              <w:t>评标</w:t>
            </w:r>
          </w:p>
          <w:p>
            <w:pPr>
              <w:adjustRightInd w:val="0"/>
              <w:snapToGrid w:val="0"/>
              <w:jc w:val="center"/>
              <w:rPr>
                <w:rFonts w:hint="eastAsia" w:ascii="宋体" w:hAnsi="宋体" w:cs="宋体"/>
                <w:szCs w:val="21"/>
              </w:rPr>
            </w:pPr>
            <w:r>
              <w:rPr>
                <w:rFonts w:hint="eastAsia" w:ascii="宋体" w:hAnsi="宋体" w:cs="宋体"/>
                <w:szCs w:val="21"/>
              </w:rPr>
              <w:t>方法</w:t>
            </w:r>
          </w:p>
        </w:tc>
        <w:tc>
          <w:tcPr>
            <w:tcW w:w="7105" w:type="dxa"/>
            <w:tcBorders>
              <w:top w:val="single" w:color="auto" w:sz="4" w:space="0"/>
              <w:left w:val="single" w:color="auto" w:sz="4" w:space="0"/>
              <w:bottom w:val="single" w:color="auto" w:sz="4" w:space="0"/>
            </w:tcBorders>
            <w:noWrap w:val="0"/>
            <w:vAlign w:val="center"/>
          </w:tcPr>
          <w:p>
            <w:pPr>
              <w:tabs>
                <w:tab w:val="left" w:pos="0"/>
                <w:tab w:val="left" w:pos="879"/>
              </w:tabs>
              <w:adjustRightInd w:val="0"/>
              <w:snapToGrid w:val="0"/>
              <w:spacing w:line="300" w:lineRule="exact"/>
              <w:ind w:left="28" w:firstLine="350" w:firstLineChars="167"/>
              <w:rPr>
                <w:rFonts w:hint="eastAsia" w:ascii="宋体" w:hAnsi="宋体" w:cs="宋体"/>
                <w:szCs w:val="21"/>
              </w:rPr>
            </w:pPr>
            <w:r>
              <w:rPr>
                <w:rFonts w:hint="eastAsia" w:ascii="宋体" w:hAnsi="宋体" w:cs="宋体"/>
                <w:szCs w:val="21"/>
              </w:rPr>
              <w:t>本次评标采用双信封合理低价法。评标委员会对满足招标文件实质性要求的投标文件，不再对其服务方案、项目管理机构、技术能力等因素进行评分，仅依据评标基准价按本章第2.2款规定的计算方式对评标价进行打分，并按其综合得分（评标价得分与信用得分之和）由高到低排序，推荐1名中标候选人。</w:t>
            </w:r>
          </w:p>
          <w:p>
            <w:pPr>
              <w:tabs>
                <w:tab w:val="left" w:pos="0"/>
                <w:tab w:val="left" w:pos="879"/>
              </w:tabs>
              <w:adjustRightInd w:val="0"/>
              <w:snapToGrid w:val="0"/>
              <w:spacing w:line="300" w:lineRule="exact"/>
              <w:ind w:left="28" w:firstLine="142"/>
              <w:rPr>
                <w:rFonts w:hint="eastAsia" w:ascii="宋体" w:hAnsi="宋体" w:cs="宋体"/>
                <w:szCs w:val="21"/>
              </w:rPr>
            </w:pPr>
            <w:r>
              <w:rPr>
                <w:rFonts w:hint="eastAsia" w:ascii="宋体" w:hAnsi="宋体" w:cs="宋体"/>
                <w:szCs w:val="21"/>
              </w:rPr>
              <w:t>综合评分相等时，评标委员会依次按照以下优先顺序推荐中标候选人或确定中标人：</w:t>
            </w:r>
          </w:p>
          <w:p>
            <w:pPr>
              <w:tabs>
                <w:tab w:val="left" w:pos="0"/>
                <w:tab w:val="left" w:pos="879"/>
              </w:tabs>
              <w:adjustRightInd w:val="0"/>
              <w:snapToGrid w:val="0"/>
              <w:spacing w:line="300" w:lineRule="exact"/>
              <w:ind w:left="28" w:firstLine="142"/>
              <w:rPr>
                <w:rFonts w:hint="eastAsia" w:ascii="宋体" w:hAnsi="宋体" w:cs="宋体"/>
                <w:szCs w:val="21"/>
              </w:rPr>
            </w:pPr>
            <w:r>
              <w:rPr>
                <w:rFonts w:hint="eastAsia" w:ascii="宋体" w:hAnsi="宋体" w:cs="宋体"/>
                <w:szCs w:val="21"/>
              </w:rPr>
              <w:t>（1）评标价低的投标人；</w:t>
            </w:r>
          </w:p>
          <w:p>
            <w:pPr>
              <w:tabs>
                <w:tab w:val="left" w:pos="0"/>
                <w:tab w:val="left" w:pos="879"/>
              </w:tabs>
              <w:adjustRightInd w:val="0"/>
              <w:snapToGrid w:val="0"/>
              <w:spacing w:line="300" w:lineRule="exact"/>
              <w:ind w:left="28" w:firstLine="142"/>
              <w:rPr>
                <w:rFonts w:hint="eastAsia" w:ascii="宋体" w:hAnsi="宋体" w:cs="宋体"/>
                <w:szCs w:val="21"/>
              </w:rPr>
            </w:pPr>
            <w:r>
              <w:rPr>
                <w:rFonts w:hint="eastAsia" w:ascii="宋体" w:hAnsi="宋体" w:cs="宋体"/>
                <w:szCs w:val="21"/>
              </w:rPr>
              <w:t>（2）信用评价等级较高者；</w:t>
            </w:r>
          </w:p>
          <w:p>
            <w:pPr>
              <w:tabs>
                <w:tab w:val="left" w:pos="0"/>
                <w:tab w:val="left" w:pos="879"/>
              </w:tabs>
              <w:adjustRightInd w:val="0"/>
              <w:snapToGrid w:val="0"/>
              <w:spacing w:line="300" w:lineRule="exact"/>
              <w:ind w:left="28" w:firstLine="142"/>
              <w:rPr>
                <w:rFonts w:hint="eastAsia" w:ascii="宋体" w:hAnsi="宋体" w:cs="宋体"/>
                <w:szCs w:val="21"/>
              </w:rPr>
            </w:pPr>
            <w:r>
              <w:rPr>
                <w:rFonts w:hint="eastAsia" w:ascii="宋体" w:hAnsi="宋体" w:cs="宋体"/>
                <w:szCs w:val="21"/>
              </w:rPr>
              <w:t>（3）投标文件（第一个信封）上传至交易平台较早的投标人。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0" w:type="auto"/>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Cs w:val="21"/>
              </w:rPr>
            </w:pPr>
            <w:r>
              <w:rPr>
                <w:rFonts w:hint="eastAsia" w:ascii="宋体" w:hAnsi="宋体" w:cs="宋体"/>
                <w:szCs w:val="21"/>
              </w:rPr>
              <w:t>2.1.1</w:t>
            </w:r>
          </w:p>
          <w:p>
            <w:pPr>
              <w:adjustRightInd w:val="0"/>
              <w:snapToGrid w:val="0"/>
              <w:jc w:val="center"/>
              <w:rPr>
                <w:rFonts w:hint="eastAsia" w:ascii="宋体" w:hAnsi="宋体" w:cs="宋体"/>
                <w:szCs w:val="21"/>
              </w:rPr>
            </w:pPr>
            <w:r>
              <w:rPr>
                <w:rFonts w:hint="eastAsia" w:ascii="宋体" w:hAnsi="宋体" w:cs="宋体"/>
                <w:szCs w:val="21"/>
              </w:rPr>
              <w:t>2.1.3</w:t>
            </w:r>
          </w:p>
        </w:tc>
        <w:tc>
          <w:tcPr>
            <w:tcW w:w="927" w:type="dxa"/>
            <w:tcBorders>
              <w:top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eastAsia" w:ascii="宋体" w:hAnsi="宋体" w:cs="宋体"/>
                <w:szCs w:val="21"/>
              </w:rPr>
            </w:pPr>
            <w:r>
              <w:rPr>
                <w:rFonts w:hint="eastAsia" w:ascii="宋体" w:hAnsi="宋体" w:cs="宋体"/>
                <w:szCs w:val="21"/>
              </w:rPr>
              <w:t>形式评审与响应性评审标准（第一个信封）</w:t>
            </w:r>
          </w:p>
        </w:tc>
        <w:tc>
          <w:tcPr>
            <w:tcW w:w="7105" w:type="dxa"/>
            <w:tcBorders>
              <w:top w:val="single" w:color="auto" w:sz="4" w:space="0"/>
              <w:left w:val="single" w:color="auto" w:sz="4" w:space="0"/>
              <w:bottom w:val="single" w:color="auto" w:sz="4" w:space="0"/>
            </w:tcBorders>
            <w:noWrap w:val="0"/>
            <w:vAlign w:val="center"/>
          </w:tcPr>
          <w:p>
            <w:pPr>
              <w:spacing w:line="300" w:lineRule="exact"/>
              <w:ind w:right="105" w:rightChars="50"/>
              <w:rPr>
                <w:rFonts w:ascii="Times New Roman" w:hAnsi="Times New Roman"/>
                <w:kern w:val="0"/>
                <w:szCs w:val="21"/>
              </w:rPr>
            </w:pPr>
            <w:r>
              <w:rPr>
                <w:rFonts w:ascii="Times New Roman" w:hAnsi="Times New Roman"/>
                <w:kern w:val="0"/>
                <w:szCs w:val="21"/>
              </w:rPr>
              <w:t>（1）投标文件按照招标文件规定的格式、内容填写，字迹清晰可辨：</w:t>
            </w:r>
          </w:p>
          <w:p>
            <w:pPr>
              <w:spacing w:line="300" w:lineRule="exact"/>
              <w:ind w:left="105" w:leftChars="50" w:right="105" w:rightChars="50" w:firstLine="210" w:firstLineChars="100"/>
              <w:rPr>
                <w:rFonts w:ascii="Times New Roman" w:hAnsi="Times New Roman"/>
                <w:kern w:val="0"/>
                <w:szCs w:val="21"/>
              </w:rPr>
            </w:pPr>
            <w:r>
              <w:rPr>
                <w:rFonts w:ascii="Times New Roman" w:hAnsi="Times New Roman"/>
                <w:kern w:val="0"/>
                <w:szCs w:val="21"/>
              </w:rPr>
              <w:t>a.投标函按招标文件规定填报了项目名称、标段号、补遗书编号（如有）、</w:t>
            </w:r>
            <w:r>
              <w:rPr>
                <w:rFonts w:hint="eastAsia"/>
                <w:kern w:val="0"/>
                <w:szCs w:val="21"/>
              </w:rPr>
              <w:t>服务</w:t>
            </w:r>
            <w:r>
              <w:rPr>
                <w:rFonts w:ascii="Times New Roman" w:hAnsi="Times New Roman"/>
                <w:kern w:val="0"/>
                <w:szCs w:val="21"/>
              </w:rPr>
              <w:t>期、</w:t>
            </w:r>
            <w:r>
              <w:rPr>
                <w:rFonts w:hint="eastAsia"/>
                <w:kern w:val="0"/>
                <w:szCs w:val="21"/>
              </w:rPr>
              <w:t>服务</w:t>
            </w:r>
            <w:r>
              <w:rPr>
                <w:rFonts w:ascii="Times New Roman" w:hAnsi="Times New Roman"/>
                <w:kern w:val="0"/>
                <w:szCs w:val="21"/>
              </w:rPr>
              <w:t>要求</w:t>
            </w:r>
            <w:r>
              <w:rPr>
                <w:rFonts w:hint="eastAsia"/>
                <w:kern w:val="0"/>
                <w:szCs w:val="21"/>
              </w:rPr>
              <w:t>、项目负责人等相关信息</w:t>
            </w:r>
            <w:r>
              <w:rPr>
                <w:rFonts w:ascii="Times New Roman" w:hAnsi="Times New Roman"/>
                <w:kern w:val="0"/>
                <w:szCs w:val="21"/>
              </w:rPr>
              <w:t>；</w:t>
            </w:r>
          </w:p>
          <w:p>
            <w:pPr>
              <w:spacing w:line="300" w:lineRule="exact"/>
              <w:ind w:left="105" w:leftChars="50" w:right="105" w:rightChars="50" w:firstLine="210" w:firstLineChars="100"/>
              <w:rPr>
                <w:rFonts w:ascii="Times New Roman" w:hAnsi="Times New Roman"/>
                <w:kern w:val="0"/>
                <w:szCs w:val="21"/>
              </w:rPr>
            </w:pPr>
            <w:r>
              <w:rPr>
                <w:rFonts w:hint="eastAsia"/>
                <w:kern w:val="0"/>
                <w:szCs w:val="21"/>
              </w:rPr>
              <w:t>b</w:t>
            </w:r>
            <w:r>
              <w:rPr>
                <w:rFonts w:ascii="Times New Roman" w:hAnsi="Times New Roman"/>
                <w:kern w:val="0"/>
                <w:szCs w:val="21"/>
              </w:rPr>
              <w:t>.投标文件组成齐全完整，内容均按规定填写。</w:t>
            </w:r>
          </w:p>
          <w:p>
            <w:pPr>
              <w:spacing w:line="300" w:lineRule="exact"/>
              <w:ind w:right="105" w:rightChars="50"/>
              <w:rPr>
                <w:rFonts w:ascii="Times New Roman" w:hAnsi="Times New Roman"/>
                <w:kern w:val="0"/>
                <w:szCs w:val="21"/>
              </w:rPr>
            </w:pPr>
            <w:r>
              <w:rPr>
                <w:rFonts w:ascii="Times New Roman" w:hAnsi="Times New Roman"/>
                <w:kern w:val="0"/>
                <w:szCs w:val="21"/>
              </w:rPr>
              <w:t>（2）投标文件上法定代表人的电子签名、投标人的单位电子签章齐全，符合招标文件规定。</w:t>
            </w:r>
          </w:p>
          <w:p>
            <w:pPr>
              <w:spacing w:line="300" w:lineRule="exact"/>
              <w:ind w:right="105" w:rightChars="50"/>
              <w:rPr>
                <w:rFonts w:ascii="Times New Roman" w:hAnsi="Times New Roman"/>
                <w:kern w:val="0"/>
                <w:szCs w:val="21"/>
              </w:rPr>
            </w:pPr>
            <w:r>
              <w:rPr>
                <w:rFonts w:ascii="Times New Roman" w:hAnsi="Times New Roman"/>
                <w:kern w:val="0"/>
                <w:szCs w:val="21"/>
              </w:rPr>
              <w:t>（3）投标人按照招标文件的规定提供了投标保证金：</w:t>
            </w:r>
          </w:p>
          <w:p>
            <w:pPr>
              <w:spacing w:line="300" w:lineRule="exact"/>
              <w:ind w:left="105" w:leftChars="50" w:right="105" w:rightChars="50" w:firstLine="210" w:firstLineChars="100"/>
              <w:rPr>
                <w:rFonts w:ascii="Times New Roman" w:hAnsi="Times New Roman"/>
                <w:kern w:val="0"/>
                <w:szCs w:val="21"/>
              </w:rPr>
            </w:pPr>
            <w:r>
              <w:rPr>
                <w:rFonts w:ascii="Times New Roman" w:hAnsi="Times New Roman"/>
                <w:kern w:val="0"/>
                <w:szCs w:val="21"/>
              </w:rPr>
              <w:t>a.投标保证金金额符合招标文件规定的金额，且投标保证金有效期不少于投标有效期；</w:t>
            </w:r>
          </w:p>
          <w:p>
            <w:pPr>
              <w:spacing w:line="300" w:lineRule="exact"/>
              <w:ind w:left="105" w:leftChars="50" w:right="105" w:rightChars="50" w:firstLine="210" w:firstLineChars="100"/>
              <w:rPr>
                <w:rFonts w:ascii="Times New Roman" w:hAnsi="Times New Roman"/>
                <w:kern w:val="0"/>
                <w:szCs w:val="21"/>
              </w:rPr>
            </w:pPr>
            <w:r>
              <w:rPr>
                <w:rFonts w:ascii="Times New Roman" w:hAnsi="Times New Roman"/>
                <w:kern w:val="0"/>
                <w:szCs w:val="21"/>
              </w:rPr>
              <w:t>b.若投标保证金采用现金或支票形式提交，投标人应在递交投标文件截止时间之前，将投标保证金由投标人的基本账户转入招标人指定账户：</w:t>
            </w:r>
          </w:p>
          <w:p>
            <w:pPr>
              <w:spacing w:line="300" w:lineRule="exact"/>
              <w:ind w:left="105" w:leftChars="50" w:right="105" w:rightChars="50" w:firstLine="210" w:firstLineChars="100"/>
              <w:rPr>
                <w:rFonts w:ascii="Times New Roman" w:hAnsi="Times New Roman"/>
                <w:kern w:val="0"/>
                <w:szCs w:val="21"/>
              </w:rPr>
            </w:pPr>
            <w:r>
              <w:rPr>
                <w:rFonts w:ascii="Times New Roman" w:hAnsi="Times New Roman"/>
                <w:kern w:val="0"/>
                <w:szCs w:val="21"/>
              </w:rPr>
              <w:t>c.若投标保证金采用保函形式提交，保函的格式、开具保函的</w:t>
            </w:r>
            <w:r>
              <w:rPr>
                <w:rFonts w:hint="eastAsia"/>
                <w:kern w:val="0"/>
                <w:szCs w:val="21"/>
              </w:rPr>
              <w:t>机构</w:t>
            </w:r>
            <w:r>
              <w:rPr>
                <w:rFonts w:ascii="Times New Roman" w:hAnsi="Times New Roman"/>
                <w:kern w:val="0"/>
                <w:szCs w:val="21"/>
              </w:rPr>
              <w:t>均满足招标文件要求，且在递交投标文件截止时间之前向招标人提交了保函原件。</w:t>
            </w:r>
          </w:p>
          <w:p>
            <w:pPr>
              <w:spacing w:line="300" w:lineRule="exact"/>
              <w:ind w:right="105" w:rightChars="50"/>
              <w:rPr>
                <w:rFonts w:ascii="Times New Roman" w:hAnsi="Times New Roman"/>
                <w:kern w:val="0"/>
                <w:szCs w:val="21"/>
              </w:rPr>
            </w:pPr>
            <w:r>
              <w:rPr>
                <w:rFonts w:ascii="Times New Roman" w:hAnsi="Times New Roman"/>
                <w:kern w:val="0"/>
                <w:szCs w:val="21"/>
              </w:rPr>
              <w:t>（4）</w:t>
            </w:r>
            <w:r>
              <w:rPr>
                <w:rFonts w:ascii="Times New Roman" w:hAnsi="Times New Roman"/>
                <w:kern w:val="0"/>
                <w:szCs w:val="21"/>
                <w:lang w:val="zh-CN"/>
              </w:rPr>
              <w:t>提供了法定代表人身份证明</w:t>
            </w:r>
            <w:r>
              <w:rPr>
                <w:rFonts w:hint="eastAsia"/>
                <w:kern w:val="0"/>
                <w:szCs w:val="21"/>
                <w:lang w:val="zh-CN"/>
              </w:rPr>
              <w:t>。</w:t>
            </w:r>
          </w:p>
          <w:p>
            <w:pPr>
              <w:spacing w:line="300" w:lineRule="exact"/>
              <w:ind w:right="105" w:rightChars="50"/>
              <w:rPr>
                <w:rFonts w:ascii="Times New Roman" w:hAnsi="Times New Roman"/>
                <w:kern w:val="0"/>
                <w:szCs w:val="21"/>
              </w:rPr>
            </w:pPr>
            <w:r>
              <w:rPr>
                <w:rFonts w:ascii="Times New Roman" w:hAnsi="Times New Roman"/>
                <w:kern w:val="0"/>
                <w:szCs w:val="21"/>
                <w:lang w:val="zh-CN"/>
              </w:rPr>
              <w:t>（</w:t>
            </w:r>
            <w:r>
              <w:rPr>
                <w:rFonts w:hint="eastAsia"/>
                <w:kern w:val="0"/>
                <w:szCs w:val="21"/>
              </w:rPr>
              <w:t>5</w:t>
            </w:r>
            <w:r>
              <w:rPr>
                <w:rFonts w:ascii="Times New Roman" w:hAnsi="Times New Roman"/>
                <w:kern w:val="0"/>
                <w:szCs w:val="21"/>
                <w:lang w:val="zh-CN"/>
              </w:rPr>
              <w:t>）</w:t>
            </w:r>
            <w:r>
              <w:rPr>
                <w:rFonts w:ascii="Times New Roman" w:hAnsi="Times New Roman"/>
                <w:kern w:val="0"/>
                <w:szCs w:val="21"/>
              </w:rPr>
              <w:t>同一投标人未提交两个以上不同的投标文件。</w:t>
            </w:r>
          </w:p>
          <w:p>
            <w:pPr>
              <w:spacing w:line="300" w:lineRule="exact"/>
              <w:ind w:right="105" w:rightChars="50"/>
              <w:rPr>
                <w:rFonts w:ascii="Times New Roman" w:hAnsi="Times New Roman"/>
                <w:kern w:val="0"/>
                <w:szCs w:val="21"/>
              </w:rPr>
            </w:pPr>
            <w:r>
              <w:rPr>
                <w:rFonts w:ascii="Times New Roman" w:hAnsi="Times New Roman"/>
                <w:kern w:val="0"/>
                <w:szCs w:val="21"/>
              </w:rPr>
              <w:t>（</w:t>
            </w:r>
            <w:r>
              <w:rPr>
                <w:rFonts w:hint="eastAsia"/>
                <w:kern w:val="0"/>
                <w:szCs w:val="21"/>
              </w:rPr>
              <w:t>6</w:t>
            </w:r>
            <w:r>
              <w:rPr>
                <w:rFonts w:ascii="Times New Roman" w:hAnsi="Times New Roman"/>
                <w:kern w:val="0"/>
                <w:szCs w:val="21"/>
              </w:rPr>
              <w:t>）</w:t>
            </w:r>
            <w:r>
              <w:rPr>
                <w:rFonts w:hint="eastAsia" w:ascii="宋体" w:hAnsi="宋体"/>
                <w:szCs w:val="21"/>
              </w:rPr>
              <w:t>第一个信封（商务及技术文件）中</w:t>
            </w:r>
            <w:r>
              <w:rPr>
                <w:rFonts w:ascii="Times New Roman" w:hAnsi="Times New Roman"/>
                <w:kern w:val="0"/>
                <w:szCs w:val="21"/>
              </w:rPr>
              <w:t>未出现有关投标报价的内容。</w:t>
            </w:r>
          </w:p>
          <w:p>
            <w:pPr>
              <w:spacing w:line="300" w:lineRule="exact"/>
              <w:ind w:right="105" w:rightChars="50"/>
              <w:rPr>
                <w:rFonts w:ascii="Times New Roman" w:hAnsi="Times New Roman"/>
                <w:kern w:val="0"/>
                <w:szCs w:val="21"/>
              </w:rPr>
            </w:pPr>
            <w:r>
              <w:rPr>
                <w:rFonts w:ascii="Times New Roman" w:hAnsi="Times New Roman"/>
                <w:kern w:val="0"/>
                <w:szCs w:val="21"/>
              </w:rPr>
              <w:t>（</w:t>
            </w:r>
            <w:r>
              <w:rPr>
                <w:rFonts w:hint="eastAsia"/>
                <w:kern w:val="0"/>
                <w:szCs w:val="21"/>
              </w:rPr>
              <w:t>7</w:t>
            </w:r>
            <w:r>
              <w:rPr>
                <w:rFonts w:ascii="Times New Roman" w:hAnsi="Times New Roman"/>
                <w:kern w:val="0"/>
                <w:szCs w:val="21"/>
              </w:rPr>
              <w:t>）第一个信封（商务及技术文件）载明的</w:t>
            </w:r>
            <w:r>
              <w:rPr>
                <w:rFonts w:hint="eastAsia"/>
                <w:kern w:val="0"/>
                <w:szCs w:val="21"/>
              </w:rPr>
              <w:t>服务期</w:t>
            </w:r>
            <w:r>
              <w:rPr>
                <w:rFonts w:ascii="Times New Roman" w:hAnsi="Times New Roman"/>
                <w:kern w:val="0"/>
                <w:szCs w:val="21"/>
              </w:rPr>
              <w:t>与招标文件规定的时限一致。</w:t>
            </w:r>
          </w:p>
          <w:p>
            <w:pPr>
              <w:spacing w:line="300" w:lineRule="exact"/>
              <w:ind w:right="105" w:rightChars="50"/>
              <w:rPr>
                <w:rFonts w:ascii="Times New Roman" w:hAnsi="Times New Roman"/>
                <w:kern w:val="0"/>
                <w:szCs w:val="21"/>
              </w:rPr>
            </w:pPr>
            <w:r>
              <w:rPr>
                <w:rFonts w:ascii="Times New Roman" w:hAnsi="Times New Roman"/>
                <w:kern w:val="0"/>
                <w:szCs w:val="21"/>
              </w:rPr>
              <w:t>（</w:t>
            </w:r>
            <w:r>
              <w:rPr>
                <w:rFonts w:hint="eastAsia" w:ascii="Times New Roman" w:hAnsi="Times New Roman"/>
                <w:kern w:val="0"/>
                <w:szCs w:val="21"/>
              </w:rPr>
              <w:t>8</w:t>
            </w:r>
            <w:r>
              <w:rPr>
                <w:rFonts w:ascii="Times New Roman" w:hAnsi="Times New Roman"/>
                <w:kern w:val="0"/>
                <w:szCs w:val="21"/>
              </w:rPr>
              <w:t>）</w:t>
            </w:r>
            <w:r>
              <w:rPr>
                <w:rFonts w:hint="eastAsia" w:ascii="Times New Roman" w:hAnsi="Times New Roman"/>
                <w:kern w:val="0"/>
                <w:szCs w:val="21"/>
              </w:rPr>
              <w:t>第一个信封（商务及技术文件）</w:t>
            </w:r>
            <w:r>
              <w:rPr>
                <w:rFonts w:ascii="Times New Roman" w:hAnsi="Times New Roman"/>
                <w:kern w:val="0"/>
                <w:szCs w:val="21"/>
              </w:rPr>
              <w:t>对招标文件的实质性要求和条件作出响应。</w:t>
            </w:r>
          </w:p>
          <w:p>
            <w:pPr>
              <w:spacing w:line="300" w:lineRule="exact"/>
              <w:ind w:right="105" w:rightChars="50"/>
              <w:rPr>
                <w:rFonts w:ascii="Times New Roman" w:hAnsi="Times New Roman"/>
                <w:kern w:val="0"/>
                <w:szCs w:val="21"/>
              </w:rPr>
            </w:pPr>
            <w:r>
              <w:rPr>
                <w:rFonts w:hint="eastAsia" w:ascii="Times New Roman" w:hAnsi="Times New Roman"/>
                <w:kern w:val="0"/>
                <w:szCs w:val="21"/>
              </w:rPr>
              <w:t>（9）</w:t>
            </w:r>
            <w:r>
              <w:rPr>
                <w:rFonts w:ascii="Times New Roman" w:hAnsi="Times New Roman"/>
                <w:kern w:val="0"/>
                <w:szCs w:val="21"/>
              </w:rPr>
              <w:t>权利义务符合招标文件规定：</w:t>
            </w:r>
          </w:p>
          <w:p>
            <w:pPr>
              <w:spacing w:line="300" w:lineRule="exact"/>
              <w:ind w:left="105" w:leftChars="50" w:right="105" w:rightChars="50" w:firstLine="210" w:firstLineChars="100"/>
              <w:rPr>
                <w:rFonts w:ascii="Times New Roman" w:hAnsi="Times New Roman"/>
                <w:kern w:val="0"/>
                <w:szCs w:val="21"/>
              </w:rPr>
            </w:pPr>
            <w:r>
              <w:rPr>
                <w:rFonts w:ascii="Times New Roman" w:hAnsi="Times New Roman"/>
                <w:kern w:val="0"/>
                <w:szCs w:val="21"/>
              </w:rPr>
              <w:t>a.投标人应接受招标文件规定的风险划分原则，未提出新的风险划分办法；</w:t>
            </w:r>
          </w:p>
          <w:p>
            <w:pPr>
              <w:spacing w:line="300" w:lineRule="exact"/>
              <w:ind w:left="105" w:leftChars="50" w:right="105" w:rightChars="50" w:firstLine="210" w:firstLineChars="100"/>
              <w:rPr>
                <w:rFonts w:ascii="Times New Roman" w:hAnsi="Times New Roman"/>
                <w:kern w:val="0"/>
                <w:szCs w:val="21"/>
              </w:rPr>
            </w:pPr>
            <w:r>
              <w:rPr>
                <w:rFonts w:ascii="Times New Roman" w:hAnsi="Times New Roman"/>
                <w:kern w:val="0"/>
                <w:szCs w:val="21"/>
              </w:rPr>
              <w:t>b.投标人未增加委托人的责任范围，或减少投标人义务；</w:t>
            </w:r>
          </w:p>
          <w:p>
            <w:pPr>
              <w:spacing w:line="300" w:lineRule="exact"/>
              <w:ind w:left="105" w:leftChars="50" w:right="105" w:rightChars="50" w:firstLine="210" w:firstLineChars="100"/>
              <w:rPr>
                <w:rFonts w:ascii="Times New Roman" w:hAnsi="Times New Roman"/>
                <w:kern w:val="0"/>
                <w:szCs w:val="21"/>
              </w:rPr>
            </w:pPr>
            <w:r>
              <w:rPr>
                <w:rFonts w:ascii="Times New Roman" w:hAnsi="Times New Roman"/>
                <w:kern w:val="0"/>
                <w:szCs w:val="21"/>
              </w:rPr>
              <w:t>c.投标人未提出不同的支付办法：</w:t>
            </w:r>
          </w:p>
          <w:p>
            <w:pPr>
              <w:spacing w:line="300" w:lineRule="exact"/>
              <w:ind w:left="105" w:leftChars="50" w:right="105" w:rightChars="50" w:firstLine="210" w:firstLineChars="100"/>
              <w:rPr>
                <w:rFonts w:ascii="Times New Roman" w:hAnsi="Times New Roman"/>
                <w:kern w:val="0"/>
                <w:szCs w:val="21"/>
              </w:rPr>
            </w:pPr>
            <w:r>
              <w:rPr>
                <w:rFonts w:ascii="Times New Roman" w:hAnsi="Times New Roman"/>
                <w:kern w:val="0"/>
                <w:szCs w:val="21"/>
              </w:rPr>
              <w:t>d.投标人对合同纠纷、事故处理办法未提出异议；</w:t>
            </w:r>
          </w:p>
          <w:p>
            <w:pPr>
              <w:spacing w:line="300" w:lineRule="exact"/>
              <w:ind w:left="105" w:leftChars="50" w:right="105" w:rightChars="50" w:firstLine="210" w:firstLineChars="100"/>
              <w:rPr>
                <w:rFonts w:ascii="Times New Roman" w:hAnsi="Times New Roman"/>
                <w:kern w:val="0"/>
                <w:szCs w:val="21"/>
              </w:rPr>
            </w:pPr>
            <w:r>
              <w:rPr>
                <w:rFonts w:ascii="Times New Roman" w:hAnsi="Times New Roman"/>
                <w:kern w:val="0"/>
                <w:szCs w:val="21"/>
              </w:rPr>
              <w:t xml:space="preserve">e.投标人在投标活动中无欺诈行为； </w:t>
            </w:r>
          </w:p>
          <w:p>
            <w:pPr>
              <w:spacing w:line="300" w:lineRule="exact"/>
              <w:ind w:left="105" w:leftChars="50" w:right="105" w:rightChars="50" w:firstLine="210" w:firstLineChars="100"/>
              <w:rPr>
                <w:rFonts w:ascii="Times New Roman" w:hAnsi="Times New Roman"/>
                <w:kern w:val="0"/>
                <w:szCs w:val="21"/>
              </w:rPr>
            </w:pPr>
            <w:r>
              <w:rPr>
                <w:rFonts w:ascii="Times New Roman" w:hAnsi="Times New Roman"/>
                <w:kern w:val="0"/>
                <w:szCs w:val="21"/>
              </w:rPr>
              <w:t>f投标人未对合同条款有重要保留。</w:t>
            </w:r>
          </w:p>
          <w:p>
            <w:pPr>
              <w:spacing w:line="300" w:lineRule="exact"/>
              <w:ind w:left="105" w:leftChars="50"/>
              <w:rPr>
                <w:rFonts w:hint="eastAsia" w:ascii="Times New Roman" w:hAnsi="Times New Roman"/>
                <w:kern w:val="0"/>
                <w:szCs w:val="21"/>
              </w:rPr>
            </w:pPr>
            <w:r>
              <w:rPr>
                <w:rFonts w:hint="eastAsia" w:ascii="Times New Roman" w:hAnsi="Times New Roman"/>
                <w:kern w:val="0"/>
                <w:szCs w:val="21"/>
              </w:rPr>
              <w:t>（10）投标人技术能力和以往履约信誉符合招标文件的规定，不得存在以下问题。存在以下问题之一的，属于重大偏差：</w:t>
            </w:r>
          </w:p>
          <w:p>
            <w:pPr>
              <w:spacing w:line="300" w:lineRule="exact"/>
              <w:ind w:left="105" w:leftChars="50" w:right="105" w:rightChars="50" w:firstLine="210" w:firstLineChars="100"/>
              <w:rPr>
                <w:rFonts w:hint="eastAsia" w:ascii="Times New Roman" w:hAnsi="Times New Roman"/>
                <w:kern w:val="0"/>
                <w:szCs w:val="21"/>
              </w:rPr>
            </w:pPr>
            <w:r>
              <w:rPr>
                <w:rFonts w:hint="eastAsia" w:ascii="Times New Roman" w:hAnsi="Times New Roman"/>
                <w:kern w:val="0"/>
                <w:szCs w:val="21"/>
              </w:rPr>
              <w:t>a.承诺的服务质量低于招标人要求；</w:t>
            </w:r>
          </w:p>
          <w:p>
            <w:pPr>
              <w:spacing w:line="300" w:lineRule="exact"/>
              <w:ind w:left="105" w:leftChars="50" w:right="105" w:rightChars="50" w:firstLine="210" w:firstLineChars="100"/>
              <w:rPr>
                <w:rFonts w:hint="eastAsia" w:ascii="Times New Roman" w:hAnsi="Times New Roman"/>
                <w:kern w:val="0"/>
                <w:szCs w:val="21"/>
              </w:rPr>
            </w:pPr>
            <w:r>
              <w:rPr>
                <w:rFonts w:hint="eastAsia" w:ascii="Times New Roman" w:hAnsi="Times New Roman"/>
                <w:kern w:val="0"/>
                <w:szCs w:val="21"/>
              </w:rPr>
              <w:t>b.业绩、人员、履约信誉等证明材料存在虚假。</w:t>
            </w:r>
          </w:p>
          <w:p>
            <w:pPr>
              <w:spacing w:line="300" w:lineRule="exact"/>
              <w:ind w:right="105" w:rightChars="50"/>
              <w:rPr>
                <w:rFonts w:hint="eastAsia" w:ascii="Times New Roman" w:hAnsi="Times New Roman"/>
                <w:kern w:val="0"/>
                <w:szCs w:val="21"/>
              </w:rPr>
            </w:pPr>
            <w:r>
              <w:rPr>
                <w:rFonts w:hint="eastAsia" w:ascii="Times New Roman" w:hAnsi="Times New Roman"/>
                <w:kern w:val="0"/>
                <w:szCs w:val="21"/>
              </w:rPr>
              <w:t>（1</w:t>
            </w:r>
            <w:r>
              <w:rPr>
                <w:rFonts w:hint="eastAsia"/>
                <w:kern w:val="0"/>
                <w:szCs w:val="21"/>
              </w:rPr>
              <w:t>1</w:t>
            </w:r>
            <w:r>
              <w:rPr>
                <w:rFonts w:hint="eastAsia" w:ascii="Times New Roman" w:hAnsi="Times New Roman"/>
                <w:kern w:val="0"/>
                <w:szCs w:val="21"/>
              </w:rPr>
              <w:t>）不同投标人间投标人未存在下列情形：</w:t>
            </w:r>
          </w:p>
          <w:p>
            <w:pPr>
              <w:spacing w:line="300" w:lineRule="exact"/>
              <w:ind w:left="105" w:leftChars="50" w:right="105" w:rightChars="50" w:firstLine="210" w:firstLineChars="100"/>
              <w:rPr>
                <w:rFonts w:hint="eastAsia" w:ascii="Times New Roman" w:hAnsi="Times New Roman"/>
                <w:kern w:val="0"/>
                <w:szCs w:val="21"/>
              </w:rPr>
            </w:pPr>
            <w:r>
              <w:rPr>
                <w:rFonts w:hint="eastAsia" w:ascii="Times New Roman" w:hAnsi="Times New Roman"/>
                <w:kern w:val="0"/>
                <w:szCs w:val="21"/>
              </w:rPr>
              <w:t>a.不同投标人的投标文件由同一电子设备编制、打印加密或者上传；</w:t>
            </w:r>
          </w:p>
          <w:p>
            <w:pPr>
              <w:spacing w:line="300" w:lineRule="exact"/>
              <w:ind w:left="105" w:leftChars="50" w:right="105" w:rightChars="50" w:firstLine="210" w:firstLineChars="100"/>
              <w:rPr>
                <w:rFonts w:hint="eastAsia" w:ascii="Times New Roman" w:hAnsi="Times New Roman"/>
                <w:kern w:val="0"/>
                <w:szCs w:val="21"/>
              </w:rPr>
            </w:pPr>
            <w:r>
              <w:rPr>
                <w:rFonts w:hint="eastAsia" w:ascii="Times New Roman" w:hAnsi="Times New Roman"/>
                <w:kern w:val="0"/>
                <w:szCs w:val="21"/>
              </w:rPr>
              <w:t>b.不同投标人的投标文件的实质性内容存在两处以上细节错误一致；</w:t>
            </w:r>
          </w:p>
          <w:p>
            <w:pPr>
              <w:spacing w:line="300" w:lineRule="exact"/>
              <w:ind w:left="105" w:leftChars="50" w:right="105" w:rightChars="50" w:firstLine="210" w:firstLineChars="100"/>
              <w:rPr>
                <w:rFonts w:hint="eastAsia" w:ascii="Times New Roman" w:hAnsi="Times New Roman"/>
                <w:kern w:val="0"/>
                <w:szCs w:val="21"/>
              </w:rPr>
            </w:pPr>
            <w:r>
              <w:rPr>
                <w:rFonts w:hint="eastAsia" w:ascii="Times New Roman" w:hAnsi="Times New Roman"/>
                <w:kern w:val="0"/>
                <w:szCs w:val="21"/>
              </w:rPr>
              <w:t>c.电子投标文件记录的MAC地址、硬盘序列号等硬件信息出现任一相同情况，包含不同投标人在不同批次投标活动中信息相同情况；</w:t>
            </w:r>
          </w:p>
          <w:p>
            <w:pPr>
              <w:tabs>
                <w:tab w:val="left" w:pos="0"/>
                <w:tab w:val="left" w:pos="879"/>
              </w:tabs>
              <w:snapToGrid w:val="0"/>
              <w:spacing w:line="300" w:lineRule="exact"/>
              <w:ind w:left="28" w:firstLine="142"/>
              <w:jc w:val="left"/>
              <w:rPr>
                <w:rFonts w:hint="eastAsia"/>
              </w:rPr>
            </w:pPr>
            <w:r>
              <w:rPr>
                <w:rFonts w:hint="eastAsia" w:ascii="Times New Roman" w:hAnsi="Times New Roman"/>
                <w:kern w:val="0"/>
                <w:szCs w:val="21"/>
              </w:rPr>
              <w:t>d.投标文件的制作、记录上传IP地址，投标人购买招标文件IP地址等信息出现任一相同情况。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1" w:hRule="atLeast"/>
          <w:jc w:val="center"/>
        </w:trPr>
        <w:tc>
          <w:tcPr>
            <w:tcW w:w="0" w:type="auto"/>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Cs w:val="21"/>
              </w:rPr>
            </w:pPr>
            <w:r>
              <w:rPr>
                <w:rFonts w:hint="eastAsia" w:ascii="宋体" w:hAnsi="宋体" w:cs="宋体"/>
                <w:szCs w:val="21"/>
              </w:rPr>
              <w:t>2.1.2</w:t>
            </w:r>
          </w:p>
        </w:tc>
        <w:tc>
          <w:tcPr>
            <w:tcW w:w="927" w:type="dxa"/>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Cs w:val="21"/>
              </w:rPr>
            </w:pPr>
            <w:r>
              <w:rPr>
                <w:rFonts w:hint="eastAsia" w:ascii="宋体" w:hAnsi="宋体" w:cs="宋体"/>
                <w:szCs w:val="21"/>
              </w:rPr>
              <w:t>资格评审标准</w:t>
            </w:r>
          </w:p>
        </w:tc>
        <w:tc>
          <w:tcPr>
            <w:tcW w:w="7105" w:type="dxa"/>
            <w:tcBorders>
              <w:top w:val="single" w:color="auto" w:sz="4" w:space="0"/>
              <w:left w:val="single" w:color="auto" w:sz="4" w:space="0"/>
              <w:bottom w:val="single" w:color="auto" w:sz="4" w:space="0"/>
            </w:tcBorders>
            <w:noWrap w:val="0"/>
            <w:vAlign w:val="center"/>
          </w:tcPr>
          <w:p>
            <w:pPr>
              <w:tabs>
                <w:tab w:val="left" w:pos="0"/>
                <w:tab w:val="left" w:pos="879"/>
              </w:tabs>
              <w:adjustRightInd w:val="0"/>
              <w:snapToGrid w:val="0"/>
              <w:spacing w:line="300" w:lineRule="exact"/>
              <w:ind w:left="28" w:firstLine="142"/>
              <w:rPr>
                <w:rFonts w:hint="eastAsia" w:ascii="宋体" w:hAnsi="宋体" w:cs="宋体"/>
              </w:rPr>
            </w:pPr>
            <w:r>
              <w:rPr>
                <w:rFonts w:hint="eastAsia" w:ascii="宋体" w:hAnsi="宋体" w:cs="宋体"/>
              </w:rPr>
              <w:t>（1）投标人具备有效的营业执照或事业单位法人证书、资质证书、和基本账户开户许可证（或基本账户存款信息）；</w:t>
            </w:r>
          </w:p>
          <w:p>
            <w:pPr>
              <w:tabs>
                <w:tab w:val="left" w:pos="0"/>
                <w:tab w:val="left" w:pos="879"/>
              </w:tabs>
              <w:adjustRightInd w:val="0"/>
              <w:snapToGrid w:val="0"/>
              <w:spacing w:line="300" w:lineRule="exact"/>
              <w:ind w:left="28" w:firstLine="142"/>
              <w:rPr>
                <w:rFonts w:hint="eastAsia" w:ascii="宋体" w:hAnsi="宋体" w:cs="宋体"/>
              </w:rPr>
            </w:pPr>
            <w:r>
              <w:rPr>
                <w:rFonts w:hint="eastAsia" w:ascii="宋体" w:hAnsi="宋体" w:cs="宋体"/>
              </w:rPr>
              <w:t>（2）投标人的资质等级符合投标人须知附录1要求；</w:t>
            </w:r>
          </w:p>
          <w:p>
            <w:pPr>
              <w:tabs>
                <w:tab w:val="left" w:pos="0"/>
                <w:tab w:val="left" w:pos="879"/>
              </w:tabs>
              <w:adjustRightInd w:val="0"/>
              <w:snapToGrid w:val="0"/>
              <w:spacing w:line="300" w:lineRule="exact"/>
              <w:ind w:left="28" w:firstLine="142"/>
              <w:rPr>
                <w:rFonts w:hint="eastAsia" w:ascii="宋体" w:hAnsi="宋体" w:cs="宋体"/>
              </w:rPr>
            </w:pPr>
            <w:r>
              <w:rPr>
                <w:rFonts w:hint="eastAsia" w:ascii="宋体" w:hAnsi="宋体" w:cs="宋体"/>
              </w:rPr>
              <w:t>（3）投标人的类似项目业绩符合投标人须知附录2要求；</w:t>
            </w:r>
          </w:p>
          <w:p>
            <w:pPr>
              <w:tabs>
                <w:tab w:val="left" w:pos="0"/>
                <w:tab w:val="left" w:pos="879"/>
              </w:tabs>
              <w:adjustRightInd w:val="0"/>
              <w:snapToGrid w:val="0"/>
              <w:spacing w:line="300" w:lineRule="exact"/>
              <w:ind w:left="28" w:firstLine="142"/>
              <w:rPr>
                <w:rFonts w:hint="eastAsia" w:ascii="宋体" w:hAnsi="宋体" w:cs="宋体"/>
              </w:rPr>
            </w:pPr>
            <w:r>
              <w:rPr>
                <w:rFonts w:hint="eastAsia" w:ascii="宋体" w:hAnsi="宋体" w:cs="宋体"/>
              </w:rPr>
              <w:t>（4）投标人的信誉符合投标人须知中附录3要求；</w:t>
            </w:r>
          </w:p>
          <w:p>
            <w:pPr>
              <w:tabs>
                <w:tab w:val="left" w:pos="0"/>
                <w:tab w:val="left" w:pos="879"/>
              </w:tabs>
              <w:adjustRightInd w:val="0"/>
              <w:snapToGrid w:val="0"/>
              <w:spacing w:line="300" w:lineRule="exact"/>
              <w:ind w:left="28" w:firstLine="142"/>
              <w:rPr>
                <w:rFonts w:hint="eastAsia" w:ascii="宋体" w:hAnsi="宋体" w:cs="宋体"/>
              </w:rPr>
            </w:pPr>
            <w:r>
              <w:rPr>
                <w:rFonts w:hint="eastAsia" w:ascii="宋体" w:hAnsi="宋体" w:cs="宋体"/>
              </w:rPr>
              <w:t>（5）投标人的主要人员符合投标人须知附录4要求；</w:t>
            </w:r>
          </w:p>
          <w:p>
            <w:pPr>
              <w:tabs>
                <w:tab w:val="left" w:pos="0"/>
                <w:tab w:val="left" w:pos="879"/>
              </w:tabs>
              <w:adjustRightInd w:val="0"/>
              <w:snapToGrid w:val="0"/>
              <w:spacing w:line="300" w:lineRule="exact"/>
              <w:ind w:left="28" w:firstLine="142"/>
              <w:rPr>
                <w:rFonts w:hint="eastAsia" w:ascii="宋体" w:hAnsi="宋体" w:cs="宋体"/>
              </w:rPr>
            </w:pPr>
            <w:r>
              <w:rPr>
                <w:rFonts w:hint="eastAsia" w:ascii="宋体" w:hAnsi="宋体" w:cs="宋体"/>
              </w:rPr>
              <w:t>（6）投标人不存在第二章“投标人须知”第1.4.3项规定的任何一种情形。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0" w:type="auto"/>
            <w:tcBorders>
              <w:top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szCs w:val="21"/>
              </w:rPr>
            </w:pPr>
            <w:r>
              <w:rPr>
                <w:rFonts w:hint="eastAsia" w:ascii="宋体" w:hAnsi="宋体" w:cs="宋体"/>
                <w:szCs w:val="21"/>
              </w:rPr>
              <w:t>2.1.1</w:t>
            </w:r>
          </w:p>
          <w:p>
            <w:pPr>
              <w:adjustRightInd w:val="0"/>
              <w:snapToGrid w:val="0"/>
              <w:jc w:val="center"/>
              <w:rPr>
                <w:rFonts w:hint="eastAsia" w:ascii="宋体" w:hAnsi="宋体" w:cs="宋体"/>
                <w:szCs w:val="21"/>
              </w:rPr>
            </w:pPr>
            <w:r>
              <w:rPr>
                <w:rFonts w:hint="eastAsia" w:ascii="宋体" w:hAnsi="宋体" w:cs="宋体"/>
                <w:szCs w:val="21"/>
              </w:rPr>
              <w:t>2.1.3</w:t>
            </w:r>
          </w:p>
        </w:tc>
        <w:tc>
          <w:tcPr>
            <w:tcW w:w="927" w:type="dxa"/>
            <w:tcBorders>
              <w:top w:val="single" w:color="auto" w:sz="4" w:space="0"/>
              <w:bottom w:val="single" w:color="auto" w:sz="4" w:space="0"/>
              <w:right w:val="single" w:color="auto" w:sz="4" w:space="0"/>
            </w:tcBorders>
            <w:noWrap w:val="0"/>
            <w:vAlign w:val="center"/>
          </w:tcPr>
          <w:p>
            <w:pPr>
              <w:adjustRightInd w:val="0"/>
              <w:snapToGrid w:val="0"/>
              <w:spacing w:line="300" w:lineRule="exact"/>
              <w:jc w:val="center"/>
              <w:rPr>
                <w:rFonts w:hint="eastAsia" w:ascii="宋体" w:hAnsi="宋体" w:cs="宋体"/>
                <w:szCs w:val="21"/>
              </w:rPr>
            </w:pPr>
            <w:r>
              <w:rPr>
                <w:rFonts w:hint="eastAsia" w:ascii="宋体" w:hAnsi="宋体" w:cs="宋体"/>
                <w:szCs w:val="21"/>
              </w:rPr>
              <w:t>形式评审与响应性评审标准（第二个信封）</w:t>
            </w:r>
          </w:p>
        </w:tc>
        <w:tc>
          <w:tcPr>
            <w:tcW w:w="7105" w:type="dxa"/>
            <w:tcBorders>
              <w:top w:val="single" w:color="auto" w:sz="4" w:space="0"/>
              <w:left w:val="single" w:color="auto" w:sz="4" w:space="0"/>
              <w:bottom w:val="single" w:color="auto" w:sz="4" w:space="0"/>
            </w:tcBorders>
            <w:noWrap w:val="0"/>
            <w:vAlign w:val="center"/>
          </w:tcPr>
          <w:p>
            <w:pPr>
              <w:tabs>
                <w:tab w:val="left" w:pos="0"/>
                <w:tab w:val="left" w:pos="879"/>
              </w:tabs>
              <w:adjustRightInd w:val="0"/>
              <w:snapToGrid w:val="0"/>
              <w:spacing w:line="300" w:lineRule="exact"/>
              <w:ind w:left="28" w:firstLine="142"/>
              <w:rPr>
                <w:rFonts w:hint="eastAsia"/>
              </w:rPr>
            </w:pPr>
            <w:r>
              <w:rPr>
                <w:rFonts w:hint="eastAsia"/>
              </w:rPr>
              <w:t>（1）投标文件按照招标文件规定的格式、内容填写，字迹清晰可辨；</w:t>
            </w:r>
          </w:p>
          <w:p>
            <w:pPr>
              <w:tabs>
                <w:tab w:val="left" w:pos="0"/>
                <w:tab w:val="left" w:pos="879"/>
              </w:tabs>
              <w:adjustRightInd w:val="0"/>
              <w:snapToGrid w:val="0"/>
              <w:spacing w:line="300" w:lineRule="exact"/>
              <w:ind w:left="28" w:firstLine="142"/>
              <w:rPr>
                <w:rFonts w:hint="eastAsia"/>
              </w:rPr>
            </w:pPr>
            <w:r>
              <w:rPr>
                <w:rFonts w:hint="eastAsia"/>
              </w:rPr>
              <w:t>a.投标函按招标文件规定填报了项目名称、标段号、补遗书编号（如有、投标价（包括大写金额和小写金额）；</w:t>
            </w:r>
          </w:p>
          <w:p>
            <w:pPr>
              <w:tabs>
                <w:tab w:val="left" w:pos="0"/>
                <w:tab w:val="left" w:pos="879"/>
              </w:tabs>
              <w:adjustRightInd w:val="0"/>
              <w:snapToGrid w:val="0"/>
              <w:spacing w:line="300" w:lineRule="exact"/>
              <w:ind w:left="28" w:firstLine="142"/>
              <w:rPr>
                <w:rFonts w:hint="eastAsia"/>
              </w:rPr>
            </w:pPr>
            <w:r>
              <w:rPr>
                <w:rFonts w:hint="eastAsia"/>
              </w:rPr>
              <w:t>b.投标文件中未出现“投标人须知 第5.2.4款”规定的任一种情况；</w:t>
            </w:r>
          </w:p>
          <w:p>
            <w:pPr>
              <w:tabs>
                <w:tab w:val="left" w:pos="0"/>
                <w:tab w:val="left" w:pos="879"/>
              </w:tabs>
              <w:adjustRightInd w:val="0"/>
              <w:snapToGrid w:val="0"/>
              <w:spacing w:line="300" w:lineRule="exact"/>
              <w:ind w:left="28" w:firstLine="142"/>
              <w:rPr>
                <w:rFonts w:hint="eastAsia"/>
              </w:rPr>
            </w:pPr>
            <w:r>
              <w:rPr>
                <w:rFonts w:hint="eastAsia"/>
              </w:rPr>
              <w:t>c.投标文件组成齐全完整，内容均按规定填写。</w:t>
            </w:r>
          </w:p>
          <w:p>
            <w:pPr>
              <w:tabs>
                <w:tab w:val="left" w:pos="0"/>
                <w:tab w:val="left" w:pos="879"/>
              </w:tabs>
              <w:adjustRightInd w:val="0"/>
              <w:snapToGrid w:val="0"/>
              <w:spacing w:line="300" w:lineRule="exact"/>
              <w:ind w:left="28" w:firstLine="142"/>
              <w:rPr>
                <w:rFonts w:hint="eastAsia"/>
              </w:rPr>
            </w:pPr>
            <w:r>
              <w:rPr>
                <w:rFonts w:hint="eastAsia"/>
              </w:rPr>
              <w:t>（2）投标文件上法定代表人电子签名、投标人的单位电子签章齐全，符合招标文件规定。</w:t>
            </w:r>
          </w:p>
          <w:p>
            <w:pPr>
              <w:tabs>
                <w:tab w:val="left" w:pos="0"/>
                <w:tab w:val="left" w:pos="879"/>
              </w:tabs>
              <w:adjustRightInd w:val="0"/>
              <w:snapToGrid w:val="0"/>
              <w:spacing w:line="300" w:lineRule="exact"/>
              <w:ind w:left="28" w:firstLine="142"/>
              <w:rPr>
                <w:rFonts w:hint="eastAsia"/>
              </w:rPr>
            </w:pPr>
            <w:r>
              <w:rPr>
                <w:rFonts w:hint="eastAsia"/>
              </w:rPr>
              <w:t>（3）投标报价中的报价未超过招标文件设定的最高投标限价。</w:t>
            </w:r>
          </w:p>
          <w:p>
            <w:pPr>
              <w:tabs>
                <w:tab w:val="left" w:pos="0"/>
                <w:tab w:val="left" w:pos="879"/>
              </w:tabs>
              <w:adjustRightInd w:val="0"/>
              <w:snapToGrid w:val="0"/>
              <w:spacing w:line="300" w:lineRule="exact"/>
              <w:ind w:left="28" w:firstLine="142"/>
              <w:rPr>
                <w:rFonts w:hint="eastAsia"/>
              </w:rPr>
            </w:pPr>
            <w:r>
              <w:rPr>
                <w:rFonts w:hint="eastAsia"/>
              </w:rPr>
              <w:t>（4）投标报价中报价的大写金额能够确定具体数值。</w:t>
            </w:r>
          </w:p>
          <w:p>
            <w:pPr>
              <w:tabs>
                <w:tab w:val="left" w:pos="0"/>
                <w:tab w:val="left" w:pos="879"/>
              </w:tabs>
              <w:adjustRightInd w:val="0"/>
              <w:snapToGrid w:val="0"/>
              <w:spacing w:line="300" w:lineRule="exact"/>
              <w:ind w:left="28" w:firstLine="142"/>
              <w:rPr>
                <w:rFonts w:hint="eastAsia"/>
              </w:rPr>
            </w:pPr>
            <w:r>
              <w:rPr>
                <w:rFonts w:hint="eastAsia"/>
              </w:rPr>
              <w:t>（5）同一投标人未提交两个以上不同的投标报价，但招标文件要求提交备选投标的除外。</w:t>
            </w:r>
          </w:p>
          <w:p>
            <w:pPr>
              <w:tabs>
                <w:tab w:val="left" w:pos="0"/>
                <w:tab w:val="left" w:pos="879"/>
              </w:tabs>
              <w:adjustRightInd w:val="0"/>
              <w:snapToGrid w:val="0"/>
              <w:spacing w:line="300" w:lineRule="exact"/>
              <w:ind w:left="28" w:firstLine="142"/>
              <w:rPr>
                <w:rFonts w:hint="eastAsia"/>
              </w:rPr>
            </w:pPr>
            <w:r>
              <w:rPr>
                <w:rFonts w:hint="eastAsia"/>
              </w:rPr>
              <w:t>（6）不同投标人间投标人未存在下列情形：</w:t>
            </w:r>
          </w:p>
          <w:p>
            <w:pPr>
              <w:tabs>
                <w:tab w:val="left" w:pos="0"/>
                <w:tab w:val="left" w:pos="879"/>
              </w:tabs>
              <w:adjustRightInd w:val="0"/>
              <w:snapToGrid w:val="0"/>
              <w:spacing w:line="300" w:lineRule="exact"/>
              <w:ind w:left="28" w:firstLine="142"/>
              <w:rPr>
                <w:rFonts w:hint="eastAsia"/>
              </w:rPr>
            </w:pPr>
            <w:r>
              <w:rPr>
                <w:rFonts w:hint="eastAsia"/>
              </w:rPr>
              <w:t>a.不同投标人的投标文件由同一电子设备编制、打印加密或者上传；</w:t>
            </w:r>
          </w:p>
          <w:p>
            <w:pPr>
              <w:tabs>
                <w:tab w:val="left" w:pos="0"/>
                <w:tab w:val="left" w:pos="879"/>
              </w:tabs>
              <w:adjustRightInd w:val="0"/>
              <w:snapToGrid w:val="0"/>
              <w:spacing w:line="300" w:lineRule="exact"/>
              <w:ind w:left="28" w:firstLine="142"/>
              <w:rPr>
                <w:rFonts w:hint="eastAsia"/>
              </w:rPr>
            </w:pPr>
            <w:r>
              <w:rPr>
                <w:rFonts w:hint="eastAsia"/>
              </w:rPr>
              <w:t>b.不同投标人的投标文件的实质性内容存在两处以上细节错误一致；</w:t>
            </w:r>
          </w:p>
          <w:p>
            <w:pPr>
              <w:tabs>
                <w:tab w:val="left" w:pos="0"/>
                <w:tab w:val="left" w:pos="879"/>
              </w:tabs>
              <w:adjustRightInd w:val="0"/>
              <w:snapToGrid w:val="0"/>
              <w:spacing w:line="300" w:lineRule="exact"/>
              <w:ind w:left="28" w:firstLine="142"/>
              <w:rPr>
                <w:rFonts w:hint="eastAsia"/>
              </w:rPr>
            </w:pPr>
            <w:r>
              <w:rPr>
                <w:rFonts w:hint="eastAsia"/>
              </w:rPr>
              <w:t>c.电子投标文件记录的MAC地址、硬盘序列号等硬件信息出现任一相同情况，包含不同投标人在不同批次投标活动中信息相同情况；</w:t>
            </w:r>
          </w:p>
          <w:p>
            <w:pPr>
              <w:tabs>
                <w:tab w:val="left" w:pos="0"/>
                <w:tab w:val="left" w:pos="879"/>
              </w:tabs>
              <w:adjustRightInd w:val="0"/>
              <w:snapToGrid w:val="0"/>
              <w:spacing w:line="300" w:lineRule="exact"/>
              <w:ind w:left="28" w:firstLine="142"/>
              <w:rPr>
                <w:rFonts w:hint="eastAsia"/>
              </w:rPr>
            </w:pPr>
            <w:r>
              <w:rPr>
                <w:rFonts w:hint="eastAsia"/>
              </w:rPr>
              <w:t>d.投标文件的制作、记录上传IP地址，投标人购买招标文件IP地址等信息出现任一相同情况。</w:t>
            </w:r>
          </w:p>
          <w:p>
            <w:pPr>
              <w:tabs>
                <w:tab w:val="left" w:pos="0"/>
                <w:tab w:val="left" w:pos="879"/>
              </w:tabs>
              <w:adjustRightInd w:val="0"/>
              <w:snapToGrid w:val="0"/>
              <w:spacing w:line="300" w:lineRule="exact"/>
              <w:ind w:left="28" w:firstLine="142"/>
              <w:rPr>
                <w:rFonts w:hint="eastAsia"/>
              </w:rPr>
            </w:pPr>
            <w:r>
              <w:rPr>
                <w:rFonts w:hint="eastAsia"/>
              </w:rPr>
              <w:t>（7）投标文件未附有招标人不能接受的条件。</w:t>
            </w:r>
          </w:p>
        </w:tc>
      </w:tr>
    </w:tbl>
    <w:p>
      <w:pPr>
        <w:widowControl/>
        <w:jc w:val="left"/>
        <w:rPr>
          <w:rFonts w:hint="eastAsia" w:ascii="宋体" w:hAnsi="宋体" w:cs="宋体"/>
        </w:rPr>
      </w:pPr>
    </w:p>
    <w:p>
      <w:pPr>
        <w:rPr>
          <w:rFonts w:hint="eastAsia" w:ascii="宋体" w:hAnsi="宋体" w:cs="宋体"/>
        </w:rPr>
      </w:pPr>
    </w:p>
    <w:p>
      <w:pPr>
        <w:pStyle w:val="2"/>
        <w:rPr>
          <w:rFonts w:hint="eastAsia" w:ascii="宋体" w:hAnsi="宋体" w:cs="宋体"/>
        </w:rPr>
      </w:pPr>
    </w:p>
    <w:p>
      <w:pPr>
        <w:rPr>
          <w:rFonts w:hint="eastAsia" w:ascii="宋体" w:hAnsi="宋体" w:cs="宋体"/>
        </w:rPr>
      </w:pPr>
    </w:p>
    <w:p>
      <w:pPr>
        <w:pStyle w:val="2"/>
        <w:rPr>
          <w:rFonts w:hint="eastAsia"/>
        </w:rPr>
      </w:pPr>
    </w:p>
    <w:p>
      <w:pPr>
        <w:rPr>
          <w:rFonts w:hint="eastAsia"/>
        </w:rPr>
      </w:pPr>
      <w:bookmarkStart w:id="9" w:name="_GoBack"/>
      <w:bookmarkEnd w:id="9"/>
    </w:p>
    <w:tbl>
      <w:tblPr>
        <w:tblStyle w:val="1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35"/>
        <w:gridCol w:w="1110"/>
        <w:gridCol w:w="67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5" w:type="dxa"/>
            <w:tcBorders>
              <w:top w:val="single" w:color="auto" w:sz="4" w:space="0"/>
              <w:right w:val="single" w:color="auto" w:sz="4" w:space="0"/>
            </w:tcBorders>
            <w:noWrap w:val="0"/>
            <w:vAlign w:val="center"/>
          </w:tcPr>
          <w:p>
            <w:pPr>
              <w:adjustRightInd w:val="0"/>
              <w:spacing w:line="300" w:lineRule="exact"/>
              <w:jc w:val="center"/>
              <w:rPr>
                <w:rFonts w:hint="eastAsia" w:ascii="宋体" w:hAnsi="宋体" w:cs="宋体"/>
                <w:szCs w:val="21"/>
              </w:rPr>
            </w:pPr>
            <w:r>
              <w:rPr>
                <w:rFonts w:hint="eastAsia" w:ascii="宋体" w:hAnsi="宋体" w:cs="宋体"/>
                <w:szCs w:val="21"/>
              </w:rPr>
              <w:t>2.2.1</w:t>
            </w:r>
          </w:p>
        </w:tc>
        <w:tc>
          <w:tcPr>
            <w:tcW w:w="1110" w:type="dxa"/>
            <w:tcBorders>
              <w:top w:val="single" w:color="auto" w:sz="4" w:space="0"/>
              <w:right w:val="single" w:color="auto" w:sz="4" w:space="0"/>
            </w:tcBorders>
            <w:noWrap w:val="0"/>
            <w:vAlign w:val="center"/>
          </w:tcPr>
          <w:p>
            <w:pPr>
              <w:adjustRightInd w:val="0"/>
              <w:spacing w:line="300" w:lineRule="exact"/>
              <w:jc w:val="center"/>
              <w:rPr>
                <w:rFonts w:hint="eastAsia" w:ascii="宋体" w:hAnsi="宋体" w:cs="宋体"/>
                <w:szCs w:val="21"/>
              </w:rPr>
            </w:pPr>
            <w:r>
              <w:rPr>
                <w:rFonts w:hint="eastAsia" w:ascii="宋体" w:hAnsi="宋体" w:cs="宋体"/>
                <w:szCs w:val="21"/>
              </w:rPr>
              <w:t>分值构成</w:t>
            </w:r>
          </w:p>
        </w:tc>
        <w:tc>
          <w:tcPr>
            <w:tcW w:w="6736" w:type="dxa"/>
            <w:tcBorders>
              <w:top w:val="single" w:color="auto" w:sz="4" w:space="0"/>
              <w:left w:val="single" w:color="auto" w:sz="4" w:space="0"/>
            </w:tcBorders>
            <w:noWrap w:val="0"/>
            <w:vAlign w:val="center"/>
          </w:tcPr>
          <w:p>
            <w:pPr>
              <w:tabs>
                <w:tab w:val="left" w:pos="0"/>
                <w:tab w:val="left" w:pos="879"/>
              </w:tabs>
              <w:adjustRightInd w:val="0"/>
              <w:spacing w:line="300" w:lineRule="exact"/>
              <w:ind w:left="29" w:firstLine="140"/>
              <w:rPr>
                <w:rFonts w:hint="eastAsia" w:ascii="宋体" w:hAnsi="宋体" w:cs="宋体"/>
                <w:szCs w:val="21"/>
              </w:rPr>
            </w:pPr>
            <w:r>
              <w:rPr>
                <w:rFonts w:hint="eastAsia" w:ascii="宋体" w:hAnsi="宋体" w:cs="宋体"/>
                <w:szCs w:val="21"/>
              </w:rPr>
              <w:t>评标价：100分</w:t>
            </w:r>
          </w:p>
          <w:p>
            <w:pPr>
              <w:tabs>
                <w:tab w:val="left" w:pos="0"/>
                <w:tab w:val="left" w:pos="879"/>
              </w:tabs>
              <w:adjustRightInd w:val="0"/>
              <w:spacing w:line="300" w:lineRule="exact"/>
              <w:ind w:left="29" w:firstLine="140"/>
              <w:rPr>
                <w:rFonts w:hint="eastAsia" w:ascii="宋体" w:hAnsi="宋体" w:cs="宋体"/>
                <w:szCs w:val="21"/>
              </w:rPr>
            </w:pPr>
            <w:r>
              <w:rPr>
                <w:rFonts w:hint="eastAsia" w:ascii="宋体" w:hAnsi="宋体" w:cs="宋体"/>
                <w:szCs w:val="21"/>
              </w:rPr>
              <w:t>信用得分：见2.2.4（2）款</w:t>
            </w:r>
          </w:p>
          <w:p>
            <w:pPr>
              <w:tabs>
                <w:tab w:val="left" w:pos="0"/>
                <w:tab w:val="left" w:pos="879"/>
              </w:tabs>
              <w:adjustRightInd w:val="0"/>
              <w:spacing w:line="300" w:lineRule="exact"/>
              <w:ind w:left="29" w:firstLine="140"/>
              <w:rPr>
                <w:rFonts w:hint="eastAsia" w:ascii="宋体" w:hAnsi="宋体" w:cs="宋体"/>
                <w:szCs w:val="21"/>
              </w:rPr>
            </w:pPr>
            <w:r>
              <w:rPr>
                <w:rFonts w:hint="eastAsia" w:ascii="宋体" w:hAnsi="宋体" w:cs="宋体"/>
                <w:szCs w:val="21"/>
              </w:rPr>
              <w:t>其他因素分值均为0分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5" w:type="dxa"/>
            <w:tcBorders>
              <w:top w:val="single" w:color="auto" w:sz="4" w:space="0"/>
              <w:right w:val="single" w:color="auto" w:sz="4" w:space="0"/>
            </w:tcBorders>
            <w:noWrap w:val="0"/>
            <w:vAlign w:val="center"/>
          </w:tcPr>
          <w:p>
            <w:pPr>
              <w:adjustRightInd w:val="0"/>
              <w:spacing w:line="300" w:lineRule="exact"/>
              <w:jc w:val="center"/>
              <w:rPr>
                <w:rFonts w:hint="eastAsia" w:ascii="宋体" w:hAnsi="宋体" w:cs="宋体"/>
                <w:szCs w:val="21"/>
              </w:rPr>
            </w:pPr>
            <w:r>
              <w:rPr>
                <w:rFonts w:hint="eastAsia" w:ascii="宋体" w:hAnsi="宋体" w:cs="宋体"/>
                <w:szCs w:val="21"/>
              </w:rPr>
              <w:t>2.2.2</w:t>
            </w:r>
          </w:p>
        </w:tc>
        <w:tc>
          <w:tcPr>
            <w:tcW w:w="1110" w:type="dxa"/>
            <w:tcBorders>
              <w:top w:val="single" w:color="auto" w:sz="4" w:space="0"/>
              <w:right w:val="single" w:color="auto" w:sz="4" w:space="0"/>
            </w:tcBorders>
            <w:noWrap w:val="0"/>
            <w:vAlign w:val="center"/>
          </w:tcPr>
          <w:p>
            <w:pPr>
              <w:adjustRightInd w:val="0"/>
              <w:spacing w:line="300" w:lineRule="exact"/>
              <w:jc w:val="center"/>
              <w:rPr>
                <w:rFonts w:hint="eastAsia" w:ascii="宋体" w:hAnsi="宋体" w:cs="宋体"/>
                <w:szCs w:val="21"/>
              </w:rPr>
            </w:pPr>
            <w:r>
              <w:rPr>
                <w:rFonts w:hint="eastAsia" w:ascii="宋体" w:hAnsi="宋体" w:cs="宋体"/>
                <w:szCs w:val="21"/>
              </w:rPr>
              <w:t>评标基准价计算方法</w:t>
            </w:r>
          </w:p>
        </w:tc>
        <w:tc>
          <w:tcPr>
            <w:tcW w:w="6736" w:type="dxa"/>
            <w:tcBorders>
              <w:top w:val="single" w:color="auto" w:sz="4" w:space="0"/>
              <w:left w:val="single" w:color="auto" w:sz="4" w:space="0"/>
            </w:tcBorders>
            <w:noWrap w:val="0"/>
            <w:vAlign w:val="center"/>
          </w:tcPr>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评标基准价的计算：</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（1）评标价的确定：</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评标价＝投标报价函文字报价</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未按照招标文件规定提交保证金和出现第二章“投标人须知”第5.2.4项所规定情况的投标文件，其投标报价不参与任何计算。</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（2）确定最终最高投标限价G2</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第一个信封开标时随机抽取最高投标限价的下浮系数X1。</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（X1为0.5%（含）～3％（含）中，按照步长0.5％取值，随机从中抽取一个）。</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最终最高投标限价G2=G1×（1-X1）</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G1=各标段最高投标限价。</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如投标人评标价高于本标段的G2，则视其为超出招标人的支付能力，将不再参与后续任何计算，按投标无效处理。</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（3）确定理论成本价LC</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同一标段中不高于G2的评标价的算术平均值的50%与G2的50%相加后，乘以成本价系数Z所得数值为该标段的理论成本价。</w:t>
            </w:r>
          </w:p>
          <w:p>
            <w:pPr>
              <w:tabs>
                <w:tab w:val="left" w:pos="0"/>
                <w:tab w:val="left" w:pos="879"/>
              </w:tabs>
              <w:adjustRightInd w:val="0"/>
              <w:spacing w:line="280" w:lineRule="exact"/>
              <w:ind w:left="28" w:firstLine="142"/>
              <w:rPr>
                <w:rFonts w:hint="eastAsia" w:ascii="宋体" w:hAnsi="宋体" w:cs="宋体"/>
                <w:szCs w:val="21"/>
                <w:lang w:val="pl-PL"/>
              </w:rPr>
            </w:pPr>
            <w:r>
              <w:rPr>
                <w:rFonts w:hint="eastAsia" w:ascii="宋体" w:hAnsi="宋体" w:cs="宋体"/>
                <w:szCs w:val="21"/>
                <w:lang w:val="pl-PL"/>
              </w:rPr>
              <w:t>LC=（0.5×G2+0.5×SP1）×0.85</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SP1——该标段不高于G2的评标价的算术平均值，当评标价有5个及以上时，应去掉其中的最高值和最低值，再进行算术平均值计算。</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评标价低于理论成本价的，不再参与后续计算。</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（4）确定评标基准价JZ</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评标基准价计算采用以下方法：</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评标基准价＝［最终最高投标限价×加权系数＋有效评标价算术平均值×（1-加权系数）］×评标基准价系数</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式中：加权系数应从0.3、0.35、0.4中选取，评标基准价系数应从0.96～0.99（含0.96和0.99，步长0.01）中选取，均由投标人代表或现场监督在开标时随机抽取确定。</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有效评标价指介于理论成本价（含）与最终最高投标限价（含）范围内的评标价。当有效评标价数量大于5时，应去掉其中的最高和最低值，再进行有效评标价算术平均值计算。</w:t>
            </w:r>
          </w:p>
          <w:p>
            <w:pPr>
              <w:tabs>
                <w:tab w:val="left" w:pos="0"/>
                <w:tab w:val="left" w:pos="879"/>
              </w:tabs>
              <w:adjustRightInd w:val="0"/>
              <w:spacing w:line="280" w:lineRule="exact"/>
              <w:ind w:left="28" w:firstLine="142"/>
              <w:rPr>
                <w:rFonts w:hint="eastAsia" w:ascii="宋体" w:hAnsi="宋体" w:cs="宋体"/>
                <w:szCs w:val="21"/>
              </w:rPr>
            </w:pPr>
            <w:r>
              <w:rPr>
                <w:rFonts w:hint="eastAsia" w:ascii="宋体" w:hAnsi="宋体" w:cs="宋体"/>
                <w:szCs w:val="21"/>
              </w:rPr>
              <w:t>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8" w:hRule="atLeast"/>
          <w:jc w:val="center"/>
        </w:trPr>
        <w:tc>
          <w:tcPr>
            <w:tcW w:w="935" w:type="dxa"/>
            <w:tcBorders>
              <w:top w:val="single" w:color="auto" w:sz="4" w:space="0"/>
              <w:bottom w:val="single" w:color="auto" w:sz="4" w:space="0"/>
              <w:right w:val="single" w:color="auto" w:sz="4" w:space="0"/>
            </w:tcBorders>
            <w:noWrap w:val="0"/>
            <w:vAlign w:val="center"/>
          </w:tcPr>
          <w:p>
            <w:pPr>
              <w:adjustRightInd w:val="0"/>
              <w:spacing w:line="300" w:lineRule="exact"/>
              <w:jc w:val="center"/>
              <w:rPr>
                <w:rFonts w:hint="eastAsia" w:ascii="宋体" w:hAnsi="宋体" w:cs="宋体"/>
                <w:szCs w:val="21"/>
              </w:rPr>
            </w:pPr>
            <w:r>
              <w:rPr>
                <w:rFonts w:hint="eastAsia" w:ascii="宋体" w:hAnsi="宋体" w:cs="宋体"/>
                <w:szCs w:val="21"/>
              </w:rPr>
              <w:t>2.2.3</w:t>
            </w:r>
          </w:p>
        </w:tc>
        <w:tc>
          <w:tcPr>
            <w:tcW w:w="1110" w:type="dxa"/>
            <w:tcBorders>
              <w:top w:val="single" w:color="auto" w:sz="4" w:space="0"/>
              <w:bottom w:val="single" w:color="auto" w:sz="4" w:space="0"/>
              <w:right w:val="single" w:color="auto" w:sz="4" w:space="0"/>
            </w:tcBorders>
            <w:noWrap w:val="0"/>
            <w:vAlign w:val="center"/>
          </w:tcPr>
          <w:p>
            <w:pPr>
              <w:adjustRightInd w:val="0"/>
              <w:spacing w:line="300" w:lineRule="exact"/>
              <w:jc w:val="center"/>
              <w:rPr>
                <w:rFonts w:hint="eastAsia" w:ascii="宋体" w:hAnsi="宋体" w:cs="宋体"/>
                <w:szCs w:val="21"/>
              </w:rPr>
            </w:pPr>
            <w:r>
              <w:rPr>
                <w:rFonts w:hint="eastAsia" w:ascii="宋体" w:hAnsi="宋体" w:cs="宋体"/>
                <w:szCs w:val="21"/>
              </w:rPr>
              <w:t>评标价的偏差率计算公式</w:t>
            </w:r>
          </w:p>
        </w:tc>
        <w:tc>
          <w:tcPr>
            <w:tcW w:w="6736" w:type="dxa"/>
            <w:tcBorders>
              <w:top w:val="single" w:color="auto" w:sz="4" w:space="0"/>
              <w:left w:val="single" w:color="auto" w:sz="4" w:space="0"/>
              <w:bottom w:val="single" w:color="auto" w:sz="4" w:space="0"/>
            </w:tcBorders>
            <w:noWrap w:val="0"/>
            <w:vAlign w:val="center"/>
          </w:tcPr>
          <w:p>
            <w:pPr>
              <w:tabs>
                <w:tab w:val="left" w:pos="0"/>
                <w:tab w:val="left" w:pos="879"/>
              </w:tabs>
              <w:adjustRightInd w:val="0"/>
              <w:spacing w:line="300" w:lineRule="exact"/>
              <w:ind w:left="29" w:firstLine="140"/>
              <w:rPr>
                <w:rFonts w:hint="eastAsia" w:ascii="宋体" w:hAnsi="宋体" w:cs="宋体"/>
                <w:szCs w:val="21"/>
              </w:rPr>
            </w:pPr>
            <w:r>
              <w:rPr>
                <w:rFonts w:hint="eastAsia" w:ascii="宋体" w:hAnsi="宋体" w:cs="宋体"/>
                <w:szCs w:val="21"/>
              </w:rPr>
              <w:t>偏差率=100%×（投标人评标价－评标基准价）/评标基准价</w:t>
            </w:r>
          </w:p>
          <w:p>
            <w:pPr>
              <w:tabs>
                <w:tab w:val="left" w:pos="0"/>
                <w:tab w:val="left" w:pos="879"/>
              </w:tabs>
              <w:adjustRightInd w:val="0"/>
              <w:spacing w:line="300" w:lineRule="exact"/>
              <w:ind w:left="29" w:firstLine="140"/>
              <w:rPr>
                <w:rFonts w:hint="eastAsia" w:ascii="宋体" w:hAnsi="宋体" w:cs="宋体"/>
                <w:szCs w:val="21"/>
              </w:rPr>
            </w:pPr>
            <w:r>
              <w:rPr>
                <w:rFonts w:hint="eastAsia" w:ascii="宋体" w:hAnsi="宋体" w:cs="宋体"/>
                <w:szCs w:val="21"/>
              </w:rPr>
              <w:t>“（投标人评标价－评标基准价）/评标基准价”保留小数点后三位，小数点后第四位“四舍五入”。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5" w:type="dxa"/>
            <w:tcBorders>
              <w:top w:val="single" w:color="auto" w:sz="4" w:space="0"/>
              <w:bottom w:val="single" w:color="auto" w:sz="4" w:space="0"/>
              <w:right w:val="single" w:color="auto" w:sz="4" w:space="0"/>
            </w:tcBorders>
            <w:noWrap w:val="0"/>
            <w:vAlign w:val="center"/>
          </w:tcPr>
          <w:p>
            <w:pPr>
              <w:adjustRightInd w:val="0"/>
              <w:spacing w:line="300" w:lineRule="exact"/>
              <w:jc w:val="center"/>
              <w:rPr>
                <w:rFonts w:hint="eastAsia" w:ascii="宋体" w:hAnsi="宋体" w:cs="宋体"/>
                <w:szCs w:val="21"/>
              </w:rPr>
            </w:pPr>
            <w:r>
              <w:rPr>
                <w:rFonts w:hint="eastAsia" w:ascii="宋体" w:hAnsi="宋体" w:cs="宋体"/>
                <w:szCs w:val="21"/>
              </w:rPr>
              <w:t>2.2.4（1）</w:t>
            </w:r>
          </w:p>
        </w:tc>
        <w:tc>
          <w:tcPr>
            <w:tcW w:w="1110" w:type="dxa"/>
            <w:tcBorders>
              <w:top w:val="single" w:color="auto" w:sz="4" w:space="0"/>
              <w:bottom w:val="single" w:color="auto" w:sz="4" w:space="0"/>
              <w:right w:val="single" w:color="auto" w:sz="4" w:space="0"/>
            </w:tcBorders>
            <w:noWrap w:val="0"/>
            <w:vAlign w:val="center"/>
          </w:tcPr>
          <w:p>
            <w:pPr>
              <w:adjustRightInd w:val="0"/>
              <w:spacing w:line="300" w:lineRule="exact"/>
              <w:jc w:val="center"/>
              <w:rPr>
                <w:rFonts w:hint="eastAsia" w:ascii="宋体" w:hAnsi="宋体" w:cs="宋体"/>
                <w:szCs w:val="21"/>
              </w:rPr>
            </w:pPr>
            <w:r>
              <w:rPr>
                <w:rFonts w:hint="eastAsia" w:ascii="宋体" w:hAnsi="宋体" w:cs="宋体"/>
                <w:szCs w:val="21"/>
              </w:rPr>
              <w:t>评标价</w:t>
            </w:r>
          </w:p>
          <w:p>
            <w:pPr>
              <w:adjustRightInd w:val="0"/>
              <w:spacing w:line="300" w:lineRule="exact"/>
              <w:jc w:val="center"/>
              <w:rPr>
                <w:rFonts w:hint="eastAsia" w:ascii="宋体" w:hAnsi="宋体" w:cs="宋体"/>
                <w:szCs w:val="21"/>
              </w:rPr>
            </w:pPr>
            <w:r>
              <w:rPr>
                <w:rFonts w:hint="eastAsia" w:ascii="宋体" w:hAnsi="宋体" w:cs="宋体"/>
                <w:szCs w:val="21"/>
              </w:rPr>
              <w:t>得分</w:t>
            </w:r>
          </w:p>
        </w:tc>
        <w:tc>
          <w:tcPr>
            <w:tcW w:w="6736" w:type="dxa"/>
            <w:tcBorders>
              <w:top w:val="single" w:color="auto" w:sz="4" w:space="0"/>
              <w:left w:val="single" w:color="auto" w:sz="4" w:space="0"/>
              <w:bottom w:val="single" w:color="auto" w:sz="4" w:space="0"/>
            </w:tcBorders>
            <w:noWrap w:val="0"/>
            <w:vAlign w:val="center"/>
          </w:tcPr>
          <w:p>
            <w:pPr>
              <w:tabs>
                <w:tab w:val="left" w:pos="0"/>
                <w:tab w:val="left" w:pos="879"/>
              </w:tabs>
              <w:adjustRightInd w:val="0"/>
              <w:spacing w:line="300" w:lineRule="exact"/>
              <w:ind w:left="29" w:firstLine="140"/>
              <w:rPr>
                <w:rFonts w:hint="eastAsia" w:ascii="宋体" w:hAnsi="宋体" w:cs="宋体"/>
                <w:szCs w:val="21"/>
              </w:rPr>
            </w:pPr>
            <w:r>
              <w:rPr>
                <w:rFonts w:hint="eastAsia" w:ascii="宋体" w:hAnsi="宋体" w:cs="宋体"/>
                <w:szCs w:val="21"/>
              </w:rPr>
              <w:t>评标价得分计算（满分100 分）：</w:t>
            </w:r>
          </w:p>
          <w:p>
            <w:pPr>
              <w:tabs>
                <w:tab w:val="left" w:pos="0"/>
                <w:tab w:val="left" w:pos="879"/>
              </w:tabs>
              <w:adjustRightInd w:val="0"/>
              <w:spacing w:line="300" w:lineRule="exact"/>
              <w:ind w:left="29" w:firstLine="140"/>
              <w:rPr>
                <w:rFonts w:hint="eastAsia" w:ascii="宋体" w:hAnsi="宋体" w:cs="宋体"/>
                <w:szCs w:val="21"/>
              </w:rPr>
            </w:pPr>
            <w:r>
              <w:rPr>
                <w:rFonts w:hint="eastAsia" w:ascii="宋体" w:hAnsi="宋体" w:cs="宋体"/>
                <w:szCs w:val="21"/>
              </w:rPr>
              <w:t>评标价得分C的计算公式（得分保留小数点后三位，小数点后第四位“四舍五入”）：</w:t>
            </w:r>
          </w:p>
          <w:p>
            <w:pPr>
              <w:tabs>
                <w:tab w:val="left" w:pos="0"/>
                <w:tab w:val="left" w:pos="879"/>
              </w:tabs>
              <w:adjustRightInd w:val="0"/>
              <w:spacing w:line="300" w:lineRule="exact"/>
              <w:ind w:left="29" w:firstLine="140"/>
              <w:rPr>
                <w:rFonts w:hint="eastAsia" w:ascii="宋体" w:hAnsi="宋体" w:cs="宋体"/>
                <w:szCs w:val="21"/>
              </w:rPr>
            </w:pPr>
            <w:r>
              <w:rPr>
                <w:rFonts w:hint="eastAsia" w:ascii="宋体" w:hAnsi="宋体" w:cs="宋体"/>
                <w:szCs w:val="21"/>
              </w:rPr>
              <w:t>如果投标人的评标价＞评标基准价，则评标价得分C=100-偏差率×100×</w:t>
            </w:r>
            <w:r>
              <w:rPr>
                <w:rFonts w:hint="eastAsia" w:ascii="宋体" w:hAnsi="宋体" w:cs="宋体"/>
                <w:b/>
                <w:szCs w:val="21"/>
              </w:rPr>
              <w:t>E1</w:t>
            </w:r>
            <w:r>
              <w:rPr>
                <w:rFonts w:hint="eastAsia" w:ascii="宋体" w:hAnsi="宋体" w:cs="宋体"/>
                <w:szCs w:val="21"/>
              </w:rPr>
              <w:t>；</w:t>
            </w:r>
          </w:p>
          <w:p>
            <w:pPr>
              <w:tabs>
                <w:tab w:val="left" w:pos="0"/>
                <w:tab w:val="left" w:pos="879"/>
              </w:tabs>
              <w:adjustRightInd w:val="0"/>
              <w:spacing w:line="300" w:lineRule="exact"/>
              <w:ind w:left="29" w:firstLine="140"/>
              <w:rPr>
                <w:rFonts w:hint="eastAsia" w:ascii="宋体" w:hAnsi="宋体" w:cs="宋体"/>
                <w:szCs w:val="21"/>
              </w:rPr>
            </w:pPr>
            <w:r>
              <w:rPr>
                <w:rFonts w:hint="eastAsia" w:ascii="宋体" w:hAnsi="宋体" w:cs="宋体"/>
                <w:szCs w:val="21"/>
              </w:rPr>
              <w:t>如果投标人的评标价≤评标基准价，则评标价得分C=100+偏差率×100×</w:t>
            </w:r>
            <w:r>
              <w:rPr>
                <w:rFonts w:hint="eastAsia" w:ascii="宋体" w:hAnsi="宋体" w:cs="宋体"/>
                <w:b/>
                <w:szCs w:val="21"/>
              </w:rPr>
              <w:t>E2</w:t>
            </w:r>
            <w:r>
              <w:rPr>
                <w:rFonts w:hint="eastAsia" w:ascii="宋体" w:hAnsi="宋体" w:cs="宋体"/>
                <w:szCs w:val="21"/>
              </w:rPr>
              <w:t>。</w:t>
            </w:r>
          </w:p>
          <w:p>
            <w:pPr>
              <w:tabs>
                <w:tab w:val="left" w:pos="0"/>
                <w:tab w:val="left" w:pos="879"/>
              </w:tabs>
              <w:adjustRightInd w:val="0"/>
              <w:spacing w:line="300" w:lineRule="exact"/>
              <w:ind w:left="29" w:firstLine="140"/>
              <w:rPr>
                <w:rFonts w:hint="eastAsia" w:ascii="宋体" w:hAnsi="宋体" w:cs="宋体"/>
                <w:szCs w:val="21"/>
              </w:rPr>
            </w:pPr>
            <w:r>
              <w:rPr>
                <w:rFonts w:hint="eastAsia" w:ascii="宋体" w:hAnsi="宋体" w:cs="宋体"/>
                <w:szCs w:val="21"/>
              </w:rPr>
              <w:t xml:space="preserve">其中： </w:t>
            </w:r>
            <w:r>
              <w:rPr>
                <w:rFonts w:hint="eastAsia" w:ascii="宋体" w:hAnsi="宋体" w:cs="宋体"/>
                <w:b/>
                <w:szCs w:val="21"/>
              </w:rPr>
              <w:t>E1=</w:t>
            </w:r>
            <w:r>
              <w:rPr>
                <w:rFonts w:hint="eastAsia" w:ascii="宋体" w:hAnsi="宋体" w:cs="宋体"/>
                <w:szCs w:val="21"/>
              </w:rPr>
              <w:t>2</w:t>
            </w:r>
            <w:r>
              <w:rPr>
                <w:rFonts w:hint="eastAsia" w:ascii="宋体" w:hAnsi="宋体" w:cs="宋体"/>
                <w:b/>
                <w:szCs w:val="21"/>
              </w:rPr>
              <w:t>；E2=</w:t>
            </w: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35" w:type="dxa"/>
            <w:tcBorders>
              <w:top w:val="single" w:color="auto" w:sz="4" w:space="0"/>
              <w:bottom w:val="single" w:color="auto" w:sz="4" w:space="0"/>
              <w:right w:val="single" w:color="auto" w:sz="4" w:space="0"/>
            </w:tcBorders>
            <w:noWrap w:val="0"/>
            <w:vAlign w:val="center"/>
          </w:tcPr>
          <w:p>
            <w:pPr>
              <w:adjustRightInd w:val="0"/>
              <w:spacing w:line="300" w:lineRule="exact"/>
              <w:jc w:val="center"/>
              <w:rPr>
                <w:rFonts w:hint="eastAsia" w:ascii="宋体" w:hAnsi="宋体" w:cs="宋体"/>
                <w:szCs w:val="21"/>
              </w:rPr>
            </w:pPr>
            <w:r>
              <w:rPr>
                <w:rFonts w:hint="eastAsia" w:ascii="宋体" w:hAnsi="宋体" w:cs="宋体"/>
                <w:szCs w:val="21"/>
              </w:rPr>
              <w:t>2.2.4（2）</w:t>
            </w:r>
          </w:p>
        </w:tc>
        <w:tc>
          <w:tcPr>
            <w:tcW w:w="1110" w:type="dxa"/>
            <w:tcBorders>
              <w:top w:val="single" w:color="auto" w:sz="4" w:space="0"/>
              <w:bottom w:val="single" w:color="auto" w:sz="4" w:space="0"/>
              <w:right w:val="single" w:color="auto" w:sz="4" w:space="0"/>
            </w:tcBorders>
            <w:noWrap w:val="0"/>
            <w:vAlign w:val="center"/>
          </w:tcPr>
          <w:p>
            <w:pPr>
              <w:adjustRightInd w:val="0"/>
              <w:spacing w:line="300" w:lineRule="exact"/>
              <w:jc w:val="center"/>
              <w:rPr>
                <w:rFonts w:hint="eastAsia" w:ascii="宋体" w:hAnsi="宋体" w:cs="宋体"/>
                <w:szCs w:val="21"/>
              </w:rPr>
            </w:pPr>
            <w:r>
              <w:rPr>
                <w:rFonts w:hint="eastAsia" w:ascii="宋体" w:hAnsi="宋体" w:cs="宋体"/>
                <w:szCs w:val="21"/>
              </w:rPr>
              <w:t>信用</w:t>
            </w:r>
          </w:p>
          <w:p>
            <w:pPr>
              <w:adjustRightInd w:val="0"/>
              <w:spacing w:line="300" w:lineRule="exact"/>
              <w:jc w:val="center"/>
              <w:rPr>
                <w:rFonts w:hint="eastAsia" w:ascii="宋体" w:hAnsi="宋体" w:cs="宋体"/>
                <w:szCs w:val="21"/>
              </w:rPr>
            </w:pPr>
            <w:r>
              <w:rPr>
                <w:rFonts w:hint="eastAsia" w:ascii="宋体" w:hAnsi="宋体" w:cs="宋体"/>
                <w:szCs w:val="21"/>
              </w:rPr>
              <w:t>得分</w:t>
            </w:r>
          </w:p>
          <w:p>
            <w:pPr>
              <w:adjustRightInd w:val="0"/>
              <w:spacing w:line="300" w:lineRule="exact"/>
              <w:jc w:val="center"/>
              <w:rPr>
                <w:rFonts w:hint="eastAsia" w:ascii="宋体" w:hAnsi="宋体" w:cs="宋体"/>
                <w:szCs w:val="21"/>
              </w:rPr>
            </w:pPr>
            <w:r>
              <w:rPr>
                <w:rFonts w:hint="eastAsia" w:ascii="宋体" w:hAnsi="宋体" w:cs="宋体"/>
                <w:szCs w:val="21"/>
              </w:rPr>
              <w:t>（D）</w:t>
            </w:r>
          </w:p>
        </w:tc>
        <w:tc>
          <w:tcPr>
            <w:tcW w:w="6736" w:type="dxa"/>
            <w:tcBorders>
              <w:top w:val="single" w:color="auto" w:sz="4" w:space="0"/>
              <w:left w:val="single" w:color="auto" w:sz="4" w:space="0"/>
              <w:bottom w:val="single" w:color="auto" w:sz="4" w:space="0"/>
            </w:tcBorders>
            <w:noWrap w:val="0"/>
            <w:vAlign w:val="center"/>
          </w:tcPr>
          <w:p>
            <w:pPr>
              <w:spacing w:line="300" w:lineRule="exact"/>
              <w:ind w:left="103" w:right="105" w:rightChars="50"/>
              <w:jc w:val="left"/>
              <w:rPr>
                <w:rFonts w:hint="eastAsia" w:ascii="宋体" w:hAnsi="宋体" w:cs="宋体"/>
                <w:szCs w:val="21"/>
              </w:rPr>
            </w:pPr>
            <w:r>
              <w:rPr>
                <w:rFonts w:hint="eastAsia" w:ascii="宋体" w:hAnsi="宋体" w:cs="宋体"/>
                <w:szCs w:val="21"/>
              </w:rPr>
              <w:t>信用评价以</w:t>
            </w:r>
            <w:r>
              <w:rPr>
                <w:rFonts w:hint="eastAsia" w:ascii="宋体" w:hAnsi="宋体" w:cs="宋体"/>
                <w:kern w:val="0"/>
                <w:szCs w:val="21"/>
                <w:lang w:bidi="ar"/>
              </w:rPr>
              <w:t>最新发布的</w:t>
            </w:r>
            <w:r>
              <w:rPr>
                <w:rFonts w:hint="eastAsia" w:ascii="宋体" w:hAnsi="宋体" w:cs="宋体"/>
                <w:szCs w:val="21"/>
              </w:rPr>
              <w:t>《公路水运工程质量试验检测管理信息系统》中2021年度信用评价”为准。</w:t>
            </w:r>
          </w:p>
          <w:p>
            <w:pPr>
              <w:spacing w:line="300" w:lineRule="exact"/>
              <w:ind w:left="103" w:right="105" w:rightChars="50"/>
              <w:jc w:val="left"/>
              <w:rPr>
                <w:rFonts w:hint="eastAsia" w:ascii="宋体" w:hAnsi="宋体" w:cs="宋体"/>
                <w:szCs w:val="21"/>
              </w:rPr>
            </w:pPr>
            <w:r>
              <w:rPr>
                <w:rFonts w:hint="eastAsia" w:ascii="宋体" w:hAnsi="宋体" w:cs="宋体"/>
                <w:szCs w:val="21"/>
              </w:rPr>
              <w:t>信用得分D计算：</w:t>
            </w:r>
          </w:p>
          <w:p>
            <w:pPr>
              <w:spacing w:line="300" w:lineRule="exact"/>
              <w:ind w:left="103" w:right="105" w:rightChars="50"/>
              <w:jc w:val="left"/>
              <w:rPr>
                <w:rFonts w:hint="eastAsia" w:ascii="宋体" w:hAnsi="宋体" w:cs="宋体"/>
                <w:szCs w:val="21"/>
              </w:rPr>
            </w:pPr>
            <w:r>
              <w:rPr>
                <w:rFonts w:hint="eastAsia" w:ascii="宋体" w:hAnsi="宋体" w:cs="宋体"/>
                <w:szCs w:val="21"/>
              </w:rPr>
              <w:t>依据晋交建管【2010】789号文件《公路施工企业信用评价实施细则（试行）》规定：</w:t>
            </w:r>
          </w:p>
          <w:p>
            <w:pPr>
              <w:spacing w:line="300" w:lineRule="exact"/>
              <w:ind w:left="103" w:right="105" w:rightChars="50"/>
              <w:jc w:val="left"/>
              <w:rPr>
                <w:rFonts w:hint="eastAsia" w:ascii="宋体" w:hAnsi="宋体" w:cs="宋体"/>
                <w:szCs w:val="21"/>
              </w:rPr>
            </w:pPr>
            <w:r>
              <w:rPr>
                <w:rFonts w:hint="eastAsia" w:ascii="宋体" w:hAnsi="宋体" w:cs="宋体"/>
                <w:szCs w:val="21"/>
              </w:rPr>
              <w:t>信用等级为“AA级”的投标人：D=a</w:t>
            </w:r>
          </w:p>
          <w:p>
            <w:pPr>
              <w:spacing w:line="300" w:lineRule="exact"/>
              <w:ind w:left="103" w:right="105" w:rightChars="50"/>
              <w:jc w:val="left"/>
              <w:rPr>
                <w:rFonts w:hint="eastAsia" w:ascii="宋体" w:hAnsi="宋体" w:cs="宋体"/>
                <w:szCs w:val="21"/>
              </w:rPr>
            </w:pPr>
            <w:r>
              <w:rPr>
                <w:rFonts w:hint="eastAsia" w:ascii="宋体" w:hAnsi="宋体" w:cs="宋体"/>
                <w:szCs w:val="21"/>
              </w:rPr>
              <w:t>信用等级为“A级”的投标人：D=0.5a</w:t>
            </w:r>
          </w:p>
          <w:p>
            <w:pPr>
              <w:spacing w:line="300" w:lineRule="exact"/>
              <w:ind w:left="103" w:right="105" w:rightChars="50"/>
              <w:jc w:val="left"/>
              <w:rPr>
                <w:rFonts w:hint="eastAsia" w:ascii="宋体" w:hAnsi="宋体" w:cs="宋体"/>
                <w:szCs w:val="21"/>
              </w:rPr>
            </w:pPr>
            <w:r>
              <w:rPr>
                <w:rFonts w:hint="eastAsia" w:ascii="宋体" w:hAnsi="宋体" w:cs="宋体"/>
                <w:szCs w:val="21"/>
              </w:rPr>
              <w:t>信用等级为“B级”的投标人的：D=0</w:t>
            </w:r>
          </w:p>
          <w:p>
            <w:pPr>
              <w:spacing w:line="300" w:lineRule="exact"/>
              <w:ind w:left="103" w:right="105" w:rightChars="50"/>
              <w:jc w:val="left"/>
              <w:rPr>
                <w:rFonts w:hint="eastAsia" w:ascii="宋体" w:hAnsi="宋体" w:cs="宋体"/>
                <w:szCs w:val="21"/>
              </w:rPr>
            </w:pPr>
            <w:r>
              <w:rPr>
                <w:rFonts w:hint="eastAsia" w:ascii="宋体" w:hAnsi="宋体" w:cs="宋体"/>
                <w:szCs w:val="21"/>
              </w:rPr>
              <w:t>信用等级为“C级”的投标人：D=-0.5a</w:t>
            </w:r>
          </w:p>
          <w:p>
            <w:pPr>
              <w:spacing w:line="300" w:lineRule="exact"/>
              <w:ind w:left="103" w:right="105" w:rightChars="50"/>
              <w:jc w:val="left"/>
              <w:rPr>
                <w:rFonts w:hint="eastAsia" w:ascii="宋体" w:hAnsi="宋体" w:cs="宋体"/>
                <w:szCs w:val="21"/>
              </w:rPr>
            </w:pPr>
            <w:r>
              <w:rPr>
                <w:rFonts w:hint="eastAsia" w:ascii="宋体" w:hAnsi="宋体" w:cs="宋体"/>
                <w:szCs w:val="21"/>
              </w:rPr>
              <w:t>其中：</w:t>
            </w:r>
          </w:p>
          <w:p>
            <w:pPr>
              <w:spacing w:line="300" w:lineRule="exact"/>
              <w:ind w:left="103" w:right="105" w:rightChars="50"/>
              <w:jc w:val="left"/>
              <w:rPr>
                <w:rFonts w:hint="eastAsia" w:ascii="宋体" w:hAnsi="宋体" w:cs="宋体"/>
                <w:szCs w:val="21"/>
              </w:rPr>
            </w:pPr>
            <w:r>
              <w:rPr>
                <w:rFonts w:hint="eastAsia" w:ascii="宋体" w:hAnsi="宋体" w:cs="宋体"/>
                <w:szCs w:val="21"/>
              </w:rPr>
              <w:t>①a=（投标报价排名第一的投标人的评标价得分-投标报价排名第n的投标人的评标价得分）/（n-1）；a值在评标过程中保持不变。</w:t>
            </w:r>
          </w:p>
          <w:p>
            <w:pPr>
              <w:spacing w:line="300" w:lineRule="exact"/>
              <w:ind w:left="103" w:right="105" w:rightChars="50"/>
              <w:jc w:val="left"/>
              <w:rPr>
                <w:rFonts w:hint="eastAsia" w:ascii="宋体" w:hAnsi="宋体" w:cs="宋体"/>
                <w:szCs w:val="21"/>
              </w:rPr>
            </w:pPr>
            <w:r>
              <w:rPr>
                <w:rFonts w:hint="eastAsia" w:ascii="宋体" w:hAnsi="宋体" w:cs="宋体"/>
                <w:szCs w:val="21"/>
              </w:rPr>
              <w:t>②n值选定：依据晋交建管【2011】618号文件，仅对评标价得分排名前五位的投标人进行信用评价得分计算。当参与评标价得分计算的投标人数量≥5时，n=5；参与评标价得分计算的投标人数量＜5时，n按所有参与评标价得分计算的投标人数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5" w:hRule="atLeast"/>
          <w:jc w:val="center"/>
        </w:trPr>
        <w:tc>
          <w:tcPr>
            <w:tcW w:w="8781" w:type="dxa"/>
            <w:gridSpan w:val="3"/>
            <w:tcBorders>
              <w:top w:val="single" w:color="auto" w:sz="4" w:space="0"/>
              <w:bottom w:val="single" w:color="auto" w:sz="4" w:space="0"/>
            </w:tcBorders>
            <w:noWrap w:val="0"/>
            <w:vAlign w:val="center"/>
          </w:tcPr>
          <w:p>
            <w:pPr>
              <w:spacing w:line="300" w:lineRule="exact"/>
              <w:rPr>
                <w:rFonts w:hint="eastAsia" w:ascii="宋体" w:hAnsi="宋体" w:cs="宋体"/>
                <w:szCs w:val="21"/>
              </w:rPr>
            </w:pPr>
            <w:r>
              <w:rPr>
                <w:rFonts w:hint="eastAsia" w:ascii="宋体" w:hAnsi="宋体" w:cs="宋体"/>
                <w:szCs w:val="21"/>
              </w:rPr>
              <w:t>需要补充的其他内容：</w:t>
            </w:r>
          </w:p>
          <w:p>
            <w:pPr>
              <w:spacing w:line="300" w:lineRule="exact"/>
              <w:rPr>
                <w:rFonts w:hint="eastAsia" w:ascii="宋体" w:hAnsi="宋体" w:cs="宋体"/>
                <w:szCs w:val="21"/>
              </w:rPr>
            </w:pPr>
            <w:r>
              <w:rPr>
                <w:rFonts w:hint="eastAsia" w:ascii="宋体" w:hAnsi="宋体" w:cs="宋体"/>
                <w:szCs w:val="21"/>
              </w:rPr>
              <w:t>本项目采用双信封合理低价法进行评标，评标办法正文第3条内容细化如下：</w:t>
            </w:r>
          </w:p>
          <w:p>
            <w:pPr>
              <w:spacing w:line="300" w:lineRule="exact"/>
              <w:rPr>
                <w:rFonts w:hint="eastAsia" w:ascii="宋体" w:hAnsi="宋体" w:cs="宋体"/>
                <w:szCs w:val="21"/>
              </w:rPr>
            </w:pPr>
            <w:r>
              <w:rPr>
                <w:rFonts w:hint="eastAsia" w:ascii="宋体" w:hAnsi="宋体" w:cs="宋体"/>
                <w:szCs w:val="21"/>
              </w:rPr>
              <w:t>3.  评标程序</w:t>
            </w:r>
          </w:p>
          <w:p>
            <w:pPr>
              <w:spacing w:line="300" w:lineRule="exact"/>
              <w:rPr>
                <w:rFonts w:hint="eastAsia" w:ascii="宋体" w:hAnsi="宋体" w:cs="宋体"/>
                <w:szCs w:val="21"/>
              </w:rPr>
            </w:pPr>
            <w:r>
              <w:rPr>
                <w:rFonts w:hint="eastAsia" w:ascii="宋体" w:hAnsi="宋体" w:cs="宋体"/>
                <w:szCs w:val="21"/>
              </w:rPr>
              <w:t>评标工作按以下程序进行：</w:t>
            </w:r>
          </w:p>
          <w:p>
            <w:pPr>
              <w:spacing w:line="300" w:lineRule="exact"/>
              <w:rPr>
                <w:rFonts w:hint="eastAsia" w:ascii="宋体" w:hAnsi="宋体" w:cs="宋体"/>
                <w:szCs w:val="21"/>
              </w:rPr>
            </w:pPr>
            <w:r>
              <w:rPr>
                <w:rFonts w:hint="eastAsia" w:ascii="宋体" w:hAnsi="宋体" w:cs="宋体"/>
                <w:szCs w:val="21"/>
              </w:rPr>
              <w:t>3.1   第一个信封初步评审及资格性评审</w:t>
            </w:r>
          </w:p>
          <w:p>
            <w:pPr>
              <w:spacing w:line="300" w:lineRule="exact"/>
              <w:ind w:left="540" w:hanging="539" w:hangingChars="257"/>
              <w:rPr>
                <w:rFonts w:hint="eastAsia" w:ascii="宋体" w:hAnsi="宋体" w:cs="宋体"/>
                <w:szCs w:val="21"/>
              </w:rPr>
            </w:pPr>
            <w:r>
              <w:rPr>
                <w:rFonts w:hint="eastAsia" w:ascii="宋体" w:hAnsi="宋体" w:cs="宋体"/>
                <w:szCs w:val="21"/>
              </w:rPr>
              <w:t>3.1.1评标委员会依据本章第2.1款规定的标准对投标文件第一个信封（商务及技术文件）进行初步评审及资格性评审。有一项不符合评审标准的，评标委员会应否决其投标。</w:t>
            </w:r>
          </w:p>
          <w:p>
            <w:pPr>
              <w:spacing w:line="300" w:lineRule="exact"/>
              <w:ind w:left="540" w:hanging="539" w:hangingChars="257"/>
              <w:rPr>
                <w:rFonts w:hint="eastAsia" w:ascii="宋体" w:hAnsi="宋体" w:cs="宋体"/>
                <w:szCs w:val="21"/>
              </w:rPr>
            </w:pPr>
            <w:r>
              <w:rPr>
                <w:rFonts w:hint="eastAsia" w:ascii="宋体" w:hAnsi="宋体" w:cs="宋体"/>
                <w:szCs w:val="21"/>
              </w:rPr>
              <w:t>3.1.2通过第一个信封评审的投标人不足3个时，所有投标人的第二个信封均不予开标，招标人将重新组织招标。</w:t>
            </w:r>
          </w:p>
          <w:p>
            <w:pPr>
              <w:spacing w:line="300" w:lineRule="exact"/>
              <w:ind w:left="540" w:hanging="539" w:hangingChars="257"/>
              <w:rPr>
                <w:rFonts w:hint="eastAsia" w:ascii="宋体" w:hAnsi="宋体" w:cs="宋体"/>
                <w:szCs w:val="21"/>
              </w:rPr>
            </w:pPr>
            <w:r>
              <w:rPr>
                <w:rFonts w:hint="eastAsia" w:ascii="宋体" w:hAnsi="宋体" w:cs="宋体"/>
                <w:szCs w:val="21"/>
              </w:rPr>
              <w:t>3.2  第二个信封开标</w:t>
            </w:r>
          </w:p>
          <w:p>
            <w:pPr>
              <w:spacing w:line="300" w:lineRule="exact"/>
              <w:ind w:left="540" w:leftChars="257" w:firstLine="424" w:firstLineChars="202"/>
              <w:rPr>
                <w:rFonts w:hint="eastAsia" w:ascii="宋体" w:hAnsi="宋体" w:cs="宋体"/>
                <w:szCs w:val="21"/>
              </w:rPr>
            </w:pPr>
            <w:r>
              <w:rPr>
                <w:rFonts w:hint="eastAsia" w:ascii="宋体" w:hAnsi="宋体" w:cs="宋体"/>
                <w:szCs w:val="21"/>
              </w:rPr>
              <w:t>第一个信封（商务及技术文件）评审结束后，招标人将按照第二章“投标人须知”第5.1款规定的时间和地点对通过投标文件第一个信封（商务及技术文件）评审的投标文件第二个信封（报价文件）进行开标。</w:t>
            </w:r>
          </w:p>
          <w:p>
            <w:pPr>
              <w:spacing w:line="300" w:lineRule="exact"/>
              <w:rPr>
                <w:rFonts w:hint="eastAsia" w:ascii="宋体" w:hAnsi="宋体" w:cs="宋体"/>
                <w:szCs w:val="21"/>
              </w:rPr>
            </w:pPr>
            <w:r>
              <w:rPr>
                <w:rFonts w:hint="eastAsia" w:ascii="宋体" w:hAnsi="宋体" w:cs="宋体"/>
                <w:szCs w:val="21"/>
              </w:rPr>
              <w:t>3.3  第二个信封初步评审</w:t>
            </w:r>
          </w:p>
          <w:p>
            <w:pPr>
              <w:spacing w:line="300" w:lineRule="exact"/>
              <w:ind w:left="540" w:hanging="539" w:hangingChars="257"/>
              <w:rPr>
                <w:rFonts w:hint="eastAsia" w:ascii="宋体" w:hAnsi="宋体" w:cs="宋体"/>
                <w:szCs w:val="21"/>
              </w:rPr>
            </w:pPr>
            <w:r>
              <w:rPr>
                <w:rFonts w:hint="eastAsia" w:ascii="宋体" w:hAnsi="宋体" w:cs="宋体"/>
                <w:szCs w:val="21"/>
              </w:rPr>
              <w:t>3.3.1投标人初步评估得分</w:t>
            </w:r>
          </w:p>
          <w:p>
            <w:pPr>
              <w:spacing w:line="300" w:lineRule="exact"/>
              <w:ind w:left="540" w:hanging="539" w:hangingChars="257"/>
              <w:rPr>
                <w:rFonts w:hint="eastAsia" w:ascii="宋体" w:hAnsi="宋体" w:cs="宋体"/>
                <w:szCs w:val="21"/>
              </w:rPr>
            </w:pPr>
            <w:r>
              <w:rPr>
                <w:rFonts w:hint="eastAsia" w:ascii="宋体" w:hAnsi="宋体" w:cs="宋体"/>
                <w:szCs w:val="21"/>
              </w:rPr>
              <w:t>（1）按本章第2.2款规定的量化因素和分值进行打分，并计算出投标人初步评估得分。</w:t>
            </w:r>
          </w:p>
          <w:p>
            <w:pPr>
              <w:spacing w:line="300" w:lineRule="exact"/>
              <w:ind w:left="959" w:leftChars="200" w:hanging="539" w:hangingChars="257"/>
              <w:rPr>
                <w:rFonts w:hint="eastAsia" w:ascii="宋体" w:hAnsi="宋体" w:cs="宋体"/>
                <w:szCs w:val="21"/>
              </w:rPr>
            </w:pPr>
            <w:r>
              <w:rPr>
                <w:rFonts w:hint="eastAsia" w:ascii="宋体" w:hAnsi="宋体" w:cs="宋体"/>
                <w:szCs w:val="21"/>
              </w:rPr>
              <w:t>a.按本章第 2.2.4（1）目规定的评审因素和分值对评标价计算出得分C；</w:t>
            </w:r>
          </w:p>
          <w:p>
            <w:pPr>
              <w:spacing w:line="300" w:lineRule="exact"/>
              <w:ind w:left="959" w:leftChars="200" w:hanging="539" w:hangingChars="257"/>
              <w:rPr>
                <w:rFonts w:hint="eastAsia" w:ascii="宋体" w:hAnsi="宋体" w:cs="宋体"/>
                <w:szCs w:val="21"/>
              </w:rPr>
            </w:pPr>
            <w:r>
              <w:rPr>
                <w:rFonts w:hint="eastAsia" w:ascii="宋体" w:hAnsi="宋体" w:cs="宋体"/>
                <w:szCs w:val="21"/>
              </w:rPr>
              <w:t>b.按本章第 2.2.4（2）目规定的评审因素和分值对信用得分计算出得分D。</w:t>
            </w:r>
          </w:p>
          <w:p>
            <w:pPr>
              <w:spacing w:line="300" w:lineRule="exact"/>
              <w:ind w:left="540" w:hanging="539" w:hangingChars="257"/>
              <w:rPr>
                <w:rFonts w:hint="eastAsia" w:ascii="宋体" w:hAnsi="宋体" w:cs="宋体"/>
                <w:szCs w:val="21"/>
              </w:rPr>
            </w:pPr>
            <w:r>
              <w:rPr>
                <w:rFonts w:hint="eastAsia" w:ascii="宋体" w:hAnsi="宋体" w:cs="宋体"/>
                <w:szCs w:val="21"/>
              </w:rPr>
              <w:t>（2）初步评估得分分值计算保留小数点后两位，小数点后第三位“四舍五入”。</w:t>
            </w:r>
          </w:p>
          <w:p>
            <w:pPr>
              <w:spacing w:line="300" w:lineRule="exact"/>
              <w:ind w:left="540" w:hanging="539" w:hangingChars="257"/>
              <w:rPr>
                <w:rFonts w:ascii="宋体" w:hAnsi="宋体" w:cs="宋体"/>
                <w:szCs w:val="21"/>
              </w:rPr>
            </w:pPr>
            <w:r>
              <w:rPr>
                <w:rFonts w:hint="eastAsia" w:ascii="宋体" w:hAnsi="宋体" w:cs="宋体"/>
                <w:szCs w:val="21"/>
              </w:rPr>
              <w:t>（3）投标人初步评估得分=C+D</w:t>
            </w:r>
          </w:p>
          <w:p>
            <w:pPr>
              <w:spacing w:line="300" w:lineRule="exact"/>
              <w:ind w:left="540" w:hanging="539" w:hangingChars="257"/>
              <w:rPr>
                <w:rFonts w:hint="eastAsia" w:ascii="宋体" w:hAnsi="宋体" w:cs="宋体"/>
                <w:szCs w:val="21"/>
              </w:rPr>
            </w:pPr>
            <w:r>
              <w:rPr>
                <w:rFonts w:hint="eastAsia" w:ascii="宋体" w:hAnsi="宋体" w:cs="宋体"/>
                <w:szCs w:val="21"/>
              </w:rPr>
              <w:t>3.3.2 第二个信封的初步评审</w:t>
            </w:r>
          </w:p>
          <w:p>
            <w:pPr>
              <w:spacing w:line="300" w:lineRule="exact"/>
              <w:ind w:left="540" w:leftChars="257" w:firstLine="424" w:firstLineChars="202"/>
              <w:rPr>
                <w:rFonts w:hint="eastAsia" w:ascii="宋体" w:hAnsi="宋体" w:cs="宋体"/>
                <w:szCs w:val="21"/>
                <w:highlight w:val="none"/>
              </w:rPr>
            </w:pPr>
            <w:r>
              <w:rPr>
                <w:rFonts w:hint="eastAsia" w:ascii="宋体" w:hAnsi="宋体" w:cs="宋体"/>
                <w:szCs w:val="21"/>
                <w:highlight w:val="none"/>
              </w:rPr>
              <w:t>评标委员会按照投标人初步评估得分由高到低进行排序，对的投标人的投标文件依据本章第2.1.1项、第2.1.3项规定的评审标准进行初步评审。有一项不符合评审标准的，其投标将被否决</w:t>
            </w:r>
            <w:r>
              <w:rPr>
                <w:rFonts w:hint="eastAsia" w:ascii="宋体" w:hAnsi="宋体" w:cs="宋体"/>
                <w:szCs w:val="21"/>
                <w:highlight w:val="none"/>
                <w:lang w:eastAsia="zh-CN"/>
              </w:rPr>
              <w:t>。</w:t>
            </w:r>
          </w:p>
          <w:p>
            <w:pPr>
              <w:spacing w:line="300" w:lineRule="exact"/>
              <w:rPr>
                <w:rFonts w:hint="eastAsia" w:ascii="宋体" w:hAnsi="宋体" w:cs="宋体"/>
                <w:szCs w:val="21"/>
              </w:rPr>
            </w:pPr>
            <w:r>
              <w:rPr>
                <w:rFonts w:hint="eastAsia" w:ascii="宋体" w:hAnsi="宋体" w:cs="宋体"/>
                <w:szCs w:val="21"/>
              </w:rPr>
              <w:t>3.4  第二个信封详细评审</w:t>
            </w:r>
          </w:p>
          <w:p>
            <w:pPr>
              <w:spacing w:line="300" w:lineRule="exact"/>
              <w:ind w:left="540" w:hanging="539" w:hangingChars="257"/>
              <w:rPr>
                <w:rFonts w:hint="eastAsia" w:ascii="宋体" w:hAnsi="宋体" w:cs="宋体"/>
                <w:szCs w:val="21"/>
              </w:rPr>
            </w:pPr>
            <w:r>
              <w:rPr>
                <w:rFonts w:hint="eastAsia" w:ascii="宋体" w:hAnsi="宋体" w:cs="宋体"/>
                <w:szCs w:val="21"/>
              </w:rPr>
              <w:t>3.4.1通过第二个信封（报价文件）的初步评审的投标人，其投标人得分=该投标人的初步评估得分。</w:t>
            </w:r>
          </w:p>
          <w:p>
            <w:pPr>
              <w:spacing w:line="300" w:lineRule="exact"/>
              <w:ind w:left="540" w:hanging="539" w:hangingChars="257"/>
              <w:rPr>
                <w:rFonts w:hint="eastAsia" w:ascii="宋体" w:hAnsi="宋体" w:cs="宋体"/>
                <w:szCs w:val="21"/>
              </w:rPr>
            </w:pPr>
            <w:r>
              <w:rPr>
                <w:rFonts w:hint="eastAsia" w:ascii="宋体" w:hAnsi="宋体" w:cs="宋体"/>
                <w:szCs w:val="21"/>
              </w:rPr>
              <w:t>3.4.2评标委员会发现投标人的报价明显低于其他投标报价，使得其投标报价可能低于其个别成本的，应当要求该投标人作出书面说明并提供相应的证明材料。投标人不能合理说明或者不能提供相应证明材料的，评标委员会应认定该投标人以低于成本报价竞标，并否决其投标。</w:t>
            </w:r>
          </w:p>
          <w:p>
            <w:pPr>
              <w:spacing w:line="300" w:lineRule="exact"/>
              <w:rPr>
                <w:rFonts w:hint="eastAsia" w:ascii="宋体" w:hAnsi="宋体" w:cs="宋体"/>
                <w:szCs w:val="21"/>
              </w:rPr>
            </w:pPr>
            <w:r>
              <w:rPr>
                <w:rFonts w:hint="eastAsia" w:ascii="宋体" w:hAnsi="宋体" w:cs="宋体"/>
                <w:szCs w:val="21"/>
              </w:rPr>
              <w:t>3.5  投标文件相关信息的核查</w:t>
            </w:r>
          </w:p>
          <w:p>
            <w:pPr>
              <w:spacing w:line="300" w:lineRule="exact"/>
              <w:ind w:left="540" w:hanging="539" w:hangingChars="257"/>
              <w:rPr>
                <w:rFonts w:hint="eastAsia" w:ascii="宋体" w:hAnsi="宋体" w:cs="宋体"/>
                <w:szCs w:val="21"/>
              </w:rPr>
            </w:pPr>
            <w:r>
              <w:rPr>
                <w:rFonts w:hint="eastAsia" w:ascii="宋体" w:hAnsi="宋体" w:cs="宋体"/>
                <w:szCs w:val="21"/>
              </w:rPr>
              <w:t>3.5.1在评标过程中，评标委员会如查询规定网站，对投标人的资质、业绩、主要人员资历和目前在岗情况、信用等级等信息进行核实。若投标文件载明的信息与规定网站发布的信息不符，使得投标人的资格条件不符合招标文件规定的，评标委员会应否决其投标。</w:t>
            </w:r>
          </w:p>
          <w:p>
            <w:pPr>
              <w:spacing w:line="300" w:lineRule="exact"/>
              <w:ind w:left="540" w:hanging="539" w:hangingChars="257"/>
              <w:rPr>
                <w:rFonts w:hint="eastAsia" w:ascii="宋体" w:hAnsi="宋体" w:cs="宋体"/>
                <w:szCs w:val="21"/>
              </w:rPr>
            </w:pPr>
            <w:r>
              <w:rPr>
                <w:rFonts w:hint="eastAsia" w:ascii="宋体" w:hAnsi="宋体" w:cs="宋体"/>
                <w:szCs w:val="21"/>
              </w:rPr>
              <w:t>3.5.2评标委员会应对在评标过程中发现的投标人与投标人之间、投标人与招标人之间存在的串通投标的情形进行评审和认定。投标人存在串通投标、弄虚作假、行贿等违法行为的，评标委员会应否决其投标。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300" w:lineRule="exact"/>
              <w:ind w:left="540" w:hanging="539" w:hangingChars="257"/>
              <w:rPr>
                <w:rFonts w:hint="eastAsia" w:ascii="宋体" w:hAnsi="宋体" w:cs="宋体"/>
                <w:szCs w:val="21"/>
              </w:rPr>
            </w:pPr>
            <w:r>
              <w:rPr>
                <w:rFonts w:hint="eastAsia" w:ascii="宋体" w:hAnsi="宋体" w:cs="宋体"/>
                <w:szCs w:val="21"/>
              </w:rPr>
              <w:t>（1）有下列情形之一的，属于投标人相互串通投标：</w:t>
            </w:r>
          </w:p>
          <w:p>
            <w:pPr>
              <w:spacing w:line="300" w:lineRule="exact"/>
              <w:ind w:left="959" w:leftChars="200" w:hanging="539" w:hangingChars="257"/>
              <w:rPr>
                <w:rFonts w:hint="eastAsia" w:ascii="宋体" w:hAnsi="宋体" w:cs="宋体"/>
                <w:szCs w:val="21"/>
              </w:rPr>
            </w:pPr>
            <w:r>
              <w:rPr>
                <w:rFonts w:hint="eastAsia" w:ascii="宋体" w:hAnsi="宋体" w:cs="宋体"/>
                <w:szCs w:val="21"/>
              </w:rPr>
              <w:t>a.投标人之间协商投标报价等投标文件的实质性内容；</w:t>
            </w:r>
          </w:p>
          <w:p>
            <w:pPr>
              <w:spacing w:line="300" w:lineRule="exact"/>
              <w:ind w:left="959" w:leftChars="200" w:hanging="539" w:hangingChars="257"/>
              <w:rPr>
                <w:rFonts w:hint="eastAsia" w:ascii="宋体" w:hAnsi="宋体" w:cs="宋体"/>
                <w:szCs w:val="21"/>
              </w:rPr>
            </w:pPr>
            <w:r>
              <w:rPr>
                <w:rFonts w:hint="eastAsia" w:ascii="宋体" w:hAnsi="宋体" w:cs="宋体"/>
                <w:szCs w:val="21"/>
              </w:rPr>
              <w:t>b.投标人之间约定中标人；</w:t>
            </w:r>
          </w:p>
          <w:p>
            <w:pPr>
              <w:spacing w:line="300" w:lineRule="exact"/>
              <w:ind w:left="959" w:leftChars="200" w:hanging="539" w:hangingChars="257"/>
              <w:rPr>
                <w:rFonts w:hint="eastAsia" w:ascii="宋体" w:hAnsi="宋体" w:cs="宋体"/>
                <w:szCs w:val="21"/>
              </w:rPr>
            </w:pPr>
            <w:r>
              <w:rPr>
                <w:rFonts w:hint="eastAsia" w:ascii="宋体" w:hAnsi="宋体" w:cs="宋体"/>
                <w:szCs w:val="21"/>
              </w:rPr>
              <w:t>c.投标人之间约定部分投标人放弃投标或中标；</w:t>
            </w:r>
          </w:p>
          <w:p>
            <w:pPr>
              <w:spacing w:line="300" w:lineRule="exact"/>
              <w:ind w:left="959" w:leftChars="200" w:hanging="539" w:hangingChars="257"/>
              <w:rPr>
                <w:rFonts w:hint="eastAsia" w:ascii="宋体" w:hAnsi="宋体" w:cs="宋体"/>
                <w:szCs w:val="21"/>
              </w:rPr>
            </w:pPr>
            <w:r>
              <w:rPr>
                <w:rFonts w:hint="eastAsia" w:ascii="宋体" w:hAnsi="宋体" w:cs="宋体"/>
                <w:szCs w:val="21"/>
              </w:rPr>
              <w:t>d.属于同一集团、协会、商会等组织成员的投标人按照该组织要求协同投标；</w:t>
            </w:r>
          </w:p>
          <w:p>
            <w:pPr>
              <w:spacing w:line="300" w:lineRule="exact"/>
              <w:ind w:left="959" w:leftChars="200" w:hanging="539" w:hangingChars="257"/>
              <w:rPr>
                <w:rFonts w:hint="eastAsia" w:ascii="宋体" w:hAnsi="宋体" w:cs="宋体"/>
                <w:szCs w:val="21"/>
              </w:rPr>
            </w:pPr>
            <w:r>
              <w:rPr>
                <w:rFonts w:hint="eastAsia" w:ascii="宋体" w:hAnsi="宋体" w:cs="宋体"/>
                <w:szCs w:val="21"/>
              </w:rPr>
              <w:t>e.投标人之间为谋取中标或排斥特定投标人而采取的其他联合行动。</w:t>
            </w:r>
          </w:p>
          <w:p>
            <w:pPr>
              <w:spacing w:line="300" w:lineRule="exact"/>
              <w:ind w:left="959" w:leftChars="200" w:hanging="539" w:hangingChars="257"/>
              <w:rPr>
                <w:rFonts w:hint="eastAsia" w:ascii="宋体" w:hAnsi="宋体" w:cs="宋体"/>
                <w:szCs w:val="21"/>
              </w:rPr>
            </w:pPr>
            <w:r>
              <w:rPr>
                <w:rFonts w:hint="eastAsia" w:ascii="宋体" w:hAnsi="宋体" w:cs="宋体"/>
                <w:szCs w:val="21"/>
              </w:rPr>
              <w:t>（2）有下列情形之一的，视为投标人相互串通投标：</w:t>
            </w:r>
          </w:p>
          <w:p>
            <w:pPr>
              <w:spacing w:line="300" w:lineRule="exact"/>
              <w:ind w:left="959" w:leftChars="200" w:hanging="539" w:hangingChars="257"/>
              <w:rPr>
                <w:rFonts w:hint="eastAsia" w:ascii="宋体" w:hAnsi="宋体" w:cs="宋体"/>
                <w:szCs w:val="21"/>
              </w:rPr>
            </w:pPr>
            <w:r>
              <w:rPr>
                <w:rFonts w:hint="eastAsia" w:ascii="宋体" w:hAnsi="宋体" w:cs="宋体"/>
                <w:szCs w:val="21"/>
              </w:rPr>
              <w:t>a.不同投标人的投标文件由同一单位或个人编制；</w:t>
            </w:r>
          </w:p>
          <w:p>
            <w:pPr>
              <w:spacing w:line="300" w:lineRule="exact"/>
              <w:ind w:left="959" w:leftChars="200" w:hanging="539" w:hangingChars="257"/>
              <w:rPr>
                <w:rFonts w:hint="eastAsia" w:ascii="宋体" w:hAnsi="宋体" w:cs="宋体"/>
                <w:szCs w:val="21"/>
              </w:rPr>
            </w:pPr>
            <w:r>
              <w:rPr>
                <w:rFonts w:hint="eastAsia" w:ascii="宋体" w:hAnsi="宋体" w:cs="宋体"/>
                <w:szCs w:val="21"/>
              </w:rPr>
              <w:t>b.不同投标人委托同一单位或个人办理投标事宜；</w:t>
            </w:r>
          </w:p>
          <w:p>
            <w:pPr>
              <w:spacing w:line="300" w:lineRule="exact"/>
              <w:ind w:left="959" w:leftChars="200" w:hanging="539" w:hangingChars="257"/>
              <w:rPr>
                <w:rFonts w:hint="eastAsia" w:ascii="宋体" w:hAnsi="宋体" w:cs="宋体"/>
                <w:szCs w:val="21"/>
              </w:rPr>
            </w:pPr>
            <w:r>
              <w:rPr>
                <w:rFonts w:hint="eastAsia" w:ascii="宋体" w:hAnsi="宋体" w:cs="宋体"/>
                <w:szCs w:val="21"/>
              </w:rPr>
              <w:t>c.不同投标人的投标文件载明的项目管理成员为同一人；</w:t>
            </w:r>
          </w:p>
          <w:p>
            <w:pPr>
              <w:spacing w:line="300" w:lineRule="exact"/>
              <w:ind w:left="959" w:leftChars="200" w:hanging="539" w:hangingChars="257"/>
              <w:rPr>
                <w:rFonts w:hint="eastAsia" w:ascii="宋体" w:hAnsi="宋体" w:cs="宋体"/>
                <w:szCs w:val="21"/>
              </w:rPr>
            </w:pPr>
            <w:r>
              <w:rPr>
                <w:rFonts w:hint="eastAsia" w:ascii="宋体" w:hAnsi="宋体" w:cs="宋体"/>
                <w:szCs w:val="21"/>
              </w:rPr>
              <w:t>d.不同投标人的投标文件异常一致或投标报价呈规律性差异；</w:t>
            </w:r>
          </w:p>
          <w:p>
            <w:pPr>
              <w:spacing w:line="300" w:lineRule="exact"/>
              <w:ind w:left="959" w:leftChars="200" w:hanging="539" w:hangingChars="257"/>
              <w:rPr>
                <w:rFonts w:hint="eastAsia" w:ascii="宋体" w:hAnsi="宋体" w:cs="宋体"/>
                <w:szCs w:val="21"/>
              </w:rPr>
            </w:pPr>
            <w:r>
              <w:rPr>
                <w:rFonts w:hint="eastAsia" w:ascii="宋体" w:hAnsi="宋体" w:cs="宋体"/>
                <w:szCs w:val="21"/>
              </w:rPr>
              <w:t>e.不同投标人的投标文件相互混装；</w:t>
            </w:r>
          </w:p>
          <w:p>
            <w:pPr>
              <w:spacing w:line="300" w:lineRule="exact"/>
              <w:ind w:left="959" w:leftChars="200" w:hanging="539" w:hangingChars="257"/>
              <w:rPr>
                <w:rFonts w:hint="eastAsia" w:ascii="宋体" w:hAnsi="宋体" w:cs="宋体"/>
                <w:szCs w:val="21"/>
              </w:rPr>
            </w:pPr>
            <w:r>
              <w:rPr>
                <w:rFonts w:hint="eastAsia" w:ascii="宋体" w:hAnsi="宋体" w:cs="宋体"/>
                <w:szCs w:val="21"/>
              </w:rPr>
              <w:t>f.不同投标人的投标保证金从同一单位或个人的账户转出；</w:t>
            </w:r>
          </w:p>
          <w:p>
            <w:pPr>
              <w:spacing w:line="300" w:lineRule="exact"/>
              <w:ind w:left="959" w:leftChars="200" w:hanging="539" w:hangingChars="257"/>
              <w:rPr>
                <w:rFonts w:hint="eastAsia" w:ascii="宋体" w:hAnsi="宋体" w:cs="宋体"/>
                <w:szCs w:val="21"/>
              </w:rPr>
            </w:pPr>
            <w:r>
              <w:rPr>
                <w:rFonts w:hint="eastAsia" w:ascii="宋体" w:hAnsi="宋体" w:cs="宋体"/>
                <w:szCs w:val="21"/>
              </w:rPr>
              <w:t>g.不同投标人的CA数字证书混用。</w:t>
            </w:r>
          </w:p>
          <w:p>
            <w:pPr>
              <w:spacing w:line="300" w:lineRule="exact"/>
              <w:ind w:left="959" w:leftChars="200" w:hanging="539" w:hangingChars="257"/>
              <w:rPr>
                <w:rFonts w:hint="eastAsia" w:ascii="宋体" w:hAnsi="宋体" w:cs="宋体"/>
                <w:szCs w:val="21"/>
              </w:rPr>
            </w:pPr>
            <w:r>
              <w:rPr>
                <w:rFonts w:hint="eastAsia" w:ascii="宋体" w:hAnsi="宋体" w:cs="宋体"/>
                <w:szCs w:val="21"/>
              </w:rPr>
              <w:t>（3）有下列情形之一的，属于招标人与投标人串通投标：</w:t>
            </w:r>
          </w:p>
          <w:p>
            <w:pPr>
              <w:spacing w:line="300" w:lineRule="exact"/>
              <w:ind w:left="959" w:leftChars="200" w:hanging="539" w:hangingChars="257"/>
              <w:rPr>
                <w:rFonts w:hint="eastAsia" w:ascii="宋体" w:hAnsi="宋体" w:cs="宋体"/>
                <w:szCs w:val="21"/>
              </w:rPr>
            </w:pPr>
            <w:r>
              <w:rPr>
                <w:rFonts w:hint="eastAsia" w:ascii="宋体" w:hAnsi="宋体" w:cs="宋体"/>
                <w:szCs w:val="21"/>
              </w:rPr>
              <w:t>a.招标人在开标前开启投标文件并将有关信息泄露给其他投标人;</w:t>
            </w:r>
          </w:p>
          <w:p>
            <w:pPr>
              <w:spacing w:line="300" w:lineRule="exact"/>
              <w:ind w:left="959" w:leftChars="200" w:hanging="539" w:hangingChars="257"/>
              <w:rPr>
                <w:rFonts w:hint="eastAsia" w:ascii="宋体" w:hAnsi="宋体" w:cs="宋体"/>
                <w:szCs w:val="21"/>
              </w:rPr>
            </w:pPr>
            <w:r>
              <w:rPr>
                <w:rFonts w:hint="eastAsia" w:ascii="宋体" w:hAnsi="宋体" w:cs="宋体"/>
                <w:szCs w:val="21"/>
              </w:rPr>
              <w:t>b.招标人直接或间接向投标人泄露标底、评标委员会成员等信息；</w:t>
            </w:r>
          </w:p>
          <w:p>
            <w:pPr>
              <w:spacing w:line="300" w:lineRule="exact"/>
              <w:ind w:left="959" w:leftChars="200" w:hanging="539" w:hangingChars="257"/>
              <w:rPr>
                <w:rFonts w:hint="eastAsia" w:ascii="宋体" w:hAnsi="宋体" w:cs="宋体"/>
                <w:szCs w:val="21"/>
              </w:rPr>
            </w:pPr>
            <w:r>
              <w:rPr>
                <w:rFonts w:hint="eastAsia" w:ascii="宋体" w:hAnsi="宋体" w:cs="宋体"/>
                <w:szCs w:val="21"/>
              </w:rPr>
              <w:t>c.招标人明示或暗示投标人压低或抬高投标报价；</w:t>
            </w:r>
          </w:p>
          <w:p>
            <w:pPr>
              <w:spacing w:line="300" w:lineRule="exact"/>
              <w:ind w:left="959" w:leftChars="200" w:hanging="539" w:hangingChars="257"/>
              <w:rPr>
                <w:rFonts w:hint="eastAsia" w:ascii="宋体" w:hAnsi="宋体" w:cs="宋体"/>
                <w:szCs w:val="21"/>
              </w:rPr>
            </w:pPr>
            <w:r>
              <w:rPr>
                <w:rFonts w:hint="eastAsia" w:ascii="宋体" w:hAnsi="宋体" w:cs="宋体"/>
                <w:szCs w:val="21"/>
              </w:rPr>
              <w:t>d.招标人授意投标人撤换、修改投标文件；</w:t>
            </w:r>
          </w:p>
          <w:p>
            <w:pPr>
              <w:spacing w:line="300" w:lineRule="exact"/>
              <w:ind w:left="959" w:leftChars="200" w:hanging="539" w:hangingChars="257"/>
              <w:rPr>
                <w:rFonts w:hint="eastAsia" w:ascii="宋体" w:hAnsi="宋体" w:cs="宋体"/>
                <w:szCs w:val="21"/>
              </w:rPr>
            </w:pPr>
            <w:r>
              <w:rPr>
                <w:rFonts w:hint="eastAsia" w:ascii="宋体" w:hAnsi="宋体" w:cs="宋体"/>
                <w:szCs w:val="21"/>
              </w:rPr>
              <w:t>e.招标人明示或暗示投标人为特定投标人中标提供方便；</w:t>
            </w:r>
          </w:p>
          <w:p>
            <w:pPr>
              <w:spacing w:line="300" w:lineRule="exact"/>
              <w:ind w:left="959" w:leftChars="200" w:hanging="539" w:hangingChars="257"/>
              <w:rPr>
                <w:rFonts w:hint="eastAsia" w:ascii="宋体" w:hAnsi="宋体" w:cs="宋体"/>
                <w:szCs w:val="21"/>
              </w:rPr>
            </w:pPr>
            <w:r>
              <w:rPr>
                <w:rFonts w:hint="eastAsia" w:ascii="宋体" w:hAnsi="宋体" w:cs="宋体"/>
                <w:szCs w:val="21"/>
              </w:rPr>
              <w:t>f.招标人与投标人为谋求特定投标人中标而采取的其他串通行为。</w:t>
            </w:r>
          </w:p>
          <w:p>
            <w:pPr>
              <w:spacing w:line="300" w:lineRule="exact"/>
              <w:ind w:left="959" w:leftChars="200" w:hanging="539" w:hangingChars="257"/>
              <w:rPr>
                <w:rFonts w:hint="eastAsia" w:ascii="宋体" w:hAnsi="宋体" w:cs="宋体"/>
                <w:szCs w:val="21"/>
              </w:rPr>
            </w:pPr>
            <w:r>
              <w:rPr>
                <w:rFonts w:hint="eastAsia" w:ascii="宋体" w:hAnsi="宋体" w:cs="宋体"/>
                <w:szCs w:val="21"/>
              </w:rPr>
              <w:t>（4）投标人有下列情形之一的，属于弄虚作假的行为：</w:t>
            </w:r>
          </w:p>
          <w:p>
            <w:pPr>
              <w:spacing w:line="300" w:lineRule="exact"/>
              <w:ind w:left="959" w:leftChars="200" w:hanging="539" w:hangingChars="257"/>
              <w:rPr>
                <w:rFonts w:hint="eastAsia" w:ascii="宋体" w:hAnsi="宋体" w:cs="宋体"/>
                <w:szCs w:val="21"/>
              </w:rPr>
            </w:pPr>
            <w:r>
              <w:rPr>
                <w:rFonts w:hint="eastAsia" w:ascii="宋体" w:hAnsi="宋体" w:cs="宋体"/>
                <w:szCs w:val="21"/>
              </w:rPr>
              <w:t>a.使用通过受让或租借等方式获取的资格、资质证书投标；</w:t>
            </w:r>
          </w:p>
          <w:p>
            <w:pPr>
              <w:spacing w:line="300" w:lineRule="exact"/>
              <w:ind w:left="959" w:leftChars="200" w:hanging="539" w:hangingChars="257"/>
              <w:rPr>
                <w:rFonts w:hint="eastAsia" w:ascii="宋体" w:hAnsi="宋体" w:cs="宋体"/>
                <w:szCs w:val="21"/>
              </w:rPr>
            </w:pPr>
            <w:r>
              <w:rPr>
                <w:rFonts w:hint="eastAsia" w:ascii="宋体" w:hAnsi="宋体" w:cs="宋体"/>
                <w:szCs w:val="21"/>
              </w:rPr>
              <w:t>b.使用伪造、变造的许可证件；</w:t>
            </w:r>
          </w:p>
          <w:p>
            <w:pPr>
              <w:spacing w:line="300" w:lineRule="exact"/>
              <w:ind w:left="959" w:leftChars="200" w:hanging="539" w:hangingChars="257"/>
              <w:rPr>
                <w:rFonts w:hint="eastAsia" w:ascii="宋体" w:hAnsi="宋体" w:cs="宋体"/>
                <w:szCs w:val="21"/>
              </w:rPr>
            </w:pPr>
            <w:r>
              <w:rPr>
                <w:rFonts w:hint="eastAsia" w:ascii="宋体" w:hAnsi="宋体" w:cs="宋体"/>
                <w:szCs w:val="21"/>
              </w:rPr>
              <w:t>c.提供虚假的财务状况或业绩；</w:t>
            </w:r>
          </w:p>
          <w:p>
            <w:pPr>
              <w:spacing w:line="300" w:lineRule="exact"/>
              <w:ind w:left="959" w:leftChars="200" w:hanging="539" w:hangingChars="257"/>
              <w:rPr>
                <w:rFonts w:hint="eastAsia" w:ascii="宋体" w:hAnsi="宋体" w:cs="宋体"/>
                <w:szCs w:val="21"/>
              </w:rPr>
            </w:pPr>
            <w:r>
              <w:rPr>
                <w:rFonts w:hint="eastAsia" w:ascii="宋体" w:hAnsi="宋体" w:cs="宋体"/>
                <w:szCs w:val="21"/>
              </w:rPr>
              <w:t>d.提供虚假的项目负责人或主要技术人员简历、劳动关系证明；</w:t>
            </w:r>
          </w:p>
          <w:p>
            <w:pPr>
              <w:spacing w:line="300" w:lineRule="exact"/>
              <w:ind w:left="959" w:leftChars="200" w:hanging="539" w:hangingChars="257"/>
              <w:rPr>
                <w:rFonts w:hint="eastAsia" w:ascii="宋体" w:hAnsi="宋体" w:cs="宋体"/>
                <w:szCs w:val="21"/>
              </w:rPr>
            </w:pPr>
            <w:r>
              <w:rPr>
                <w:rFonts w:hint="eastAsia" w:ascii="宋体" w:hAnsi="宋体" w:cs="宋体"/>
                <w:szCs w:val="21"/>
              </w:rPr>
              <w:t>e.提供虚假的信用状况；</w:t>
            </w:r>
          </w:p>
          <w:p>
            <w:pPr>
              <w:spacing w:line="300" w:lineRule="exact"/>
              <w:ind w:left="959" w:leftChars="200" w:hanging="539" w:hangingChars="257"/>
              <w:rPr>
                <w:rFonts w:hint="eastAsia" w:ascii="宋体" w:hAnsi="宋体" w:cs="宋体"/>
                <w:szCs w:val="21"/>
              </w:rPr>
            </w:pPr>
            <w:r>
              <w:rPr>
                <w:rFonts w:hint="eastAsia" w:ascii="宋体" w:hAnsi="宋体" w:cs="宋体"/>
                <w:szCs w:val="21"/>
              </w:rPr>
              <w:t>f.其他弄虚作假的行为。</w:t>
            </w:r>
          </w:p>
          <w:p>
            <w:pPr>
              <w:spacing w:line="300" w:lineRule="exact"/>
              <w:rPr>
                <w:rFonts w:ascii="宋体" w:hAnsi="宋体" w:cs="宋体"/>
                <w:szCs w:val="21"/>
              </w:rPr>
            </w:pPr>
            <w:r>
              <w:rPr>
                <w:rFonts w:ascii="宋体" w:hAnsi="宋体" w:cs="宋体"/>
                <w:szCs w:val="21"/>
              </w:rPr>
              <w:t>3.</w:t>
            </w:r>
            <w:r>
              <w:rPr>
                <w:rFonts w:hint="eastAsia" w:ascii="宋体" w:hAnsi="宋体" w:cs="宋体"/>
                <w:szCs w:val="21"/>
              </w:rPr>
              <w:t>5</w:t>
            </w:r>
            <w:r>
              <w:rPr>
                <w:rFonts w:ascii="宋体" w:hAnsi="宋体" w:cs="宋体"/>
                <w:szCs w:val="21"/>
              </w:rPr>
              <w:t>.3 不得</w:t>
            </w:r>
            <w:r>
              <w:rPr>
                <w:rFonts w:hint="eastAsia" w:ascii="宋体" w:hAnsi="宋体" w:cs="宋体"/>
                <w:szCs w:val="21"/>
              </w:rPr>
              <w:t>存在</w:t>
            </w:r>
            <w:r>
              <w:rPr>
                <w:rFonts w:ascii="宋体" w:hAnsi="宋体" w:cs="宋体"/>
                <w:szCs w:val="21"/>
              </w:rPr>
              <w:t>下列情形</w:t>
            </w:r>
          </w:p>
          <w:p>
            <w:pPr>
              <w:spacing w:line="300" w:lineRule="exact"/>
              <w:ind w:left="959" w:leftChars="200" w:hanging="539" w:hangingChars="257"/>
              <w:rPr>
                <w:rFonts w:ascii="宋体" w:hAnsi="宋体" w:cs="宋体"/>
                <w:szCs w:val="21"/>
              </w:rPr>
            </w:pPr>
            <w:r>
              <w:rPr>
                <w:rFonts w:ascii="宋体" w:hAnsi="宋体" w:cs="宋体"/>
                <w:szCs w:val="21"/>
              </w:rPr>
              <w:t>（1）不同投标人间不得有下列情形：</w:t>
            </w:r>
          </w:p>
          <w:p>
            <w:pPr>
              <w:spacing w:line="300" w:lineRule="exact"/>
              <w:ind w:left="959" w:leftChars="200" w:hanging="539" w:hangingChars="257"/>
              <w:rPr>
                <w:rFonts w:hint="eastAsia" w:ascii="宋体" w:hAnsi="宋体" w:cs="宋体"/>
                <w:szCs w:val="21"/>
              </w:rPr>
            </w:pPr>
            <w:r>
              <w:rPr>
                <w:rFonts w:ascii="宋体" w:hAnsi="宋体" w:cs="宋体"/>
                <w:szCs w:val="21"/>
              </w:rPr>
              <w:t>a.不同投标人的投标文件由同一电子设备编制、打印加密或者上传；</w:t>
            </w:r>
          </w:p>
          <w:p>
            <w:pPr>
              <w:spacing w:line="300" w:lineRule="exact"/>
              <w:ind w:left="959" w:leftChars="200" w:hanging="539" w:hangingChars="257"/>
              <w:rPr>
                <w:rFonts w:ascii="宋体" w:hAnsi="宋体" w:cs="宋体"/>
                <w:szCs w:val="21"/>
              </w:rPr>
            </w:pPr>
            <w:r>
              <w:rPr>
                <w:rFonts w:hint="eastAsia" w:ascii="宋体" w:hAnsi="宋体" w:cs="宋体"/>
                <w:szCs w:val="21"/>
              </w:rPr>
              <w:t>b.</w:t>
            </w:r>
            <w:r>
              <w:rPr>
                <w:rFonts w:ascii="宋体" w:hAnsi="宋体" w:cs="宋体"/>
                <w:szCs w:val="21"/>
              </w:rPr>
              <w:t>不同投标人的投标文件的实质性内容存在两处以上细节错误一致；</w:t>
            </w:r>
          </w:p>
          <w:p>
            <w:pPr>
              <w:spacing w:line="360" w:lineRule="auto"/>
              <w:ind w:firstLine="420" w:firstLineChars="200"/>
              <w:rPr>
                <w:rFonts w:hint="eastAsia" w:ascii="宋体" w:hAnsi="宋体" w:cs="宋体"/>
                <w:szCs w:val="24"/>
              </w:rPr>
            </w:pPr>
            <w:r>
              <w:rPr>
                <w:rFonts w:hint="eastAsia" w:ascii="宋体" w:hAnsi="宋体" w:cs="宋体"/>
                <w:szCs w:val="21"/>
              </w:rPr>
              <w:t>c.</w:t>
            </w:r>
            <w:r>
              <w:rPr>
                <w:rFonts w:ascii="宋体" w:hAnsi="宋体" w:cs="宋体"/>
                <w:szCs w:val="21"/>
              </w:rPr>
              <w:t>电子投标文件记录的MAC地址、硬盘序列号等硬件信息出现任一相同情况，包含不同投标人在不同批</w:t>
            </w:r>
            <w:r>
              <w:rPr>
                <w:rFonts w:hint="eastAsia" w:ascii="宋体" w:hAnsi="宋体" w:cs="宋体"/>
                <w:szCs w:val="24"/>
              </w:rPr>
              <w:t>次投标活动中信息相同情况；</w:t>
            </w:r>
          </w:p>
          <w:p>
            <w:pPr>
              <w:spacing w:line="360" w:lineRule="auto"/>
              <w:ind w:firstLine="420" w:firstLineChars="200"/>
              <w:rPr>
                <w:rFonts w:hint="eastAsia" w:ascii="宋体" w:hAnsi="宋体" w:cs="宋体"/>
                <w:szCs w:val="24"/>
              </w:rPr>
            </w:pPr>
            <w:r>
              <w:rPr>
                <w:rFonts w:hint="eastAsia" w:ascii="宋体" w:hAnsi="宋体" w:cs="宋体"/>
                <w:szCs w:val="24"/>
              </w:rPr>
              <w:t>d.投标文件的制作、记录上传IP地址，投标人购买招标文件IP地址等信息出现任一相同情况。</w:t>
            </w:r>
          </w:p>
          <w:p>
            <w:pPr>
              <w:spacing w:line="360" w:lineRule="auto"/>
              <w:ind w:firstLine="420" w:firstLineChars="200"/>
              <w:rPr>
                <w:rFonts w:hint="eastAsia" w:ascii="宋体" w:hAnsi="宋体" w:cs="宋体"/>
                <w:szCs w:val="24"/>
              </w:rPr>
            </w:pPr>
            <w:r>
              <w:rPr>
                <w:rFonts w:hint="eastAsia" w:ascii="宋体" w:hAnsi="宋体" w:cs="宋体"/>
                <w:szCs w:val="24"/>
              </w:rPr>
              <w:t>（2）发现（1）所列情形的，评标委员会应当否决相应投标文件并详细记录至评标报告。因此导致第二信封有效投标不足3家使得投标明显缺乏竞争的，可以否决全部投标；未否决全部投标的，评标委员会应当在评标报告中阐明理由并推荐中标候选人。</w:t>
            </w:r>
          </w:p>
          <w:p>
            <w:pPr>
              <w:spacing w:line="300" w:lineRule="exact"/>
              <w:rPr>
                <w:rFonts w:hint="eastAsia" w:ascii="宋体" w:hAnsi="宋体" w:cs="宋体"/>
                <w:szCs w:val="21"/>
              </w:rPr>
            </w:pPr>
            <w:r>
              <w:rPr>
                <w:rFonts w:hint="eastAsia" w:ascii="宋体" w:hAnsi="宋体" w:cs="宋体"/>
                <w:szCs w:val="21"/>
              </w:rPr>
              <w:t>3.6  投标文件的澄清和说明</w:t>
            </w:r>
          </w:p>
          <w:p>
            <w:pPr>
              <w:spacing w:line="300" w:lineRule="exact"/>
              <w:ind w:left="540" w:hanging="539" w:hangingChars="257"/>
              <w:rPr>
                <w:rFonts w:hint="eastAsia" w:ascii="宋体" w:hAnsi="宋体" w:cs="宋体"/>
                <w:szCs w:val="21"/>
              </w:rPr>
            </w:pPr>
            <w:r>
              <w:rPr>
                <w:rFonts w:hint="eastAsia" w:ascii="宋体" w:hAnsi="宋体" w:cs="宋体"/>
                <w:szCs w:val="21"/>
              </w:rPr>
              <w:t>3.6.1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300" w:lineRule="exact"/>
              <w:ind w:left="540" w:hanging="539" w:hangingChars="257"/>
              <w:rPr>
                <w:rFonts w:hint="eastAsia" w:ascii="宋体" w:hAnsi="宋体" w:cs="宋体"/>
                <w:szCs w:val="21"/>
              </w:rPr>
            </w:pPr>
            <w:r>
              <w:rPr>
                <w:rFonts w:hint="eastAsia" w:ascii="宋体" w:hAnsi="宋体" w:cs="宋体"/>
                <w:szCs w:val="21"/>
              </w:rPr>
              <w:t>3.6.2 澄清和说明不得超出投标文件的范围或改变投标文件的实质性内容（算术性错误修正的除外）。投标人的书面澄清、说明属于投标文件的组成部分。</w:t>
            </w:r>
          </w:p>
          <w:p>
            <w:pPr>
              <w:spacing w:line="300" w:lineRule="exact"/>
              <w:ind w:left="540" w:hanging="539" w:hangingChars="257"/>
              <w:rPr>
                <w:rFonts w:hint="eastAsia" w:ascii="宋体" w:hAnsi="宋体" w:cs="宋体"/>
                <w:szCs w:val="21"/>
              </w:rPr>
            </w:pPr>
            <w:r>
              <w:rPr>
                <w:rFonts w:hint="eastAsia" w:ascii="宋体" w:hAnsi="宋体" w:cs="宋体"/>
                <w:szCs w:val="21"/>
              </w:rPr>
              <w:t>3.6.3 评标委员会不得暗示或诱导投标人作出澄清、说明，对投标人提交的澄清、说明有疑问的，可以要求投标人进一步澄清或说明，直至满足评标委员会的要求。</w:t>
            </w:r>
          </w:p>
          <w:p>
            <w:pPr>
              <w:spacing w:line="300" w:lineRule="exact"/>
              <w:ind w:left="517" w:hanging="516" w:hangingChars="246"/>
              <w:rPr>
                <w:rFonts w:hint="eastAsia" w:ascii="宋体" w:hAnsi="宋体" w:cs="宋体"/>
                <w:szCs w:val="21"/>
              </w:rPr>
            </w:pPr>
            <w:r>
              <w:rPr>
                <w:rFonts w:hint="eastAsia" w:ascii="宋体" w:hAnsi="宋体" w:cs="宋体"/>
                <w:szCs w:val="21"/>
              </w:rPr>
              <w:t>3.6.4凡超出招标文件规定的或给招标人带来未曾要求的利益的变化、偏差或其他因素在评标时不予考虑。</w:t>
            </w:r>
          </w:p>
          <w:p>
            <w:pPr>
              <w:spacing w:line="300" w:lineRule="exact"/>
              <w:rPr>
                <w:rFonts w:hint="eastAsia" w:ascii="宋体" w:hAnsi="宋体" w:cs="宋体"/>
                <w:szCs w:val="21"/>
              </w:rPr>
            </w:pPr>
            <w:r>
              <w:rPr>
                <w:rFonts w:hint="eastAsia" w:ascii="宋体" w:hAnsi="宋体" w:cs="宋体"/>
                <w:szCs w:val="21"/>
              </w:rPr>
              <w:t>3.7  不得否决投标的情形</w:t>
            </w:r>
          </w:p>
          <w:p>
            <w:pPr>
              <w:spacing w:line="300" w:lineRule="exact"/>
              <w:ind w:firstLine="420" w:firstLineChars="200"/>
              <w:rPr>
                <w:rFonts w:hint="eastAsia" w:ascii="宋体" w:hAnsi="宋体" w:cs="宋体"/>
                <w:szCs w:val="21"/>
              </w:rPr>
            </w:pPr>
            <w:r>
              <w:rPr>
                <w:rFonts w:hint="eastAsia" w:ascii="宋体" w:hAnsi="宋体" w:cs="宋体"/>
                <w:szCs w:val="21"/>
              </w:rPr>
              <w:t>投标文件存在第二章“投标人须知”第1.12.3项所列情形的，均视为细微偏差，评标委员会不得否决投标人的投标，应按照第二章“投标人须知”第1.12.4项规定的原则处理。</w:t>
            </w:r>
          </w:p>
          <w:p>
            <w:pPr>
              <w:spacing w:line="300" w:lineRule="exact"/>
              <w:rPr>
                <w:rFonts w:hint="eastAsia" w:ascii="宋体" w:hAnsi="宋体" w:cs="宋体"/>
                <w:szCs w:val="21"/>
              </w:rPr>
            </w:pPr>
            <w:r>
              <w:rPr>
                <w:rFonts w:hint="eastAsia" w:ascii="宋体" w:hAnsi="宋体" w:cs="宋体"/>
                <w:szCs w:val="21"/>
              </w:rPr>
              <w:t>3.8   评标结果</w:t>
            </w:r>
          </w:p>
          <w:p>
            <w:pPr>
              <w:spacing w:line="300" w:lineRule="exact"/>
              <w:ind w:left="540" w:hanging="539" w:hangingChars="257"/>
              <w:rPr>
                <w:rFonts w:hint="eastAsia" w:ascii="宋体" w:hAnsi="宋体" w:cs="宋体"/>
                <w:szCs w:val="21"/>
              </w:rPr>
            </w:pPr>
            <w:r>
              <w:rPr>
                <w:rFonts w:hint="eastAsia" w:ascii="宋体" w:hAnsi="宋体" w:cs="宋体"/>
                <w:szCs w:val="21"/>
              </w:rPr>
              <w:t>3.8.1 评标委员会根据投标人得分由高到低的顺序，依次推荐1名中标候选人。</w:t>
            </w:r>
          </w:p>
          <w:p>
            <w:pPr>
              <w:adjustRightInd w:val="0"/>
              <w:spacing w:line="300" w:lineRule="exact"/>
              <w:ind w:left="540" w:hanging="539" w:hangingChars="257"/>
              <w:rPr>
                <w:rFonts w:hint="eastAsia" w:ascii="宋体" w:hAnsi="宋体" w:cs="宋体"/>
                <w:szCs w:val="21"/>
              </w:rPr>
            </w:pPr>
            <w:r>
              <w:rPr>
                <w:rFonts w:hint="eastAsia" w:ascii="宋体" w:hAnsi="宋体" w:cs="宋体"/>
                <w:szCs w:val="21"/>
              </w:rPr>
              <w:t>3.8.2 评标委员会完成评标后，应当向招标人提交书面评标报告并推荐中标候选人。</w:t>
            </w:r>
          </w:p>
        </w:tc>
      </w:tr>
    </w:tbl>
    <w:p>
      <w:pPr>
        <w:adjustRightInd w:val="0"/>
        <w:snapToGrid w:val="0"/>
        <w:rPr>
          <w:rFonts w:hint="eastAsia" w:ascii="宋体" w:hAnsi="宋体" w:cs="宋体"/>
        </w:rPr>
      </w:pPr>
    </w:p>
    <w:p>
      <w:pPr>
        <w:widowControl/>
        <w:jc w:val="left"/>
        <w:outlineLvl w:val="2"/>
        <w:rPr>
          <w:rFonts w:hint="eastAsia" w:ascii="宋体" w:hAnsi="宋体" w:cs="宋体"/>
          <w:sz w:val="27"/>
          <w:szCs w:val="27"/>
        </w:rPr>
      </w:pPr>
      <w:r>
        <w:rPr>
          <w:rFonts w:hint="eastAsia" w:ascii="宋体" w:hAnsi="宋体" w:cs="宋体"/>
          <w:sz w:val="27"/>
          <w:szCs w:val="27"/>
        </w:rPr>
        <w:br w:type="page"/>
      </w:r>
      <w:bookmarkStart w:id="0" w:name="_Toc111041356"/>
      <w:bookmarkStart w:id="1" w:name="_Toc518427691"/>
      <w:bookmarkStart w:id="2" w:name="_Toc444678080"/>
    </w:p>
    <w:p>
      <w:pPr>
        <w:widowControl/>
        <w:jc w:val="left"/>
        <w:outlineLvl w:val="2"/>
        <w:rPr>
          <w:rFonts w:hint="eastAsia" w:ascii="宋体" w:hAnsi="宋体" w:cs="宋体"/>
          <w:sz w:val="24"/>
        </w:rPr>
      </w:pPr>
      <w:r>
        <w:rPr>
          <w:rFonts w:hint="eastAsia" w:ascii="宋体" w:hAnsi="宋体" w:cs="宋体"/>
          <w:sz w:val="24"/>
        </w:rPr>
        <w:t>1. 评标方法</w:t>
      </w:r>
      <w:bookmarkEnd w:id="0"/>
      <w:bookmarkEnd w:id="1"/>
      <w:bookmarkEnd w:id="2"/>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本次评标采用双信封合理低价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adjustRightInd w:val="0"/>
        <w:snapToGrid w:val="0"/>
        <w:spacing w:line="360" w:lineRule="auto"/>
        <w:outlineLvl w:val="2"/>
        <w:rPr>
          <w:rFonts w:hint="eastAsia" w:ascii="宋体" w:hAnsi="宋体" w:cs="宋体"/>
          <w:sz w:val="24"/>
        </w:rPr>
      </w:pPr>
      <w:bookmarkStart w:id="3" w:name="_Toc111041357"/>
      <w:bookmarkStart w:id="4" w:name="_Toc444678081"/>
      <w:bookmarkStart w:id="5" w:name="_Toc518427692"/>
      <w:r>
        <w:rPr>
          <w:rFonts w:hint="eastAsia" w:ascii="宋体" w:hAnsi="宋体" w:cs="宋体"/>
          <w:sz w:val="24"/>
        </w:rPr>
        <w:t>2. 评审标准</w:t>
      </w:r>
      <w:bookmarkEnd w:id="3"/>
      <w:bookmarkEnd w:id="4"/>
      <w:bookmarkEnd w:id="5"/>
    </w:p>
    <w:p>
      <w:pPr>
        <w:pStyle w:val="21"/>
        <w:tabs>
          <w:tab w:val="left" w:pos="3229"/>
        </w:tabs>
        <w:adjustRightInd w:val="0"/>
        <w:snapToGrid w:val="0"/>
        <w:spacing w:line="360" w:lineRule="auto"/>
        <w:outlineLvl w:val="9"/>
        <w:rPr>
          <w:rFonts w:hint="eastAsia" w:ascii="宋体" w:hAnsi="宋体" w:eastAsia="宋体"/>
          <w:sz w:val="21"/>
          <w:szCs w:val="21"/>
        </w:rPr>
      </w:pPr>
      <w:r>
        <w:rPr>
          <w:rFonts w:hint="eastAsia" w:ascii="宋体" w:hAnsi="宋体" w:eastAsia="宋体"/>
          <w:sz w:val="21"/>
          <w:szCs w:val="21"/>
        </w:rPr>
        <w:t>2.1 初步评审标准</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2.1.1</w:t>
      </w:r>
      <w:r>
        <w:rPr>
          <w:rFonts w:hint="eastAsia" w:ascii="宋体" w:hAnsi="宋体" w:cs="宋体"/>
          <w:szCs w:val="21"/>
        </w:rPr>
        <w:t xml:space="preserve"> 形式评审标准：见评标办法前附表。</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2.1.2</w:t>
      </w:r>
      <w:r>
        <w:rPr>
          <w:rFonts w:hint="eastAsia" w:ascii="宋体" w:hAnsi="宋体" w:cs="宋体"/>
          <w:szCs w:val="21"/>
        </w:rPr>
        <w:t xml:space="preserve"> 资格评审标准：见评标办法前附表。</w:t>
      </w:r>
    </w:p>
    <w:p>
      <w:pPr>
        <w:adjustRightInd w:val="0"/>
        <w:snapToGrid w:val="0"/>
        <w:spacing w:line="360" w:lineRule="auto"/>
        <w:ind w:firstLine="377" w:firstLineChars="179"/>
        <w:rPr>
          <w:rFonts w:hint="eastAsia" w:ascii="宋体" w:hAnsi="宋体" w:cs="宋体"/>
          <w:sz w:val="24"/>
        </w:rPr>
      </w:pPr>
      <w:r>
        <w:rPr>
          <w:rFonts w:hint="eastAsia" w:ascii="宋体" w:hAnsi="宋体" w:cs="宋体"/>
          <w:b/>
          <w:szCs w:val="21"/>
        </w:rPr>
        <w:t>2.1.3</w:t>
      </w:r>
      <w:r>
        <w:rPr>
          <w:rFonts w:hint="eastAsia" w:ascii="宋体" w:hAnsi="宋体" w:cs="宋体"/>
          <w:szCs w:val="21"/>
        </w:rPr>
        <w:t xml:space="preserve"> 响应性评审标准：见评标办法前附表。</w:t>
      </w:r>
    </w:p>
    <w:p>
      <w:pPr>
        <w:pStyle w:val="21"/>
        <w:tabs>
          <w:tab w:val="left" w:pos="3229"/>
        </w:tabs>
        <w:adjustRightInd w:val="0"/>
        <w:snapToGrid w:val="0"/>
        <w:spacing w:line="360" w:lineRule="auto"/>
        <w:outlineLvl w:val="9"/>
        <w:rPr>
          <w:rFonts w:hint="eastAsia" w:ascii="宋体" w:hAnsi="宋体" w:eastAsia="宋体"/>
          <w:sz w:val="21"/>
          <w:szCs w:val="21"/>
        </w:rPr>
      </w:pPr>
      <w:r>
        <w:rPr>
          <w:rFonts w:hint="eastAsia" w:ascii="宋体" w:hAnsi="宋体" w:eastAsia="宋体"/>
          <w:sz w:val="21"/>
          <w:szCs w:val="21"/>
        </w:rPr>
        <w:t>2.2 分值构成与评分标准</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2.2.1 分值构成</w:t>
      </w:r>
    </w:p>
    <w:p>
      <w:pPr>
        <w:adjustRightInd w:val="0"/>
        <w:snapToGrid w:val="0"/>
        <w:spacing w:line="360" w:lineRule="auto"/>
        <w:ind w:firstLine="840" w:firstLineChars="400"/>
        <w:rPr>
          <w:rFonts w:hint="eastAsia" w:ascii="宋体" w:hAnsi="宋体" w:cs="宋体"/>
          <w:szCs w:val="21"/>
        </w:rPr>
      </w:pPr>
      <w:r>
        <w:rPr>
          <w:rFonts w:hint="eastAsia" w:ascii="宋体" w:hAnsi="宋体" w:cs="宋体"/>
          <w:szCs w:val="21"/>
        </w:rPr>
        <w:t>评标价：见评标办法前附表。</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2.2.2 评标基准价计算</w:t>
      </w:r>
    </w:p>
    <w:p>
      <w:pPr>
        <w:adjustRightInd w:val="0"/>
        <w:snapToGrid w:val="0"/>
        <w:spacing w:line="360" w:lineRule="auto"/>
        <w:ind w:firstLine="840" w:firstLineChars="400"/>
        <w:rPr>
          <w:rFonts w:hint="eastAsia" w:ascii="宋体" w:hAnsi="宋体" w:cs="宋体"/>
          <w:szCs w:val="21"/>
        </w:rPr>
      </w:pPr>
      <w:r>
        <w:rPr>
          <w:rFonts w:hint="eastAsia" w:ascii="宋体" w:hAnsi="宋体" w:cs="宋体"/>
          <w:szCs w:val="21"/>
        </w:rPr>
        <w:t>评标基准价计算方法：见评标办法前附表。</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2.2.3 投标报价的偏差率计算</w:t>
      </w:r>
    </w:p>
    <w:p>
      <w:pPr>
        <w:adjustRightInd w:val="0"/>
        <w:snapToGrid w:val="0"/>
        <w:spacing w:line="360" w:lineRule="auto"/>
        <w:ind w:firstLine="840" w:firstLineChars="400"/>
        <w:rPr>
          <w:rFonts w:hint="eastAsia" w:ascii="宋体" w:hAnsi="宋体" w:cs="宋体"/>
          <w:szCs w:val="21"/>
        </w:rPr>
      </w:pPr>
      <w:r>
        <w:rPr>
          <w:rFonts w:hint="eastAsia" w:ascii="宋体" w:hAnsi="宋体" w:cs="宋体"/>
          <w:szCs w:val="21"/>
        </w:rPr>
        <w:t>评标价的偏差率计算公式：见评标办法前附表。</w:t>
      </w:r>
    </w:p>
    <w:p>
      <w:pPr>
        <w:adjustRightInd w:val="0"/>
        <w:snapToGrid w:val="0"/>
        <w:spacing w:line="360" w:lineRule="auto"/>
        <w:ind w:firstLine="422" w:firstLineChars="200"/>
        <w:rPr>
          <w:rFonts w:hint="eastAsia" w:ascii="宋体" w:hAnsi="宋体" w:cs="宋体"/>
          <w:b/>
          <w:szCs w:val="21"/>
        </w:rPr>
      </w:pPr>
      <w:r>
        <w:rPr>
          <w:rFonts w:hint="eastAsia" w:ascii="宋体" w:hAnsi="宋体" w:cs="宋体"/>
          <w:b/>
          <w:szCs w:val="21"/>
        </w:rPr>
        <w:t>2.2.4 评分标准</w:t>
      </w:r>
    </w:p>
    <w:p>
      <w:pPr>
        <w:adjustRightInd w:val="0"/>
        <w:snapToGrid w:val="0"/>
        <w:spacing w:line="360" w:lineRule="auto"/>
        <w:ind w:firstLine="840" w:firstLineChars="400"/>
        <w:rPr>
          <w:rFonts w:hint="eastAsia" w:ascii="宋体" w:hAnsi="宋体" w:cs="宋体"/>
          <w:szCs w:val="21"/>
        </w:rPr>
      </w:pPr>
      <w:r>
        <w:rPr>
          <w:rFonts w:hint="eastAsia" w:ascii="宋体" w:hAnsi="宋体" w:cs="宋体"/>
          <w:szCs w:val="21"/>
        </w:rPr>
        <w:t>评标价评分标准：见评标办法前附表。</w:t>
      </w:r>
    </w:p>
    <w:p>
      <w:pPr>
        <w:adjustRightInd w:val="0"/>
        <w:snapToGrid w:val="0"/>
        <w:spacing w:line="360" w:lineRule="auto"/>
        <w:outlineLvl w:val="2"/>
        <w:rPr>
          <w:rFonts w:hint="eastAsia" w:ascii="宋体" w:hAnsi="宋体" w:cs="宋体"/>
          <w:sz w:val="24"/>
        </w:rPr>
      </w:pPr>
      <w:bookmarkStart w:id="6" w:name="_Toc518427693"/>
      <w:bookmarkStart w:id="7" w:name="_Toc111041358"/>
      <w:bookmarkStart w:id="8" w:name="_Toc444678082"/>
      <w:r>
        <w:rPr>
          <w:rFonts w:hint="eastAsia" w:ascii="宋体" w:hAnsi="宋体" w:cs="宋体"/>
          <w:sz w:val="24"/>
        </w:rPr>
        <w:t>3. 评标程序</w:t>
      </w:r>
      <w:bookmarkEnd w:id="6"/>
      <w:bookmarkEnd w:id="7"/>
      <w:bookmarkEnd w:id="8"/>
    </w:p>
    <w:p>
      <w:pPr>
        <w:pStyle w:val="21"/>
        <w:tabs>
          <w:tab w:val="left" w:pos="3229"/>
        </w:tabs>
        <w:adjustRightInd w:val="0"/>
        <w:snapToGrid w:val="0"/>
        <w:spacing w:line="360" w:lineRule="auto"/>
        <w:outlineLvl w:val="9"/>
        <w:rPr>
          <w:rFonts w:hint="eastAsia" w:ascii="宋体" w:hAnsi="宋体" w:eastAsia="宋体"/>
          <w:sz w:val="21"/>
          <w:szCs w:val="21"/>
        </w:rPr>
      </w:pPr>
      <w:r>
        <w:rPr>
          <w:rFonts w:hint="eastAsia" w:ascii="宋体" w:hAnsi="宋体" w:eastAsia="宋体"/>
          <w:sz w:val="21"/>
          <w:szCs w:val="21"/>
        </w:rPr>
        <w:t>3.1 第一个信封初步评审</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3.1.1</w:t>
      </w:r>
      <w:r>
        <w:rPr>
          <w:rFonts w:hint="eastAsia" w:ascii="宋体" w:hAnsi="宋体" w:cs="宋体"/>
          <w:szCs w:val="21"/>
        </w:rPr>
        <w:t>评标委员会依据本章第2.1款规定的标准对投标文件第一个信封（商务及技术文件）进行初步评审。有一项不符合评审标准的，评标委员会应否决其投标。</w:t>
      </w:r>
    </w:p>
    <w:p>
      <w:pPr>
        <w:pStyle w:val="21"/>
        <w:tabs>
          <w:tab w:val="left" w:pos="3229"/>
        </w:tabs>
        <w:adjustRightInd w:val="0"/>
        <w:snapToGrid w:val="0"/>
        <w:spacing w:line="360" w:lineRule="auto"/>
        <w:outlineLvl w:val="9"/>
        <w:rPr>
          <w:rFonts w:hint="eastAsia" w:ascii="宋体" w:hAnsi="宋体" w:eastAsia="宋体"/>
          <w:sz w:val="21"/>
          <w:szCs w:val="21"/>
        </w:rPr>
      </w:pPr>
      <w:r>
        <w:rPr>
          <w:rFonts w:hint="eastAsia" w:ascii="宋体" w:hAnsi="宋体" w:eastAsia="宋体"/>
          <w:sz w:val="21"/>
          <w:szCs w:val="21"/>
        </w:rPr>
        <w:t>3.2 第二个信封开标</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第一个信封（商务及技术文件）评审结束后，招标人将按照第二章“投标人须知”第5.1款规定的时间和地点对通过投标文件第一个信封（商务及技术文件）评审的投标文件第二个信封（报价文件）进行开标。</w:t>
      </w:r>
    </w:p>
    <w:p>
      <w:pPr>
        <w:pStyle w:val="21"/>
        <w:tabs>
          <w:tab w:val="left" w:pos="3229"/>
        </w:tabs>
        <w:adjustRightInd w:val="0"/>
        <w:snapToGrid w:val="0"/>
        <w:spacing w:line="360" w:lineRule="auto"/>
        <w:outlineLvl w:val="9"/>
        <w:rPr>
          <w:rFonts w:hint="eastAsia" w:ascii="宋体" w:hAnsi="宋体" w:eastAsia="宋体"/>
          <w:sz w:val="21"/>
          <w:szCs w:val="21"/>
        </w:rPr>
      </w:pPr>
      <w:r>
        <w:rPr>
          <w:rFonts w:hint="eastAsia" w:ascii="宋体" w:hAnsi="宋体" w:eastAsia="宋体"/>
          <w:sz w:val="21"/>
          <w:szCs w:val="21"/>
        </w:rPr>
        <w:t>3.3 第二个信封初步评审</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 xml:space="preserve">3.3.1 </w:t>
      </w:r>
      <w:r>
        <w:rPr>
          <w:rFonts w:hint="eastAsia" w:ascii="宋体" w:hAnsi="宋体" w:cs="宋体"/>
          <w:szCs w:val="21"/>
        </w:rPr>
        <w:t>评标委员会依据本章第2.1.1项、第2.1.3项规定的评审标准对投标文件第二个信封（报价文件）进行初步评审。有一项不符合评审标准的，评标委员会应否决其投标。</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3.3.2</w:t>
      </w:r>
      <w:r>
        <w:rPr>
          <w:rFonts w:hint="eastAsia" w:ascii="宋体" w:hAnsi="宋体" w:cs="宋体"/>
          <w:szCs w:val="21"/>
        </w:rPr>
        <w:t>投标报价有算术错误的，评标委员会按以下原则对投标报价进行修正，修正的价格经投标人书面确认后具有约束力。投标人不接受修正价格的，评标委员会应否决其投标。</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（1）投标文件中的大写金额与小写金额不一致的，以大写金额为准；</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（2）总价金额与依据单价计算出的结果不一致的，以单价金额为准修正总价，但单价金额小数点有明显错误的除外；</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（3）当单价与数量相乘不等于合价时，以单价计算为准，如果单价有明显的小数点位置差错，应以标出的合价为准，同时对单价予以修正；</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（4）当各子目的合价累计不等于总价时，应以各子目合价累计数为准，修正总价。</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 xml:space="preserve">3.3.3 </w:t>
      </w:r>
      <w:r>
        <w:rPr>
          <w:rFonts w:hint="eastAsia" w:ascii="宋体" w:hAnsi="宋体" w:cs="宋体"/>
          <w:szCs w:val="21"/>
        </w:rPr>
        <w:t>工程量清单中的投标报价有其他错误的，评标委员会按以下原则对投标报价进行修正，修正的价格经投标人书面确认后具有约束力。投标人不接受修正价格的，评标委员会应否决其投标。</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（3）当单价与数量的乘积与合价（金额）虽然一致，但投标人修改了该子目的工程数量，则其合价按招标人给定的工程数量乘以投标人所报单价予以修正。</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 xml:space="preserve">3.3.4 </w:t>
      </w:r>
      <w:r>
        <w:rPr>
          <w:rFonts w:hint="eastAsia" w:ascii="宋体" w:hAnsi="宋体" w:cs="宋体"/>
          <w:szCs w:val="21"/>
        </w:rPr>
        <w:t>修正后的最终投标报价若超过最高投标限价（如有），评标委员会应否决其投标。</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 xml:space="preserve">3.3.5 </w:t>
      </w:r>
      <w:r>
        <w:rPr>
          <w:rFonts w:hint="eastAsia" w:ascii="宋体" w:hAnsi="宋体" w:cs="宋体"/>
          <w:szCs w:val="21"/>
        </w:rPr>
        <w:t>修正后的最终投标报价仅作为签订合同的一个依据，不参与评标价得分的计算。</w:t>
      </w:r>
    </w:p>
    <w:p>
      <w:pPr>
        <w:pStyle w:val="21"/>
        <w:tabs>
          <w:tab w:val="left" w:pos="3229"/>
        </w:tabs>
        <w:adjustRightInd w:val="0"/>
        <w:snapToGrid w:val="0"/>
        <w:spacing w:line="360" w:lineRule="auto"/>
        <w:outlineLvl w:val="9"/>
        <w:rPr>
          <w:rFonts w:hint="eastAsia" w:ascii="宋体" w:hAnsi="宋体" w:eastAsia="宋体"/>
          <w:sz w:val="21"/>
          <w:szCs w:val="21"/>
        </w:rPr>
      </w:pPr>
      <w:r>
        <w:rPr>
          <w:rFonts w:hint="eastAsia" w:ascii="宋体" w:hAnsi="宋体" w:eastAsia="宋体"/>
          <w:sz w:val="21"/>
          <w:szCs w:val="21"/>
        </w:rPr>
        <w:t>3.4 第二个信封详细评审</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3.4.1</w:t>
      </w:r>
      <w:r>
        <w:rPr>
          <w:rFonts w:hint="eastAsia" w:ascii="宋体" w:hAnsi="宋体" w:cs="宋体"/>
          <w:szCs w:val="21"/>
        </w:rPr>
        <w:t xml:space="preserve"> 评标委员会按本章第2.2款规定的量化因素和分值进行打分，并计算出综合评估得分（即评标价得分）。</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3.4.2</w:t>
      </w:r>
      <w:r>
        <w:rPr>
          <w:rFonts w:hint="eastAsia" w:ascii="宋体" w:hAnsi="宋体" w:cs="宋体"/>
          <w:szCs w:val="21"/>
        </w:rPr>
        <w:t xml:space="preserve"> 投标人得分分值计算保留小数点后两位，小数点后第三位“四舍五入”。</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3.4.3</w:t>
      </w:r>
      <w:r>
        <w:rPr>
          <w:rFonts w:hint="eastAsia" w:ascii="宋体" w:hAnsi="宋体" w:cs="宋体"/>
          <w:szCs w:val="21"/>
        </w:rPr>
        <w:t xml:space="preserve"> 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pStyle w:val="21"/>
        <w:tabs>
          <w:tab w:val="left" w:pos="3229"/>
        </w:tabs>
        <w:adjustRightInd w:val="0"/>
        <w:snapToGrid w:val="0"/>
        <w:spacing w:line="360" w:lineRule="auto"/>
        <w:outlineLvl w:val="9"/>
        <w:rPr>
          <w:rFonts w:hint="eastAsia" w:ascii="宋体" w:hAnsi="宋体" w:eastAsia="宋体"/>
          <w:szCs w:val="21"/>
        </w:rPr>
      </w:pPr>
      <w:r>
        <w:rPr>
          <w:rFonts w:hint="eastAsia" w:ascii="宋体" w:hAnsi="宋体" w:eastAsia="宋体"/>
          <w:sz w:val="21"/>
          <w:szCs w:val="21"/>
        </w:rPr>
        <w:t>3.5 投标文件相关信息的核查</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3.5.1 在评标过程中，评标委员会应查询规定网站，对投标人的资质、业绩、主要人员资历和目前在岗情况、信用等级等信息进行核实。若投标文件载明的信息与规定网站发布的信息不符，使得投标人的资格条件不符合招标文件规定的，评标委员会应否决其投标。</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3.5.2 评标委员会应对在评标过程中发现的投标人与投标人之间、投标人与招标人之间存在的串通投标的情形进行评审和认定。投标人存在串通投标、弄虚作假、行贿等违法行为的，评标委员会应否决其投标。</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（1）有下列情形之一的，属于投标人相互串通投标：</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a.投标人之间协商投标报价等投标文件的实质性内容；</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b.投标人之间约定中标人；</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c.投标人之间约定部分投标人放弃投标或中标；</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d.属于同一集团、协会、商会等组织成员的投标人按照该组织要求协同投标；</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e.投标人之间为谋取中标或排斥特定投标人而采取的其他联合行动。</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（2）有下列情形之一的，视为投标人相互串通投标：</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a.不同投标人的投标文件由同一单位或个人编制；</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b.不同投标人委托同一单位或个人办理投标事宜；</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c.不同投标人的投标文件载明的项目管理成员为同一人；</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d.不同投标人的投标文件异常一致或投标报价呈规律性差异；</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e.不同投标人的投标文件相互混装；</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f.不同投标人的投标保证金从同一单位或个人的账户转出。</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（3）有下列情形之一的，属于招标人与投标人串通投标：</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a.招标人在开标前开启投标文件并将有关信息泄露给其他投标人;</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b.招标人直接或间接向投标人泄露标底、评标委员会成员等信息；</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c.招标人明示或暗示投标人压低或抬高投标报价；</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d.招标人授意投标人撤换、修改投标文件；</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e.招标人明示或暗示投标人为特定投标人中标提供方便；</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f.招标人与投标人为谋求特定投标人中标而采取的其他串通行为。</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（4）投标人有下列情形之一的，属于弄虚作假的行为：</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a.使用通过受让或租借等方式获取的资格、资质证书投标；</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b.使用伪造、变造的许可证件；</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c.提供虚假的财务状况或业绩；</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d.提供虚假的项目负责人或主要技术人员简历、劳动关系证明；</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e.提供虚假的信用状况；</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f.其他弄虚作假的行为。</w:t>
      </w:r>
    </w:p>
    <w:p>
      <w:pPr>
        <w:pStyle w:val="21"/>
        <w:tabs>
          <w:tab w:val="left" w:pos="3229"/>
        </w:tabs>
        <w:adjustRightInd w:val="0"/>
        <w:snapToGrid w:val="0"/>
        <w:spacing w:line="360" w:lineRule="auto"/>
        <w:outlineLvl w:val="9"/>
        <w:rPr>
          <w:rFonts w:hint="eastAsia" w:ascii="宋体" w:hAnsi="宋体" w:eastAsia="宋体"/>
          <w:sz w:val="21"/>
          <w:szCs w:val="21"/>
        </w:rPr>
      </w:pPr>
      <w:r>
        <w:rPr>
          <w:rFonts w:hint="eastAsia" w:ascii="宋体" w:hAnsi="宋体" w:eastAsia="宋体"/>
          <w:sz w:val="21"/>
          <w:szCs w:val="21"/>
        </w:rPr>
        <w:t>3.6 投标文件的澄清和说明</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3.6.1</w:t>
      </w:r>
      <w:r>
        <w:rPr>
          <w:rFonts w:hint="eastAsia" w:ascii="宋体" w:hAnsi="宋体" w:cs="宋体"/>
          <w:szCs w:val="21"/>
        </w:rPr>
        <w:t xml:space="preserve">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 xml:space="preserve">3.6.2 </w:t>
      </w:r>
      <w:r>
        <w:rPr>
          <w:rFonts w:hint="eastAsia" w:ascii="宋体" w:hAnsi="宋体" w:cs="宋体"/>
          <w:szCs w:val="21"/>
        </w:rPr>
        <w:t>澄清和说明不得超出投标文件的范围或改变投标文件的实质性内容（算术性错误修正的除外）。投标人的书面澄清、说明属于投标文件的组成部分。</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3.6.3</w:t>
      </w:r>
      <w:r>
        <w:rPr>
          <w:rFonts w:hint="eastAsia" w:ascii="宋体" w:hAnsi="宋体" w:cs="宋体"/>
          <w:szCs w:val="21"/>
        </w:rPr>
        <w:t xml:space="preserve"> 评标委员会不得暗示或诱导投标人作出澄清、说明，对投标人提交的澄清、说明有疑问的，可以要求投标人进一步澄清或说明，直至满足评标委员会的要求。</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3.6.4</w:t>
      </w:r>
      <w:r>
        <w:rPr>
          <w:rFonts w:hint="eastAsia" w:ascii="宋体" w:hAnsi="宋体" w:cs="宋体"/>
          <w:szCs w:val="21"/>
        </w:rPr>
        <w:t>凡超出招标文件规定的或给招标人带来未曾要求的利益的变化、偏差或其他因素在评标时不予考虑。</w:t>
      </w:r>
    </w:p>
    <w:p>
      <w:pPr>
        <w:pStyle w:val="21"/>
        <w:tabs>
          <w:tab w:val="left" w:pos="3229"/>
        </w:tabs>
        <w:adjustRightInd w:val="0"/>
        <w:snapToGrid w:val="0"/>
        <w:spacing w:line="360" w:lineRule="auto"/>
        <w:outlineLvl w:val="9"/>
        <w:rPr>
          <w:rFonts w:hint="eastAsia" w:ascii="宋体" w:hAnsi="宋体" w:eastAsia="宋体"/>
          <w:szCs w:val="21"/>
        </w:rPr>
      </w:pPr>
      <w:r>
        <w:rPr>
          <w:rFonts w:hint="eastAsia" w:ascii="宋体" w:hAnsi="宋体" w:eastAsia="宋体"/>
          <w:sz w:val="21"/>
          <w:szCs w:val="21"/>
        </w:rPr>
        <w:t>3.7 不得否决投标的情形</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投标文件存在第二章“投标人须知”第1.12.3项所列情形的，均视为细微偏差，评标委员会不得否决投标人的投标，应按照第二章“投标人须知”第1.12.4项规定的原则处理。</w:t>
      </w:r>
    </w:p>
    <w:p>
      <w:pPr>
        <w:pStyle w:val="21"/>
        <w:tabs>
          <w:tab w:val="left" w:pos="3229"/>
        </w:tabs>
        <w:adjustRightInd w:val="0"/>
        <w:snapToGrid w:val="0"/>
        <w:spacing w:line="360" w:lineRule="auto"/>
        <w:outlineLvl w:val="9"/>
        <w:rPr>
          <w:rFonts w:hint="eastAsia" w:ascii="宋体" w:hAnsi="宋体" w:eastAsia="宋体"/>
          <w:sz w:val="21"/>
          <w:szCs w:val="21"/>
        </w:rPr>
      </w:pPr>
      <w:r>
        <w:rPr>
          <w:rFonts w:hint="eastAsia" w:ascii="宋体" w:hAnsi="宋体" w:eastAsia="宋体"/>
          <w:sz w:val="21"/>
          <w:szCs w:val="21"/>
        </w:rPr>
        <w:t>3.8 评标结果</w:t>
      </w:r>
    </w:p>
    <w:p>
      <w:pPr>
        <w:adjustRightInd w:val="0"/>
        <w:snapToGrid w:val="0"/>
        <w:spacing w:line="360" w:lineRule="auto"/>
        <w:ind w:firstLine="422" w:firstLineChars="200"/>
        <w:rPr>
          <w:rFonts w:hint="eastAsia" w:ascii="宋体" w:hAnsi="宋体" w:cs="宋体"/>
          <w:szCs w:val="21"/>
        </w:rPr>
      </w:pPr>
      <w:r>
        <w:rPr>
          <w:rFonts w:hint="eastAsia" w:ascii="宋体" w:hAnsi="宋体" w:cs="宋体"/>
          <w:b/>
          <w:szCs w:val="21"/>
        </w:rPr>
        <w:t>3.8.1</w:t>
      </w:r>
      <w:r>
        <w:rPr>
          <w:rFonts w:hint="eastAsia" w:ascii="宋体" w:hAnsi="宋体" w:cs="宋体"/>
          <w:szCs w:val="21"/>
        </w:rPr>
        <w:t xml:space="preserve"> 除第二章“投标人须知”前附表授权直接确定中标人外，评标委员会按照得分由高到低的顺序推荐中标候选人，并标明排序。</w:t>
      </w:r>
    </w:p>
    <w:p>
      <w:pPr>
        <w:pStyle w:val="2"/>
        <w:ind w:firstLine="231" w:firstLineChars="100"/>
        <w:rPr>
          <w:rFonts w:hint="eastAsia" w:ascii="宋体" w:hAnsi="宋体" w:cs="宋体"/>
          <w:b/>
          <w:color w:val="auto"/>
          <w:sz w:val="24"/>
          <w:highlight w:val="none"/>
        </w:rPr>
      </w:pPr>
      <w:r>
        <w:rPr>
          <w:rFonts w:hint="eastAsia" w:ascii="宋体" w:hAnsi="宋体" w:cs="宋体"/>
          <w:b/>
          <w:szCs w:val="21"/>
        </w:rPr>
        <w:t xml:space="preserve">3.8.2 </w:t>
      </w:r>
      <w:r>
        <w:rPr>
          <w:rFonts w:hint="eastAsia" w:ascii="宋体" w:hAnsi="宋体" w:cs="宋体"/>
          <w:szCs w:val="21"/>
        </w:rPr>
        <w:t>评标委员会完成评标后，应当向招标人提交评标报告。</w:t>
      </w:r>
    </w:p>
    <w:p>
      <w:pPr>
        <w:pStyle w:val="2"/>
        <w:rPr>
          <w:rFonts w:hint="eastAsia" w:ascii="宋体" w:hAnsi="宋体" w:cs="宋体"/>
          <w:b/>
          <w:color w:val="auto"/>
          <w:sz w:val="24"/>
          <w:highlight w:val="none"/>
        </w:rPr>
      </w:pPr>
    </w:p>
    <w:p>
      <w:pPr>
        <w:pStyle w:val="2"/>
        <w:rPr>
          <w:rFonts w:hint="eastAsia" w:ascii="宋体" w:hAnsi="宋体" w:cs="宋体"/>
          <w:b/>
          <w:color w:val="auto"/>
          <w:sz w:val="24"/>
          <w:highlight w:val="none"/>
        </w:rPr>
      </w:pPr>
    </w:p>
    <w:p>
      <w:pPr>
        <w:pStyle w:val="2"/>
        <w:rPr>
          <w:rFonts w:hint="eastAsia" w:ascii="宋体" w:hAnsi="宋体" w:cs="宋体"/>
          <w:b/>
          <w:color w:val="auto"/>
          <w:sz w:val="24"/>
          <w:highlight w:val="none"/>
        </w:rPr>
      </w:pPr>
    </w:p>
    <w:p>
      <w:pPr>
        <w:pStyle w:val="2"/>
        <w:rPr>
          <w:rFonts w:hint="eastAsia" w:ascii="宋体" w:hAnsi="宋体" w:cs="宋体"/>
          <w:b/>
          <w:color w:val="auto"/>
          <w:sz w:val="24"/>
          <w:highlight w:val="none"/>
        </w:rPr>
      </w:pPr>
    </w:p>
    <w:p>
      <w:pPr>
        <w:pStyle w:val="2"/>
        <w:rPr>
          <w:rFonts w:hint="eastAsia" w:ascii="宋体" w:hAnsi="宋体" w:cs="宋体"/>
          <w:b/>
          <w:color w:val="auto"/>
          <w:sz w:val="24"/>
          <w:highlight w:val="none"/>
        </w:rPr>
      </w:pPr>
    </w:p>
    <w:p>
      <w:pPr>
        <w:pStyle w:val="2"/>
        <w:rPr>
          <w:rFonts w:hint="eastAsia" w:ascii="宋体" w:hAnsi="宋体" w:cs="宋体"/>
          <w:b/>
          <w:color w:val="auto"/>
          <w:sz w:val="24"/>
          <w:highlight w:val="none"/>
        </w:rPr>
      </w:pPr>
      <w:r>
        <w:rPr>
          <w:rFonts w:hint="eastAsia" w:ascii="宋体" w:hAnsi="宋体" w:cs="宋体"/>
          <w:b/>
          <w:color w:val="auto"/>
          <w:sz w:val="24"/>
          <w:highlight w:val="none"/>
        </w:rPr>
        <w:br w:type="page"/>
      </w:r>
    </w:p>
    <w:p>
      <w:pPr>
        <w:pStyle w:val="2"/>
        <w:jc w:val="center"/>
        <w:rPr>
          <w:rFonts w:ascii="Times New Roman" w:hAnsi="Times New Roman" w:cs="Times New Roman"/>
        </w:rPr>
      </w:pPr>
      <w:r>
        <w:rPr>
          <w:rFonts w:hint="eastAsia" w:ascii="宋体" w:hAnsi="宋体" w:cs="宋体"/>
          <w:b/>
          <w:color w:val="auto"/>
          <w:sz w:val="24"/>
          <w:highlight w:val="none"/>
        </w:rPr>
        <w:br w:type="page"/>
      </w:r>
    </w:p>
    <w:sectPr>
      <w:footerReference r:id="rId3" w:type="default"/>
      <w:pgSz w:w="11906" w:h="16838"/>
      <w:pgMar w:top="1440" w:right="1417" w:bottom="1440" w:left="146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17"/>
        <w:szCs w:val="17"/>
      </w:rPr>
    </w:pPr>
    <w:r>
      <w:rPr>
        <w:bCs/>
        <w:sz w:val="17"/>
        <w:szCs w:val="17"/>
      </w:rPr>
      <w:fldChar w:fldCharType="begin"/>
    </w:r>
    <w:r>
      <w:rPr>
        <w:bCs/>
        <w:sz w:val="17"/>
        <w:szCs w:val="17"/>
      </w:rPr>
      <w:instrText xml:space="preserve">PAGE</w:instrText>
    </w:r>
    <w:r>
      <w:rPr>
        <w:bCs/>
        <w:sz w:val="17"/>
        <w:szCs w:val="17"/>
      </w:rPr>
      <w:fldChar w:fldCharType="separate"/>
    </w:r>
    <w:r>
      <w:rPr>
        <w:bCs/>
        <w:sz w:val="17"/>
        <w:szCs w:val="17"/>
      </w:rPr>
      <w:t>14</w:t>
    </w:r>
    <w:r>
      <w:rPr>
        <w:bCs/>
        <w:sz w:val="17"/>
        <w:szCs w:val="17"/>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YjFkZjEwZGU5N2JkZTRlODcxZjBlMDg0ZjY1ZmEifQ=="/>
  </w:docVars>
  <w:rsids>
    <w:rsidRoot w:val="7CA55DC6"/>
    <w:rsid w:val="00150DF9"/>
    <w:rsid w:val="003F5F2A"/>
    <w:rsid w:val="00473176"/>
    <w:rsid w:val="00A0501E"/>
    <w:rsid w:val="00A92BD8"/>
    <w:rsid w:val="00CC72A4"/>
    <w:rsid w:val="00D04CF7"/>
    <w:rsid w:val="010000F0"/>
    <w:rsid w:val="03511025"/>
    <w:rsid w:val="05831F8C"/>
    <w:rsid w:val="06344057"/>
    <w:rsid w:val="073F2CB4"/>
    <w:rsid w:val="07EC4BEA"/>
    <w:rsid w:val="0865674A"/>
    <w:rsid w:val="08AC4379"/>
    <w:rsid w:val="0CC954FA"/>
    <w:rsid w:val="0D1D5845"/>
    <w:rsid w:val="0FD83CA6"/>
    <w:rsid w:val="10DC1574"/>
    <w:rsid w:val="12A6008B"/>
    <w:rsid w:val="13BC0F70"/>
    <w:rsid w:val="14991C55"/>
    <w:rsid w:val="167A1B22"/>
    <w:rsid w:val="199D3192"/>
    <w:rsid w:val="1D8D58B8"/>
    <w:rsid w:val="1E0D7210"/>
    <w:rsid w:val="1E2D1660"/>
    <w:rsid w:val="204A4ED2"/>
    <w:rsid w:val="21E85FCA"/>
    <w:rsid w:val="257C45C8"/>
    <w:rsid w:val="28844573"/>
    <w:rsid w:val="28FE469B"/>
    <w:rsid w:val="29C0782D"/>
    <w:rsid w:val="2CA0217E"/>
    <w:rsid w:val="2D0574A0"/>
    <w:rsid w:val="2E7806D6"/>
    <w:rsid w:val="30660F7B"/>
    <w:rsid w:val="33F4567A"/>
    <w:rsid w:val="36D26270"/>
    <w:rsid w:val="384B1E19"/>
    <w:rsid w:val="39987E7E"/>
    <w:rsid w:val="3ACC6031"/>
    <w:rsid w:val="3B0C4680"/>
    <w:rsid w:val="3B64626A"/>
    <w:rsid w:val="3C0417FB"/>
    <w:rsid w:val="3C8D50F9"/>
    <w:rsid w:val="3CF220D9"/>
    <w:rsid w:val="3E18659B"/>
    <w:rsid w:val="3F8D42E3"/>
    <w:rsid w:val="40E95C0F"/>
    <w:rsid w:val="413C485D"/>
    <w:rsid w:val="4320516C"/>
    <w:rsid w:val="43AA0EDA"/>
    <w:rsid w:val="444C0497"/>
    <w:rsid w:val="48847F4B"/>
    <w:rsid w:val="495F4514"/>
    <w:rsid w:val="4DBA61BD"/>
    <w:rsid w:val="4F6B59C1"/>
    <w:rsid w:val="4F905428"/>
    <w:rsid w:val="52FE6B4C"/>
    <w:rsid w:val="542A455D"/>
    <w:rsid w:val="54BF4985"/>
    <w:rsid w:val="55F74FA3"/>
    <w:rsid w:val="56A853E9"/>
    <w:rsid w:val="57A06424"/>
    <w:rsid w:val="57FD5624"/>
    <w:rsid w:val="58490869"/>
    <w:rsid w:val="5A0A6829"/>
    <w:rsid w:val="5A7D2A4C"/>
    <w:rsid w:val="5AB75F5E"/>
    <w:rsid w:val="5D900CE9"/>
    <w:rsid w:val="5F661D01"/>
    <w:rsid w:val="62F92E8C"/>
    <w:rsid w:val="631127C2"/>
    <w:rsid w:val="639037F0"/>
    <w:rsid w:val="67435E1C"/>
    <w:rsid w:val="679A4C3E"/>
    <w:rsid w:val="67BF46A4"/>
    <w:rsid w:val="6AFB3C45"/>
    <w:rsid w:val="6D535020"/>
    <w:rsid w:val="6EA14B04"/>
    <w:rsid w:val="6F341432"/>
    <w:rsid w:val="717E112C"/>
    <w:rsid w:val="731D4975"/>
    <w:rsid w:val="75324707"/>
    <w:rsid w:val="76726D86"/>
    <w:rsid w:val="783267CC"/>
    <w:rsid w:val="78F536F8"/>
    <w:rsid w:val="78FD502C"/>
    <w:rsid w:val="790E23B0"/>
    <w:rsid w:val="7A3E58FC"/>
    <w:rsid w:val="7A526411"/>
    <w:rsid w:val="7B5829EE"/>
    <w:rsid w:val="7BFA3AA5"/>
    <w:rsid w:val="7CA55DC6"/>
    <w:rsid w:val="7E582D05"/>
    <w:rsid w:val="7E8A3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keepNext/>
      <w:keepLines/>
      <w:adjustRightInd w:val="0"/>
      <w:snapToGrid w:val="0"/>
      <w:spacing w:before="120" w:after="120"/>
      <w:jc w:val="center"/>
      <w:outlineLvl w:val="0"/>
    </w:pPr>
    <w:rPr>
      <w:rFonts w:eastAsia="黑体"/>
      <w:kern w:val="44"/>
      <w:sz w:val="72"/>
      <w:szCs w:val="44"/>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ind w:left="146"/>
    </w:pPr>
    <w:rPr>
      <w:rFonts w:ascii="宋体" w:hAnsi="宋体" w:eastAsia="宋体"/>
      <w:sz w:val="23"/>
      <w:szCs w:val="23"/>
    </w:rPr>
  </w:style>
  <w:style w:type="paragraph" w:styleId="5">
    <w:name w:val="table of authorities"/>
    <w:basedOn w:val="1"/>
    <w:next w:val="1"/>
    <w:qFormat/>
    <w:uiPriority w:val="0"/>
    <w:pPr>
      <w:widowControl w:val="0"/>
      <w:adjustRightInd/>
      <w:snapToGrid/>
      <w:spacing w:after="0"/>
      <w:ind w:left="420" w:leftChars="200"/>
      <w:jc w:val="both"/>
    </w:pPr>
    <w:rPr>
      <w:rFonts w:ascii="Times New Roman" w:hAnsi="Times New Roman" w:eastAsia="宋体" w:cs="Times New Roman"/>
      <w:color w:val="FF0000"/>
      <w:kern w:val="2"/>
      <w:sz w:val="24"/>
      <w:szCs w:val="20"/>
    </w:rPr>
  </w:style>
  <w:style w:type="paragraph" w:styleId="6">
    <w:name w:val="Normal Indent"/>
    <w:basedOn w:val="1"/>
    <w:qFormat/>
    <w:uiPriority w:val="99"/>
    <w:pPr>
      <w:ind w:firstLine="420" w:firstLineChars="200"/>
    </w:pPr>
  </w:style>
  <w:style w:type="paragraph" w:styleId="7">
    <w:name w:val="annotation text"/>
    <w:basedOn w:val="1"/>
    <w:qFormat/>
    <w:uiPriority w:val="0"/>
    <w:pPr>
      <w:jc w:val="left"/>
    </w:pPr>
  </w:style>
  <w:style w:type="paragraph" w:styleId="8">
    <w:name w:val="Body Text Indent"/>
    <w:basedOn w:val="1"/>
    <w:qFormat/>
    <w:uiPriority w:val="0"/>
    <w:pPr>
      <w:spacing w:line="360" w:lineRule="auto"/>
      <w:ind w:firstLine="480"/>
    </w:pPr>
    <w:rPr>
      <w:sz w:val="24"/>
      <w:szCs w:val="20"/>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footnote text"/>
    <w:basedOn w:val="1"/>
    <w:qFormat/>
    <w:uiPriority w:val="99"/>
    <w:pPr>
      <w:adjustRightInd w:val="0"/>
      <w:snapToGrid w:val="0"/>
      <w:spacing w:line="420" w:lineRule="atLeast"/>
      <w:ind w:firstLine="454"/>
      <w:jc w:val="left"/>
      <w:textAlignment w:val="baseline"/>
    </w:pPr>
    <w:rPr>
      <w:kern w:val="0"/>
      <w:sz w:val="18"/>
      <w:szCs w:val="20"/>
    </w:rPr>
  </w:style>
  <w:style w:type="paragraph" w:styleId="11">
    <w:name w:val="Normal (Web)"/>
    <w:basedOn w:val="1"/>
    <w:qFormat/>
    <w:uiPriority w:val="0"/>
    <w:pPr>
      <w:widowControl/>
      <w:spacing w:beforeAutospacing="1" w:afterAutospacing="1" w:line="432" w:lineRule="auto"/>
      <w:jc w:val="left"/>
    </w:pPr>
    <w:rPr>
      <w:rFonts w:ascii="宋体" w:hAnsi="宋体"/>
      <w:kern w:val="0"/>
      <w:szCs w:val="21"/>
    </w:rPr>
  </w:style>
  <w:style w:type="paragraph" w:styleId="12">
    <w:name w:val="Title"/>
    <w:basedOn w:val="1"/>
    <w:next w:val="1"/>
    <w:qFormat/>
    <w:uiPriority w:val="0"/>
    <w:pPr>
      <w:spacing w:before="240" w:after="60"/>
      <w:jc w:val="center"/>
      <w:outlineLvl w:val="0"/>
    </w:pPr>
    <w:rPr>
      <w:rFonts w:ascii="Cambria" w:hAnsi="Cambria" w:eastAsia="宋体"/>
      <w:b/>
      <w:bCs/>
      <w:sz w:val="32"/>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otnote reference"/>
    <w:qFormat/>
    <w:uiPriority w:val="99"/>
    <w:rPr>
      <w:vertAlign w:val="superscript"/>
    </w:rPr>
  </w:style>
  <w:style w:type="paragraph" w:customStyle="1" w:styleId="17">
    <w:name w:val="样式3"/>
    <w:basedOn w:val="12"/>
    <w:qFormat/>
    <w:uiPriority w:val="0"/>
  </w:style>
  <w:style w:type="paragraph" w:customStyle="1" w:styleId="18">
    <w:name w:val="Table Paragraph"/>
    <w:basedOn w:val="1"/>
    <w:qFormat/>
    <w:uiPriority w:val="1"/>
  </w:style>
  <w:style w:type="paragraph" w:customStyle="1" w:styleId="19">
    <w:name w:val="p0"/>
    <w:basedOn w:val="1"/>
    <w:qFormat/>
    <w:uiPriority w:val="0"/>
    <w:pPr>
      <w:widowControl/>
    </w:pPr>
    <w:rPr>
      <w:kern w:val="0"/>
      <w:szCs w:val="21"/>
    </w:rPr>
  </w:style>
  <w:style w:type="paragraph" w:customStyle="1" w:styleId="20">
    <w:name w:val="第一章-2级"/>
    <w:basedOn w:val="3"/>
    <w:qFormat/>
    <w:uiPriority w:val="99"/>
    <w:rPr>
      <w:sz w:val="36"/>
    </w:rPr>
  </w:style>
  <w:style w:type="paragraph" w:customStyle="1" w:styleId="21">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22">
    <w:name w:val="font161"/>
    <w:qFormat/>
    <w:uiPriority w:val="99"/>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17</Pages>
  <Words>11722</Words>
  <Characters>12555</Characters>
  <Lines>62</Lines>
  <Paragraphs>17</Paragraphs>
  <TotalTime>1</TotalTime>
  <ScaleCrop>false</ScaleCrop>
  <LinksUpToDate>false</LinksUpToDate>
  <CharactersWithSpaces>12639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2018-06-08T05:26:00Z</dcterms:created>
  <dc:creator>Regina</dc:creator>
  <cp:lastModifiedBy>张小张</cp:lastModifiedBy>
  <dcterms:modified xsi:type="dcterms:W3CDTF">2022-09-30T03:35:56Z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1EA9256CDC4740C18A7001021D5D1828</vt:lpwstr>
  </property>
</Properties>
</file>